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96FCE" w14:textId="610D8473" w:rsidR="002C7353" w:rsidRDefault="002C7353" w:rsidP="002C73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4540670"/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Pr="000956A8">
        <w:rPr>
          <w:b/>
          <w:noProof/>
          <w:sz w:val="24"/>
        </w:rPr>
        <w:t>S6-23165</w:t>
      </w:r>
      <w:r>
        <w:rPr>
          <w:b/>
          <w:noProof/>
          <w:sz w:val="24"/>
        </w:rPr>
        <w:t>8</w:t>
      </w:r>
    </w:p>
    <w:p w14:paraId="6402F1F9" w14:textId="2D50E61E" w:rsidR="002C7353" w:rsidRDefault="002C7353" w:rsidP="002C73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</w:p>
    <w:bookmarkEnd w:id="0"/>
    <w:p w14:paraId="16281954" w14:textId="56523620" w:rsidR="002C7963" w:rsidRPr="002C735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color w:val="F2F2F2" w:themeColor="background1" w:themeShade="F2"/>
          <w:sz w:val="22"/>
        </w:rPr>
      </w:pPr>
      <w:r w:rsidRPr="002C7353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2C7353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 xml:space="preserve">TSG </w:t>
      </w:r>
      <w:r w:rsidRPr="002C7353">
        <w:rPr>
          <w:rFonts w:ascii="Arial" w:hAnsi="Arial" w:cs="Arial"/>
          <w:b/>
          <w:color w:val="F2F2F2" w:themeColor="background1" w:themeShade="F2"/>
          <w:sz w:val="22"/>
          <w:szCs w:val="22"/>
        </w:rPr>
        <w:t>CT</w:t>
      </w:r>
      <w:r w:rsidRPr="002C7353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 xml:space="preserve"> WG</w:t>
      </w:r>
      <w:bookmarkEnd w:id="1"/>
      <w:bookmarkEnd w:id="2"/>
      <w:bookmarkEnd w:id="3"/>
      <w:r w:rsidRPr="002C7353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 xml:space="preserve">3 Meeting </w:t>
      </w:r>
      <w:r w:rsidRPr="002C7353">
        <w:rPr>
          <w:rFonts w:ascii="Arial" w:hAnsi="Arial" w:cs="Arial"/>
          <w:b/>
          <w:color w:val="F2F2F2" w:themeColor="background1" w:themeShade="F2"/>
          <w:sz w:val="22"/>
          <w:szCs w:val="22"/>
        </w:rPr>
        <w:t>12</w:t>
      </w:r>
      <w:r w:rsidR="008823C7" w:rsidRPr="002C7353">
        <w:rPr>
          <w:rFonts w:ascii="Arial" w:hAnsi="Arial" w:cs="Arial"/>
          <w:b/>
          <w:color w:val="F2F2F2" w:themeColor="background1" w:themeShade="F2"/>
          <w:sz w:val="22"/>
          <w:szCs w:val="22"/>
        </w:rPr>
        <w:t>7e</w:t>
      </w:r>
      <w:r w:rsidRPr="002C7353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ab/>
      </w:r>
      <w:r w:rsidR="008823C7" w:rsidRPr="002C7353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>C3-231469</w:t>
      </w:r>
    </w:p>
    <w:p w14:paraId="1B606B35" w14:textId="36FE297B" w:rsidR="002C7963" w:rsidRPr="002C735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color w:val="F2F2F2" w:themeColor="background1" w:themeShade="F2"/>
          <w:sz w:val="22"/>
          <w:szCs w:val="22"/>
        </w:rPr>
      </w:pPr>
      <w:r w:rsidRPr="002C7353">
        <w:rPr>
          <w:rFonts w:ascii="Arial" w:hAnsi="Arial"/>
          <w:b/>
          <w:color w:val="F2F2F2" w:themeColor="background1" w:themeShade="F2"/>
          <w:sz w:val="22"/>
          <w:szCs w:val="22"/>
        </w:rPr>
        <w:t>E-Meeting</w:t>
      </w:r>
      <w:r w:rsidR="002C7963" w:rsidRPr="002C7353">
        <w:rPr>
          <w:rFonts w:ascii="Arial" w:hAnsi="Arial"/>
          <w:b/>
          <w:color w:val="F2F2F2" w:themeColor="background1" w:themeShade="F2"/>
          <w:sz w:val="22"/>
          <w:szCs w:val="22"/>
        </w:rPr>
        <w:t>,</w:t>
      </w:r>
      <w:r w:rsidR="00DD5AC3" w:rsidRPr="002C7353">
        <w:rPr>
          <w:rFonts w:ascii="Arial" w:hAnsi="Arial"/>
          <w:b/>
          <w:color w:val="F2F2F2" w:themeColor="background1" w:themeShade="F2"/>
          <w:sz w:val="22"/>
          <w:szCs w:val="22"/>
        </w:rPr>
        <w:t xml:space="preserve"> </w:t>
      </w:r>
      <w:r w:rsidRPr="002C7353">
        <w:rPr>
          <w:rFonts w:ascii="Arial" w:hAnsi="Arial"/>
          <w:b/>
          <w:color w:val="F2F2F2" w:themeColor="background1" w:themeShade="F2"/>
          <w:sz w:val="22"/>
          <w:szCs w:val="22"/>
        </w:rPr>
        <w:t>17</w:t>
      </w:r>
      <w:r w:rsidR="002C7963" w:rsidRPr="002C7353">
        <w:rPr>
          <w:rFonts w:ascii="Arial" w:hAnsi="Arial"/>
          <w:b/>
          <w:color w:val="F2F2F2" w:themeColor="background1" w:themeShade="F2"/>
          <w:sz w:val="22"/>
          <w:szCs w:val="22"/>
          <w:vertAlign w:val="superscript"/>
        </w:rPr>
        <w:t>th</w:t>
      </w:r>
      <w:r w:rsidR="002C7963" w:rsidRPr="002C7353">
        <w:rPr>
          <w:rFonts w:ascii="Arial" w:hAnsi="Arial"/>
          <w:b/>
          <w:color w:val="F2F2F2" w:themeColor="background1" w:themeShade="F2"/>
          <w:sz w:val="22"/>
          <w:szCs w:val="22"/>
        </w:rPr>
        <w:t xml:space="preserve"> </w:t>
      </w:r>
      <w:r w:rsidR="00D406ED" w:rsidRPr="002C7353">
        <w:rPr>
          <w:rFonts w:ascii="Arial" w:hAnsi="Arial"/>
          <w:b/>
          <w:color w:val="F2F2F2" w:themeColor="background1" w:themeShade="F2"/>
          <w:sz w:val="22"/>
          <w:szCs w:val="22"/>
        </w:rPr>
        <w:t>–</w:t>
      </w:r>
      <w:r w:rsidR="002C7963" w:rsidRPr="002C7353">
        <w:rPr>
          <w:rFonts w:ascii="Arial" w:hAnsi="Arial"/>
          <w:b/>
          <w:color w:val="F2F2F2" w:themeColor="background1" w:themeShade="F2"/>
          <w:sz w:val="22"/>
          <w:szCs w:val="22"/>
        </w:rPr>
        <w:t xml:space="preserve"> </w:t>
      </w:r>
      <w:r w:rsidRPr="002C7353">
        <w:rPr>
          <w:rFonts w:ascii="Arial" w:hAnsi="Arial"/>
          <w:b/>
          <w:color w:val="F2F2F2" w:themeColor="background1" w:themeShade="F2"/>
          <w:sz w:val="22"/>
          <w:szCs w:val="22"/>
        </w:rPr>
        <w:t>21</w:t>
      </w:r>
      <w:r w:rsidRPr="002C7353">
        <w:rPr>
          <w:rFonts w:ascii="Arial" w:hAnsi="Arial"/>
          <w:b/>
          <w:color w:val="F2F2F2" w:themeColor="background1" w:themeShade="F2"/>
          <w:sz w:val="22"/>
          <w:szCs w:val="22"/>
          <w:vertAlign w:val="superscript"/>
        </w:rPr>
        <w:t>st</w:t>
      </w:r>
      <w:r w:rsidR="00B45601" w:rsidRPr="002C7353">
        <w:rPr>
          <w:rFonts w:ascii="Arial" w:hAnsi="Arial"/>
          <w:b/>
          <w:color w:val="F2F2F2" w:themeColor="background1" w:themeShade="F2"/>
          <w:sz w:val="22"/>
          <w:szCs w:val="22"/>
        </w:rPr>
        <w:t xml:space="preserve"> </w:t>
      </w:r>
      <w:r w:rsidRPr="002C7353">
        <w:rPr>
          <w:rFonts w:ascii="Arial" w:hAnsi="Arial"/>
          <w:b/>
          <w:color w:val="F2F2F2" w:themeColor="background1" w:themeShade="F2"/>
          <w:sz w:val="22"/>
          <w:szCs w:val="22"/>
        </w:rPr>
        <w:t>April</w:t>
      </w:r>
      <w:r w:rsidR="002C7963" w:rsidRPr="002C7353">
        <w:rPr>
          <w:rFonts w:ascii="Arial" w:hAnsi="Arial"/>
          <w:b/>
          <w:color w:val="F2F2F2" w:themeColor="background1" w:themeShade="F2"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709A40A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825142" w:rsidRPr="00825142">
        <w:rPr>
          <w:rFonts w:ascii="Arial" w:hAnsi="Arial" w:cs="Arial"/>
          <w:b/>
          <w:sz w:val="22"/>
          <w:szCs w:val="22"/>
        </w:rPr>
        <w:t>EAS ID interpretation</w:t>
      </w:r>
    </w:p>
    <w:p w14:paraId="611B4358" w14:textId="635A7F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1446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2EC8F6CA" w:rsidR="00B97703" w:rsidRPr="008251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To:</w:t>
      </w:r>
      <w:r w:rsidRPr="0082514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ETSI ISG MEC</w:t>
      </w:r>
    </w:p>
    <w:p w14:paraId="08C8D7FD" w14:textId="2D2B48F4" w:rsidR="00B97703" w:rsidRPr="002C73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2C7353">
        <w:rPr>
          <w:rFonts w:ascii="Arial" w:hAnsi="Arial" w:cs="Arial"/>
          <w:b/>
          <w:sz w:val="22"/>
          <w:szCs w:val="22"/>
        </w:rPr>
        <w:t>Cc:</w:t>
      </w:r>
      <w:r w:rsidRPr="002C7353">
        <w:rPr>
          <w:rFonts w:ascii="Arial" w:hAnsi="Arial" w:cs="Arial"/>
          <w:b/>
          <w:bCs/>
          <w:sz w:val="22"/>
          <w:szCs w:val="22"/>
        </w:rPr>
        <w:tab/>
      </w:r>
      <w:r w:rsidR="00825142" w:rsidRPr="002C7353">
        <w:rPr>
          <w:rFonts w:ascii="Arial" w:hAnsi="Arial" w:cs="Arial"/>
          <w:b/>
          <w:bCs/>
          <w:sz w:val="22"/>
          <w:szCs w:val="22"/>
        </w:rPr>
        <w:t>SA6, CT1</w:t>
      </w:r>
    </w:p>
    <w:bookmarkEnd w:id="9"/>
    <w:bookmarkEnd w:id="10"/>
    <w:p w14:paraId="1C12BB50" w14:textId="77777777" w:rsidR="00B97703" w:rsidRPr="002C735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05B6105D" w:rsidR="008C7368" w:rsidRPr="002C7353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7353">
        <w:rPr>
          <w:rFonts w:ascii="Arial" w:hAnsi="Arial" w:cs="Arial"/>
          <w:b/>
          <w:sz w:val="22"/>
          <w:szCs w:val="22"/>
        </w:rPr>
        <w:t>Contact person:</w:t>
      </w:r>
      <w:r w:rsidR="008C7368" w:rsidRPr="002C7353">
        <w:rPr>
          <w:rFonts w:ascii="Arial" w:hAnsi="Arial" w:cs="Arial"/>
          <w:b/>
          <w:sz w:val="22"/>
          <w:szCs w:val="22"/>
        </w:rPr>
        <w:tab/>
      </w:r>
      <w:r w:rsidR="00AE6C34" w:rsidRPr="002C7353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 w:rsidRPr="002C7353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Pr="002C7353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7353">
        <w:rPr>
          <w:rFonts w:ascii="Arial" w:hAnsi="Arial" w:cs="Arial"/>
          <w:b/>
          <w:bCs/>
          <w:sz w:val="22"/>
          <w:szCs w:val="22"/>
        </w:rPr>
        <w:tab/>
      </w:r>
      <w:r w:rsidR="00AE6C34" w:rsidRPr="002C7353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2C735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7353"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4C038A" w14:textId="5CC1A538" w:rsidR="003D6596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77A3A">
        <w:rPr>
          <w:rFonts w:ascii="Arial" w:hAnsi="Arial" w:cs="Arial"/>
          <w:bCs/>
        </w:rPr>
        <w:t>ETSI ISG MEG</w:t>
      </w:r>
      <w:r w:rsidR="00EC51F2">
        <w:rPr>
          <w:rFonts w:ascii="Arial" w:hAnsi="Arial" w:cs="Arial"/>
          <w:bCs/>
        </w:rPr>
        <w:t xml:space="preserve"> for their LS on </w:t>
      </w:r>
      <w:r w:rsidR="00EC51F2" w:rsidRPr="00EC51F2">
        <w:rPr>
          <w:rFonts w:ascii="Arial" w:hAnsi="Arial" w:cs="Arial"/>
          <w:bCs/>
        </w:rPr>
        <w:t>EAS ID interpretation</w:t>
      </w:r>
      <w:r w:rsidR="00033989">
        <w:rPr>
          <w:rFonts w:ascii="Arial" w:hAnsi="Arial" w:cs="Arial"/>
          <w:bCs/>
        </w:rPr>
        <w:t>.</w:t>
      </w:r>
      <w:r w:rsidR="00F24E45">
        <w:rPr>
          <w:rFonts w:ascii="Arial" w:hAnsi="Arial" w:cs="Arial"/>
          <w:bCs/>
        </w:rPr>
        <w:t xml:space="preserve"> </w:t>
      </w:r>
      <w:r w:rsidR="003D6596"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>would like to provide the following feedback:</w:t>
      </w:r>
    </w:p>
    <w:p w14:paraId="6704B317" w14:textId="05C93244" w:rsidR="00CA4EFA" w:rsidRPr="0067311D" w:rsidRDefault="00EC51F2" w:rsidP="00CA4EFA">
      <w:pPr>
        <w:pStyle w:val="B1"/>
        <w:rPr>
          <w:rFonts w:ascii="Arial" w:hAnsi="Arial" w:cs="Arial"/>
          <w:bCs/>
        </w:rPr>
      </w:pPr>
      <w:r w:rsidRPr="0067311D">
        <w:rPr>
          <w:rFonts w:ascii="Arial" w:hAnsi="Arial" w:cs="Arial"/>
          <w:bCs/>
        </w:rPr>
        <w:t>-</w:t>
      </w:r>
      <w:r w:rsidRPr="0067311D">
        <w:rPr>
          <w:rFonts w:ascii="Arial" w:hAnsi="Arial" w:cs="Arial"/>
          <w:bCs/>
        </w:rPr>
        <w:tab/>
      </w:r>
      <w:r w:rsidR="00CA4EFA" w:rsidRPr="0067311D">
        <w:rPr>
          <w:rFonts w:ascii="Arial" w:hAnsi="Arial" w:cs="Arial"/>
          <w:bCs/>
        </w:rPr>
        <w:t>The introduction of these URI or FQDN options as examples in the description of the “easId” attribute in TS</w:t>
      </w:r>
      <w:r w:rsidR="001458CA">
        <w:rPr>
          <w:rFonts w:ascii="Arial" w:hAnsi="Arial" w:cs="Arial"/>
          <w:bCs/>
        </w:rPr>
        <w:t> </w:t>
      </w:r>
      <w:r w:rsidR="00CA4EFA" w:rsidRPr="0067311D">
        <w:rPr>
          <w:rFonts w:ascii="Arial" w:hAnsi="Arial" w:cs="Arial"/>
          <w:bCs/>
        </w:rPr>
        <w:t>29.558 was actually based on CR</w:t>
      </w:r>
      <w:r w:rsidR="00772265">
        <w:rPr>
          <w:rFonts w:ascii="Arial" w:hAnsi="Arial" w:cs="Arial"/>
          <w:bCs/>
        </w:rPr>
        <w:t>#0015</w:t>
      </w:r>
      <w:r w:rsidR="00CA4EFA" w:rsidRPr="0067311D">
        <w:rPr>
          <w:rFonts w:ascii="Arial" w:hAnsi="Arial" w:cs="Arial"/>
          <w:bCs/>
        </w:rPr>
        <w:t xml:space="preserve"> (</w:t>
      </w:r>
      <w:hyperlink r:id="rId8" w:history="1">
        <w:r w:rsidR="00CA4EFA" w:rsidRPr="00F24E45">
          <w:rPr>
            <w:rStyle w:val="Hyperlink"/>
            <w:rFonts w:ascii="Arial" w:hAnsi="Arial" w:cs="Arial"/>
            <w:bCs/>
          </w:rPr>
          <w:t>C3-224779</w:t>
        </w:r>
      </w:hyperlink>
      <w:r w:rsidR="00CA4EFA" w:rsidRPr="0067311D">
        <w:rPr>
          <w:rFonts w:ascii="Arial" w:hAnsi="Arial" w:cs="Arial"/>
          <w:bCs/>
        </w:rPr>
        <w:t xml:space="preserve">) </w:t>
      </w:r>
      <w:r w:rsidR="00772265">
        <w:rPr>
          <w:rFonts w:ascii="Arial" w:hAnsi="Arial" w:cs="Arial"/>
          <w:bCs/>
        </w:rPr>
        <w:t>agreed during CT3#123 (August 2022)</w:t>
      </w:r>
      <w:r w:rsidR="00CA4EFA" w:rsidRPr="0067311D">
        <w:rPr>
          <w:rFonts w:ascii="Arial" w:hAnsi="Arial" w:cs="Arial"/>
          <w:bCs/>
        </w:rPr>
        <w:t>.</w:t>
      </w:r>
    </w:p>
    <w:p w14:paraId="3A577477" w14:textId="104311DD" w:rsidR="00CA4EFA" w:rsidRPr="0067311D" w:rsidRDefault="00772265" w:rsidP="00CA4EFA">
      <w:pPr>
        <w:pStyle w:val="B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>This however does not mean that other possible string-based formats cannot be used. URI and FQDN are just examples and implementations can decide to use them or not.</w:t>
      </w:r>
    </w:p>
    <w:p w14:paraId="481BBD6A" w14:textId="32C9540D" w:rsidR="00CA4EFA" w:rsidRPr="0067311D" w:rsidRDefault="00CA4EFA" w:rsidP="00CA4EFA">
      <w:pPr>
        <w:pStyle w:val="B1"/>
        <w:rPr>
          <w:rFonts w:ascii="Arial" w:hAnsi="Arial" w:cs="Arial"/>
          <w:bCs/>
        </w:rPr>
      </w:pPr>
      <w:r w:rsidRPr="0067311D">
        <w:rPr>
          <w:rFonts w:ascii="Arial" w:hAnsi="Arial" w:cs="Arial"/>
          <w:bCs/>
        </w:rPr>
        <w:t>-</w:t>
      </w:r>
      <w:r w:rsidRPr="0067311D">
        <w:rPr>
          <w:rFonts w:ascii="Arial" w:hAnsi="Arial" w:cs="Arial"/>
          <w:bCs/>
        </w:rPr>
        <w:tab/>
      </w:r>
      <w:r w:rsidR="00772265">
        <w:rPr>
          <w:rFonts w:ascii="Arial" w:hAnsi="Arial" w:cs="Arial"/>
          <w:bCs/>
        </w:rPr>
        <w:t>Also</w:t>
      </w:r>
      <w:r w:rsidRPr="0067311D">
        <w:rPr>
          <w:rFonts w:ascii="Arial" w:hAnsi="Arial" w:cs="Arial"/>
          <w:bCs/>
        </w:rPr>
        <w:t xml:space="preserve">, this has nothing to do with the </w:t>
      </w:r>
      <w:r w:rsidR="00772265">
        <w:rPr>
          <w:rFonts w:ascii="Arial" w:hAnsi="Arial" w:cs="Arial"/>
          <w:bCs/>
        </w:rPr>
        <w:t>"</w:t>
      </w:r>
      <w:r w:rsidRPr="0067311D">
        <w:rPr>
          <w:rFonts w:ascii="Arial" w:hAnsi="Arial" w:cs="Arial"/>
          <w:bCs/>
        </w:rPr>
        <w:t>endpoint</w:t>
      </w:r>
      <w:r w:rsidR="00772265">
        <w:rPr>
          <w:rFonts w:ascii="Arial" w:hAnsi="Arial" w:cs="Arial"/>
          <w:bCs/>
        </w:rPr>
        <w:t>"</w:t>
      </w:r>
      <w:r w:rsidRPr="0067311D">
        <w:rPr>
          <w:rFonts w:ascii="Arial" w:hAnsi="Arial" w:cs="Arial"/>
          <w:bCs/>
        </w:rPr>
        <w:t xml:space="preserve"> attribute.</w:t>
      </w:r>
      <w:r w:rsidR="00772265">
        <w:rPr>
          <w:rFonts w:ascii="Arial" w:hAnsi="Arial" w:cs="Arial"/>
          <w:bCs/>
        </w:rPr>
        <w:t xml:space="preserve"> The latter provides the endpoint information that is used to reach the EAS, whereas the EAS ID identifies the EAS application.</w:t>
      </w:r>
    </w:p>
    <w:p w14:paraId="217ED424" w14:textId="2A720D46" w:rsidR="00EC51F2" w:rsidRPr="0067311D" w:rsidRDefault="00CA4EFA" w:rsidP="00CA4EFA">
      <w:pPr>
        <w:pStyle w:val="B1"/>
        <w:rPr>
          <w:rFonts w:ascii="Arial" w:hAnsi="Arial" w:cs="Arial"/>
          <w:bCs/>
        </w:rPr>
      </w:pPr>
      <w:r w:rsidRPr="0067311D">
        <w:rPr>
          <w:rFonts w:ascii="Arial" w:hAnsi="Arial" w:cs="Arial"/>
          <w:bCs/>
        </w:rPr>
        <w:t>-</w:t>
      </w:r>
      <w:r w:rsidRPr="0067311D">
        <w:rPr>
          <w:rFonts w:ascii="Arial" w:hAnsi="Arial" w:cs="Arial"/>
          <w:bCs/>
        </w:rPr>
        <w:tab/>
      </w:r>
      <w:r w:rsidR="00772265">
        <w:rPr>
          <w:rFonts w:ascii="Arial" w:hAnsi="Arial" w:cs="Arial"/>
          <w:bCs/>
        </w:rPr>
        <w:t xml:space="preserve">In summary, </w:t>
      </w:r>
      <w:r w:rsidRPr="0067311D">
        <w:rPr>
          <w:rFonts w:ascii="Arial" w:hAnsi="Arial" w:cs="Arial"/>
          <w:bCs/>
        </w:rPr>
        <w:t xml:space="preserve">ETSI </w:t>
      </w:r>
      <w:r w:rsidR="00772265">
        <w:rPr>
          <w:rFonts w:ascii="Arial" w:hAnsi="Arial" w:cs="Arial"/>
          <w:bCs/>
        </w:rPr>
        <w:t xml:space="preserve">ISG </w:t>
      </w:r>
      <w:r w:rsidRPr="0067311D">
        <w:rPr>
          <w:rFonts w:ascii="Arial" w:hAnsi="Arial" w:cs="Arial"/>
          <w:bCs/>
        </w:rPr>
        <w:t xml:space="preserve">MEC can continue to use the correspondence between </w:t>
      </w:r>
      <w:r w:rsidR="00772265">
        <w:rPr>
          <w:rFonts w:ascii="Arial" w:hAnsi="Arial" w:cs="Arial"/>
          <w:bCs/>
        </w:rPr>
        <w:t>"</w:t>
      </w:r>
      <w:r w:rsidRPr="0067311D">
        <w:rPr>
          <w:rFonts w:ascii="Arial" w:hAnsi="Arial" w:cs="Arial"/>
          <w:bCs/>
        </w:rPr>
        <w:t>easId</w:t>
      </w:r>
      <w:r w:rsidR="00772265">
        <w:rPr>
          <w:rFonts w:ascii="Arial" w:hAnsi="Arial" w:cs="Arial"/>
          <w:bCs/>
        </w:rPr>
        <w:t>"</w:t>
      </w:r>
      <w:r w:rsidRPr="0067311D">
        <w:rPr>
          <w:rFonts w:ascii="Arial" w:hAnsi="Arial" w:cs="Arial"/>
          <w:bCs/>
        </w:rPr>
        <w:t xml:space="preserve"> and </w:t>
      </w:r>
      <w:r w:rsidR="00772265">
        <w:rPr>
          <w:rFonts w:ascii="Arial" w:hAnsi="Arial" w:cs="Arial"/>
          <w:bCs/>
        </w:rPr>
        <w:t>"</w:t>
      </w:r>
      <w:r w:rsidRPr="0067311D">
        <w:rPr>
          <w:rFonts w:ascii="Arial" w:hAnsi="Arial" w:cs="Arial"/>
          <w:bCs/>
        </w:rPr>
        <w:t>appName</w:t>
      </w:r>
      <w:r w:rsidR="00772265">
        <w:rPr>
          <w:rFonts w:ascii="Arial" w:hAnsi="Arial" w:cs="Arial"/>
          <w:bCs/>
        </w:rPr>
        <w:t>"</w:t>
      </w:r>
      <w:r w:rsidRPr="0067311D">
        <w:rPr>
          <w:rFonts w:ascii="Arial" w:hAnsi="Arial" w:cs="Arial"/>
          <w:bCs/>
        </w:rPr>
        <w:t>.</w:t>
      </w:r>
      <w:r w:rsidR="00772265">
        <w:rPr>
          <w:rFonts w:ascii="Arial" w:hAnsi="Arial" w:cs="Arial"/>
          <w:bCs/>
        </w:rPr>
        <w:t xml:space="preserve"> It is still valid and nothing was changed about that.</w:t>
      </w:r>
      <w:r w:rsidR="00C50D3F">
        <w:rPr>
          <w:rFonts w:ascii="Arial" w:hAnsi="Arial" w:cs="Arial"/>
          <w:bCs/>
        </w:rPr>
        <w:t xml:space="preserve"> Also, the EAS endpoint is used to reach the EAS.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8D548C8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FA0920">
        <w:rPr>
          <w:rFonts w:ascii="Arial" w:hAnsi="Arial" w:cs="Arial"/>
          <w:b/>
          <w:bCs/>
          <w:lang w:val="en-US" w:eastAsia="en-US"/>
        </w:rPr>
        <w:t>ETSI ISG MEC</w:t>
      </w:r>
    </w:p>
    <w:p w14:paraId="0DF0A4E9" w14:textId="1C8611CC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122FEF">
        <w:rPr>
          <w:rFonts w:ascii="Arial" w:hAnsi="Arial" w:cs="Arial"/>
          <w:bCs/>
        </w:rPr>
        <w:t>ETSI ISG MEC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 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E1667" w14:textId="77777777" w:rsidR="009C4633" w:rsidRDefault="009C4633">
      <w:pPr>
        <w:spacing w:after="0"/>
      </w:pPr>
      <w:r>
        <w:separator/>
      </w:r>
    </w:p>
  </w:endnote>
  <w:endnote w:type="continuationSeparator" w:id="0">
    <w:p w14:paraId="2AE6F2AF" w14:textId="77777777" w:rsidR="009C4633" w:rsidRDefault="009C46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F936A" w14:textId="77777777" w:rsidR="009C4633" w:rsidRDefault="009C4633">
      <w:pPr>
        <w:spacing w:after="0"/>
      </w:pPr>
      <w:r>
        <w:separator/>
      </w:r>
    </w:p>
  </w:footnote>
  <w:footnote w:type="continuationSeparator" w:id="0">
    <w:p w14:paraId="2726C947" w14:textId="77777777" w:rsidR="009C4633" w:rsidRDefault="009C46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0155165">
    <w:abstractNumId w:val="6"/>
  </w:num>
  <w:num w:numId="2" w16cid:durableId="1073549801">
    <w:abstractNumId w:val="5"/>
  </w:num>
  <w:num w:numId="3" w16cid:durableId="1709330592">
    <w:abstractNumId w:val="4"/>
  </w:num>
  <w:num w:numId="4" w16cid:durableId="1712147627">
    <w:abstractNumId w:val="2"/>
  </w:num>
  <w:num w:numId="5" w16cid:durableId="309671399">
    <w:abstractNumId w:val="1"/>
  </w:num>
  <w:num w:numId="6" w16cid:durableId="1375077187">
    <w:abstractNumId w:val="3"/>
  </w:num>
  <w:num w:numId="7" w16cid:durableId="12392912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5496"/>
    <w:rsid w:val="001B69AA"/>
    <w:rsid w:val="001E1C2C"/>
    <w:rsid w:val="001F43E6"/>
    <w:rsid w:val="002201E4"/>
    <w:rsid w:val="00230038"/>
    <w:rsid w:val="00270389"/>
    <w:rsid w:val="00270EF3"/>
    <w:rsid w:val="00275DAA"/>
    <w:rsid w:val="00290476"/>
    <w:rsid w:val="002A6824"/>
    <w:rsid w:val="002C7353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237C4"/>
    <w:rsid w:val="00532D90"/>
    <w:rsid w:val="005446CA"/>
    <w:rsid w:val="005908E2"/>
    <w:rsid w:val="005D02D8"/>
    <w:rsid w:val="005E2795"/>
    <w:rsid w:val="005F5E49"/>
    <w:rsid w:val="006118C4"/>
    <w:rsid w:val="00617EF9"/>
    <w:rsid w:val="00636AE1"/>
    <w:rsid w:val="0067311D"/>
    <w:rsid w:val="006A3A35"/>
    <w:rsid w:val="006A3CFE"/>
    <w:rsid w:val="006A5C6E"/>
    <w:rsid w:val="006B461F"/>
    <w:rsid w:val="006E0D4F"/>
    <w:rsid w:val="006E504F"/>
    <w:rsid w:val="006F2D99"/>
    <w:rsid w:val="006F7535"/>
    <w:rsid w:val="00703029"/>
    <w:rsid w:val="0070684F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810A6"/>
    <w:rsid w:val="00983B35"/>
    <w:rsid w:val="00997369"/>
    <w:rsid w:val="0099764C"/>
    <w:rsid w:val="009B4693"/>
    <w:rsid w:val="009C4633"/>
    <w:rsid w:val="009E0A06"/>
    <w:rsid w:val="00A05511"/>
    <w:rsid w:val="00A07F6C"/>
    <w:rsid w:val="00A46CCB"/>
    <w:rsid w:val="00A71544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F1840"/>
    <w:rsid w:val="00C0292C"/>
    <w:rsid w:val="00C04BAC"/>
    <w:rsid w:val="00C13F18"/>
    <w:rsid w:val="00C17B7B"/>
    <w:rsid w:val="00C21B61"/>
    <w:rsid w:val="00C23C20"/>
    <w:rsid w:val="00C23DDE"/>
    <w:rsid w:val="00C362C0"/>
    <w:rsid w:val="00C379F9"/>
    <w:rsid w:val="00C45B09"/>
    <w:rsid w:val="00C50D3F"/>
    <w:rsid w:val="00C744D0"/>
    <w:rsid w:val="00C77A3A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D5AC3"/>
    <w:rsid w:val="00E1302F"/>
    <w:rsid w:val="00E21935"/>
    <w:rsid w:val="00E23A50"/>
    <w:rsid w:val="00E323BA"/>
    <w:rsid w:val="00EB5BF5"/>
    <w:rsid w:val="00EC51F2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4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B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5496"/>
    <w:pPr>
      <w:outlineLvl w:val="5"/>
    </w:pPr>
  </w:style>
  <w:style w:type="paragraph" w:styleId="Heading7">
    <w:name w:val="heading 7"/>
    <w:basedOn w:val="H6"/>
    <w:next w:val="Normal"/>
    <w:qFormat/>
    <w:rsid w:val="001B5496"/>
    <w:pPr>
      <w:outlineLvl w:val="6"/>
    </w:pPr>
  </w:style>
  <w:style w:type="paragraph" w:styleId="Heading8">
    <w:name w:val="heading 8"/>
    <w:basedOn w:val="Heading1"/>
    <w:next w:val="Normal"/>
    <w:qFormat/>
    <w:rsid w:val="001B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5496"/>
    <w:pPr>
      <w:outlineLvl w:val="8"/>
    </w:pPr>
  </w:style>
  <w:style w:type="character" w:default="1" w:styleId="DefaultParagraphFont">
    <w:name w:val="Default Paragraph Font"/>
    <w:semiHidden/>
    <w:rsid w:val="001B54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5496"/>
  </w:style>
  <w:style w:type="paragraph" w:styleId="Header">
    <w:name w:val="header"/>
    <w:link w:val="HeaderChar"/>
    <w:rsid w:val="001B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B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B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1B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B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B5496"/>
    <w:pPr>
      <w:ind w:left="1701" w:hanging="1701"/>
    </w:pPr>
  </w:style>
  <w:style w:type="paragraph" w:styleId="TOC4">
    <w:name w:val="toc 4"/>
    <w:basedOn w:val="TOC3"/>
    <w:semiHidden/>
    <w:rsid w:val="001B5496"/>
    <w:pPr>
      <w:ind w:left="1418" w:hanging="1418"/>
    </w:pPr>
  </w:style>
  <w:style w:type="paragraph" w:styleId="TOC3">
    <w:name w:val="toc 3"/>
    <w:basedOn w:val="TOC2"/>
    <w:semiHidden/>
    <w:rsid w:val="001B5496"/>
    <w:pPr>
      <w:ind w:left="1134" w:hanging="1134"/>
    </w:pPr>
  </w:style>
  <w:style w:type="paragraph" w:styleId="TOC2">
    <w:name w:val="toc 2"/>
    <w:basedOn w:val="TOC1"/>
    <w:semiHidden/>
    <w:rsid w:val="001B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5496"/>
    <w:pPr>
      <w:ind w:left="284"/>
    </w:pPr>
  </w:style>
  <w:style w:type="paragraph" w:styleId="Index1">
    <w:name w:val="index 1"/>
    <w:basedOn w:val="Normal"/>
    <w:semiHidden/>
    <w:rsid w:val="001B5496"/>
    <w:pPr>
      <w:keepLines/>
      <w:spacing w:after="0"/>
    </w:pPr>
  </w:style>
  <w:style w:type="paragraph" w:customStyle="1" w:styleId="ZH">
    <w:name w:val="ZH"/>
    <w:rsid w:val="001B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B5496"/>
    <w:pPr>
      <w:outlineLvl w:val="9"/>
    </w:pPr>
  </w:style>
  <w:style w:type="paragraph" w:styleId="ListNumber2">
    <w:name w:val="List Number 2"/>
    <w:basedOn w:val="ListNumber"/>
    <w:semiHidden/>
    <w:rsid w:val="001B5496"/>
    <w:pPr>
      <w:ind w:left="851"/>
    </w:pPr>
  </w:style>
  <w:style w:type="character" w:styleId="FootnoteReference">
    <w:name w:val="footnote reference"/>
    <w:basedOn w:val="DefaultParagraphFont"/>
    <w:semiHidden/>
    <w:rsid w:val="001B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B5496"/>
    <w:rPr>
      <w:b/>
    </w:rPr>
  </w:style>
  <w:style w:type="paragraph" w:customStyle="1" w:styleId="TAC">
    <w:name w:val="TAC"/>
    <w:basedOn w:val="TAL"/>
    <w:rsid w:val="001B5496"/>
    <w:pPr>
      <w:jc w:val="center"/>
    </w:pPr>
  </w:style>
  <w:style w:type="paragraph" w:customStyle="1" w:styleId="TF">
    <w:name w:val="TF"/>
    <w:basedOn w:val="TH"/>
    <w:rsid w:val="001B5496"/>
    <w:pPr>
      <w:keepNext w:val="0"/>
      <w:spacing w:before="0" w:after="240"/>
    </w:pPr>
  </w:style>
  <w:style w:type="paragraph" w:customStyle="1" w:styleId="NO">
    <w:name w:val="NO"/>
    <w:basedOn w:val="Normal"/>
    <w:rsid w:val="001B5496"/>
    <w:pPr>
      <w:keepLines/>
      <w:ind w:left="1135" w:hanging="851"/>
    </w:pPr>
  </w:style>
  <w:style w:type="paragraph" w:styleId="TOC9">
    <w:name w:val="toc 9"/>
    <w:basedOn w:val="TOC8"/>
    <w:semiHidden/>
    <w:rsid w:val="001B5496"/>
    <w:pPr>
      <w:ind w:left="1418" w:hanging="1418"/>
    </w:pPr>
  </w:style>
  <w:style w:type="paragraph" w:customStyle="1" w:styleId="EX">
    <w:name w:val="EX"/>
    <w:basedOn w:val="Normal"/>
    <w:rsid w:val="001B5496"/>
    <w:pPr>
      <w:keepLines/>
      <w:ind w:left="1702" w:hanging="1418"/>
    </w:pPr>
  </w:style>
  <w:style w:type="paragraph" w:customStyle="1" w:styleId="FP">
    <w:name w:val="FP"/>
    <w:basedOn w:val="Normal"/>
    <w:rsid w:val="001B5496"/>
    <w:pPr>
      <w:spacing w:after="0"/>
    </w:pPr>
  </w:style>
  <w:style w:type="paragraph" w:customStyle="1" w:styleId="LD">
    <w:name w:val="LD"/>
    <w:rsid w:val="001B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B5496"/>
    <w:pPr>
      <w:spacing w:after="0"/>
    </w:pPr>
  </w:style>
  <w:style w:type="paragraph" w:customStyle="1" w:styleId="EW">
    <w:name w:val="EW"/>
    <w:basedOn w:val="EX"/>
    <w:rsid w:val="001B5496"/>
    <w:pPr>
      <w:spacing w:after="0"/>
    </w:pPr>
  </w:style>
  <w:style w:type="paragraph" w:styleId="TOC6">
    <w:name w:val="toc 6"/>
    <w:basedOn w:val="TOC5"/>
    <w:next w:val="Normal"/>
    <w:semiHidden/>
    <w:rsid w:val="001B5496"/>
    <w:pPr>
      <w:ind w:left="1985" w:hanging="1985"/>
    </w:pPr>
  </w:style>
  <w:style w:type="paragraph" w:styleId="TOC7">
    <w:name w:val="toc 7"/>
    <w:basedOn w:val="TOC6"/>
    <w:next w:val="Normal"/>
    <w:semiHidden/>
    <w:rsid w:val="001B5496"/>
    <w:pPr>
      <w:ind w:left="2268" w:hanging="2268"/>
    </w:pPr>
  </w:style>
  <w:style w:type="paragraph" w:styleId="ListBullet2">
    <w:name w:val="List Bullet 2"/>
    <w:basedOn w:val="ListBullet"/>
    <w:semiHidden/>
    <w:rsid w:val="001B5496"/>
    <w:pPr>
      <w:ind w:left="851"/>
    </w:pPr>
  </w:style>
  <w:style w:type="paragraph" w:styleId="ListBullet3">
    <w:name w:val="List Bullet 3"/>
    <w:basedOn w:val="ListBullet2"/>
    <w:semiHidden/>
    <w:rsid w:val="001B5496"/>
    <w:pPr>
      <w:ind w:left="1135"/>
    </w:pPr>
  </w:style>
  <w:style w:type="paragraph" w:styleId="ListNumber">
    <w:name w:val="List Number"/>
    <w:basedOn w:val="List"/>
    <w:semiHidden/>
    <w:rsid w:val="001B5496"/>
  </w:style>
  <w:style w:type="paragraph" w:customStyle="1" w:styleId="EQ">
    <w:name w:val="EQ"/>
    <w:basedOn w:val="Normal"/>
    <w:next w:val="Normal"/>
    <w:rsid w:val="001B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B5496"/>
    <w:pPr>
      <w:jc w:val="right"/>
    </w:pPr>
  </w:style>
  <w:style w:type="paragraph" w:customStyle="1" w:styleId="H6">
    <w:name w:val="H6"/>
    <w:basedOn w:val="Heading5"/>
    <w:next w:val="Normal"/>
    <w:rsid w:val="001B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5496"/>
    <w:pPr>
      <w:ind w:left="851" w:hanging="851"/>
    </w:pPr>
  </w:style>
  <w:style w:type="paragraph" w:customStyle="1" w:styleId="TAL">
    <w:name w:val="TAL"/>
    <w:basedOn w:val="Normal"/>
    <w:rsid w:val="001B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B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B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B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B5496"/>
    <w:pPr>
      <w:framePr w:wrap="notBeside" w:y="16161"/>
    </w:pPr>
  </w:style>
  <w:style w:type="character" w:customStyle="1" w:styleId="ZGSM">
    <w:name w:val="ZGSM"/>
    <w:rsid w:val="001B5496"/>
  </w:style>
  <w:style w:type="paragraph" w:styleId="List2">
    <w:name w:val="List 2"/>
    <w:basedOn w:val="List"/>
    <w:semiHidden/>
    <w:rsid w:val="001B5496"/>
    <w:pPr>
      <w:ind w:left="851"/>
    </w:pPr>
  </w:style>
  <w:style w:type="paragraph" w:customStyle="1" w:styleId="ZG">
    <w:name w:val="ZG"/>
    <w:rsid w:val="001B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B5496"/>
    <w:pPr>
      <w:ind w:left="1135"/>
    </w:pPr>
  </w:style>
  <w:style w:type="paragraph" w:styleId="List4">
    <w:name w:val="List 4"/>
    <w:basedOn w:val="List3"/>
    <w:semiHidden/>
    <w:rsid w:val="001B5496"/>
    <w:pPr>
      <w:ind w:left="1418"/>
    </w:pPr>
  </w:style>
  <w:style w:type="paragraph" w:styleId="List5">
    <w:name w:val="List 5"/>
    <w:basedOn w:val="List4"/>
    <w:semiHidden/>
    <w:rsid w:val="001B5496"/>
    <w:pPr>
      <w:ind w:left="1702"/>
    </w:pPr>
  </w:style>
  <w:style w:type="paragraph" w:customStyle="1" w:styleId="EditorsNote">
    <w:name w:val="Editor's Note"/>
    <w:basedOn w:val="NO"/>
    <w:rsid w:val="001B5496"/>
    <w:rPr>
      <w:color w:val="FF0000"/>
    </w:rPr>
  </w:style>
  <w:style w:type="paragraph" w:styleId="List">
    <w:name w:val="List"/>
    <w:basedOn w:val="Normal"/>
    <w:semiHidden/>
    <w:rsid w:val="001B5496"/>
    <w:pPr>
      <w:ind w:left="568" w:hanging="284"/>
    </w:pPr>
  </w:style>
  <w:style w:type="paragraph" w:styleId="ListBullet">
    <w:name w:val="List Bullet"/>
    <w:basedOn w:val="List"/>
    <w:semiHidden/>
    <w:rsid w:val="001B5496"/>
  </w:style>
  <w:style w:type="paragraph" w:styleId="ListBullet4">
    <w:name w:val="List Bullet 4"/>
    <w:basedOn w:val="ListBullet3"/>
    <w:semiHidden/>
    <w:rsid w:val="001B5496"/>
    <w:pPr>
      <w:ind w:left="1418"/>
    </w:pPr>
  </w:style>
  <w:style w:type="paragraph" w:styleId="ListBullet5">
    <w:name w:val="List Bullet 5"/>
    <w:basedOn w:val="ListBullet4"/>
    <w:semiHidden/>
    <w:rsid w:val="001B5496"/>
    <w:pPr>
      <w:ind w:left="1702"/>
    </w:pPr>
  </w:style>
  <w:style w:type="paragraph" w:customStyle="1" w:styleId="B2">
    <w:name w:val="B2"/>
    <w:basedOn w:val="List2"/>
    <w:rsid w:val="001B5496"/>
  </w:style>
  <w:style w:type="paragraph" w:customStyle="1" w:styleId="B3">
    <w:name w:val="B3"/>
    <w:basedOn w:val="List3"/>
    <w:rsid w:val="001B5496"/>
  </w:style>
  <w:style w:type="paragraph" w:customStyle="1" w:styleId="B4">
    <w:name w:val="B4"/>
    <w:basedOn w:val="List4"/>
    <w:rsid w:val="001B5496"/>
  </w:style>
  <w:style w:type="paragraph" w:customStyle="1" w:styleId="B5">
    <w:name w:val="B5"/>
    <w:basedOn w:val="List5"/>
    <w:rsid w:val="001B5496"/>
  </w:style>
  <w:style w:type="paragraph" w:customStyle="1" w:styleId="ZTD">
    <w:name w:val="ZTD"/>
    <w:basedOn w:val="ZB"/>
    <w:rsid w:val="001B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23e/Docs/C3-22477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4</cp:revision>
  <cp:lastPrinted>2002-04-23T07:10:00Z</cp:lastPrinted>
  <dcterms:created xsi:type="dcterms:W3CDTF">2023-04-21T08:15:00Z</dcterms:created>
  <dcterms:modified xsi:type="dcterms:W3CDTF">2023-05-09T14:21:00Z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