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57"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273F06" w:rsidRPr="00273F06" w:rsidTr="000339BE">
        <w:trPr>
          <w:gridAfter w:val="1"/>
          <w:wAfter w:w="57" w:type="dxa"/>
          <w:cantSplit/>
        </w:trPr>
        <w:tc>
          <w:tcPr>
            <w:tcW w:w="1408" w:type="dxa"/>
            <w:vMerge w:val="restart"/>
          </w:tcPr>
          <w:p w:rsidR="00273F06" w:rsidRPr="00273F06" w:rsidRDefault="00273F06" w:rsidP="00273F06">
            <w:bookmarkStart w:id="0" w:name="InsertLogo"/>
            <w:bookmarkStart w:id="1" w:name="dnum" w:colFirst="2" w:colLast="2"/>
            <w:bookmarkStart w:id="2" w:name="dtableau"/>
            <w:bookmarkEnd w:id="0"/>
            <w:r w:rsidRPr="00273F06">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273F06" w:rsidRPr="00273F06" w:rsidRDefault="00273F06" w:rsidP="00273F06">
            <w:pPr>
              <w:rPr>
                <w:sz w:val="20"/>
              </w:rPr>
            </w:pPr>
            <w:r w:rsidRPr="00273F06">
              <w:rPr>
                <w:sz w:val="20"/>
              </w:rPr>
              <w:t>INTERNATIONAL TELECOMMUNICATION UNION</w:t>
            </w:r>
          </w:p>
        </w:tc>
        <w:tc>
          <w:tcPr>
            <w:tcW w:w="3326" w:type="dxa"/>
          </w:tcPr>
          <w:p w:rsidR="00273F06" w:rsidRPr="00273F06" w:rsidRDefault="00273F06" w:rsidP="00242B24">
            <w:pPr>
              <w:pStyle w:val="Docnumber"/>
              <w:rPr>
                <w:sz w:val="28"/>
              </w:rPr>
            </w:pPr>
            <w:r>
              <w:rPr>
                <w:sz w:val="28"/>
              </w:rPr>
              <w:t>COM 12 – LS 9</w:t>
            </w:r>
            <w:r w:rsidR="00242B24">
              <w:rPr>
                <w:sz w:val="28"/>
              </w:rPr>
              <w:t>1</w:t>
            </w:r>
            <w:r>
              <w:rPr>
                <w:sz w:val="28"/>
              </w:rPr>
              <w:t xml:space="preserve"> – E</w:t>
            </w:r>
          </w:p>
        </w:tc>
      </w:tr>
      <w:tr w:rsidR="00273F06" w:rsidRPr="00273F06" w:rsidTr="000339BE">
        <w:trPr>
          <w:gridAfter w:val="1"/>
          <w:wAfter w:w="57" w:type="dxa"/>
          <w:cantSplit/>
          <w:trHeight w:val="355"/>
        </w:trPr>
        <w:tc>
          <w:tcPr>
            <w:tcW w:w="1408" w:type="dxa"/>
            <w:vMerge/>
          </w:tcPr>
          <w:p w:rsidR="00273F06" w:rsidRPr="00273F06" w:rsidRDefault="00273F06" w:rsidP="00273F06">
            <w:bookmarkStart w:id="3" w:name="ddate" w:colFirst="2" w:colLast="2"/>
            <w:bookmarkEnd w:id="1"/>
          </w:p>
        </w:tc>
        <w:tc>
          <w:tcPr>
            <w:tcW w:w="4017" w:type="dxa"/>
            <w:gridSpan w:val="4"/>
            <w:vMerge w:val="restart"/>
          </w:tcPr>
          <w:p w:rsidR="00273F06" w:rsidRPr="00273F06" w:rsidRDefault="00273F06" w:rsidP="00273F06">
            <w:pPr>
              <w:rPr>
                <w:b/>
                <w:bCs/>
                <w:sz w:val="26"/>
              </w:rPr>
            </w:pPr>
            <w:r w:rsidRPr="00273F06">
              <w:rPr>
                <w:b/>
                <w:bCs/>
                <w:sz w:val="26"/>
              </w:rPr>
              <w:t>TELECOMMUNICATION</w:t>
            </w:r>
            <w:r w:rsidRPr="00273F06">
              <w:rPr>
                <w:b/>
                <w:bCs/>
                <w:sz w:val="26"/>
              </w:rPr>
              <w:br/>
              <w:t>STANDARDIZATION SECTOR</w:t>
            </w:r>
          </w:p>
          <w:p w:rsidR="00273F06" w:rsidRPr="00273F06" w:rsidRDefault="00273F06" w:rsidP="00273F06">
            <w:pPr>
              <w:rPr>
                <w:smallCaps/>
                <w:sz w:val="20"/>
              </w:rPr>
            </w:pPr>
            <w:r w:rsidRPr="00273F06">
              <w:rPr>
                <w:sz w:val="20"/>
              </w:rPr>
              <w:t xml:space="preserve">STUDY PERIOD </w:t>
            </w:r>
            <w:r>
              <w:rPr>
                <w:sz w:val="20"/>
              </w:rPr>
              <w:t>2013-2016</w:t>
            </w:r>
          </w:p>
        </w:tc>
        <w:tc>
          <w:tcPr>
            <w:tcW w:w="4441" w:type="dxa"/>
            <w:gridSpan w:val="3"/>
          </w:tcPr>
          <w:p w:rsidR="00273F06" w:rsidRPr="00273F06" w:rsidRDefault="00273F06" w:rsidP="00273F06">
            <w:pPr>
              <w:jc w:val="right"/>
              <w:rPr>
                <w:b/>
                <w:bCs/>
              </w:rPr>
            </w:pPr>
          </w:p>
        </w:tc>
      </w:tr>
      <w:tr w:rsidR="00273F06" w:rsidRPr="00273F06" w:rsidTr="000339BE">
        <w:trPr>
          <w:gridAfter w:val="1"/>
          <w:wAfter w:w="57" w:type="dxa"/>
          <w:cantSplit/>
          <w:trHeight w:val="780"/>
        </w:trPr>
        <w:tc>
          <w:tcPr>
            <w:tcW w:w="1408" w:type="dxa"/>
            <w:vMerge/>
            <w:tcBorders>
              <w:bottom w:val="single" w:sz="12" w:space="0" w:color="auto"/>
            </w:tcBorders>
          </w:tcPr>
          <w:p w:rsidR="00273F06" w:rsidRPr="00273F06" w:rsidRDefault="00273F06" w:rsidP="00273F06">
            <w:bookmarkStart w:id="4" w:name="dorlang" w:colFirst="2" w:colLast="2"/>
            <w:bookmarkEnd w:id="3"/>
          </w:p>
        </w:tc>
        <w:tc>
          <w:tcPr>
            <w:tcW w:w="4017" w:type="dxa"/>
            <w:gridSpan w:val="4"/>
            <w:vMerge/>
            <w:tcBorders>
              <w:bottom w:val="single" w:sz="12" w:space="0" w:color="auto"/>
            </w:tcBorders>
          </w:tcPr>
          <w:p w:rsidR="00273F06" w:rsidRPr="00273F06" w:rsidRDefault="00273F06" w:rsidP="00273F06">
            <w:pPr>
              <w:rPr>
                <w:b/>
                <w:bCs/>
                <w:sz w:val="26"/>
              </w:rPr>
            </w:pPr>
          </w:p>
        </w:tc>
        <w:tc>
          <w:tcPr>
            <w:tcW w:w="4441" w:type="dxa"/>
            <w:gridSpan w:val="3"/>
            <w:tcBorders>
              <w:bottom w:val="single" w:sz="12" w:space="0" w:color="auto"/>
            </w:tcBorders>
            <w:vAlign w:val="center"/>
          </w:tcPr>
          <w:p w:rsidR="00273F06" w:rsidRDefault="00273F06" w:rsidP="00273F06">
            <w:pPr>
              <w:jc w:val="right"/>
              <w:rPr>
                <w:b/>
                <w:bCs/>
                <w:sz w:val="28"/>
              </w:rPr>
            </w:pPr>
            <w:r>
              <w:rPr>
                <w:b/>
                <w:bCs/>
                <w:sz w:val="28"/>
              </w:rPr>
              <w:t>English only</w:t>
            </w:r>
          </w:p>
          <w:p w:rsidR="00273F06" w:rsidRPr="00273F06" w:rsidRDefault="00273F06" w:rsidP="00273F06">
            <w:pPr>
              <w:jc w:val="right"/>
              <w:rPr>
                <w:b/>
                <w:bCs/>
                <w:sz w:val="28"/>
              </w:rPr>
            </w:pPr>
            <w:r>
              <w:rPr>
                <w:b/>
                <w:bCs/>
                <w:sz w:val="28"/>
              </w:rPr>
              <w:t>Original: English</w:t>
            </w:r>
          </w:p>
        </w:tc>
      </w:tr>
      <w:tr w:rsidR="00273F06" w:rsidRPr="00273F06" w:rsidTr="000339BE">
        <w:trPr>
          <w:gridAfter w:val="1"/>
          <w:wAfter w:w="57" w:type="dxa"/>
          <w:cantSplit/>
          <w:trHeight w:val="357"/>
        </w:trPr>
        <w:tc>
          <w:tcPr>
            <w:tcW w:w="1607" w:type="dxa"/>
            <w:gridSpan w:val="2"/>
          </w:tcPr>
          <w:p w:rsidR="00273F06" w:rsidRPr="00273F06" w:rsidRDefault="00273F06" w:rsidP="00273F06">
            <w:pPr>
              <w:rPr>
                <w:b/>
                <w:bCs/>
              </w:rPr>
            </w:pPr>
            <w:bookmarkStart w:id="5" w:name="dmeeting" w:colFirst="2" w:colLast="2"/>
            <w:bookmarkStart w:id="6" w:name="dbluepink" w:colFirst="1" w:colLast="1"/>
            <w:bookmarkEnd w:id="4"/>
            <w:r w:rsidRPr="00273F06">
              <w:rPr>
                <w:b/>
                <w:bCs/>
              </w:rPr>
              <w:t>Question(s):</w:t>
            </w:r>
          </w:p>
        </w:tc>
        <w:tc>
          <w:tcPr>
            <w:tcW w:w="3341" w:type="dxa"/>
            <w:gridSpan w:val="2"/>
          </w:tcPr>
          <w:p w:rsidR="00273F06" w:rsidRPr="00273F06" w:rsidRDefault="00273F06" w:rsidP="00273F06">
            <w:r w:rsidRPr="00273F06">
              <w:t>2/12</w:t>
            </w:r>
          </w:p>
        </w:tc>
        <w:tc>
          <w:tcPr>
            <w:tcW w:w="4918" w:type="dxa"/>
            <w:gridSpan w:val="4"/>
          </w:tcPr>
          <w:p w:rsidR="00273F06" w:rsidRPr="00273F06" w:rsidRDefault="00273F06" w:rsidP="00273F06">
            <w:pPr>
              <w:jc w:val="right"/>
            </w:pPr>
            <w:r w:rsidRPr="00273F06">
              <w:t>Geneva, 12-21 January 2015</w:t>
            </w:r>
          </w:p>
        </w:tc>
      </w:tr>
      <w:tr w:rsidR="00273F06" w:rsidRPr="00273F06" w:rsidTr="000339BE">
        <w:trPr>
          <w:gridAfter w:val="1"/>
          <w:wAfter w:w="57" w:type="dxa"/>
          <w:cantSplit/>
          <w:trHeight w:val="357"/>
        </w:trPr>
        <w:tc>
          <w:tcPr>
            <w:tcW w:w="9866" w:type="dxa"/>
            <w:gridSpan w:val="8"/>
          </w:tcPr>
          <w:p w:rsidR="00273F06" w:rsidRPr="00273F06" w:rsidRDefault="00273F06" w:rsidP="00273F06">
            <w:pPr>
              <w:jc w:val="center"/>
              <w:rPr>
                <w:b/>
                <w:bCs/>
              </w:rPr>
            </w:pPr>
            <w:bookmarkStart w:id="7" w:name="dtitle" w:colFirst="0" w:colLast="0"/>
            <w:bookmarkEnd w:id="5"/>
            <w:bookmarkEnd w:id="6"/>
            <w:r w:rsidRPr="00273F06">
              <w:rPr>
                <w:b/>
                <w:bCs/>
              </w:rPr>
              <w:t>Ref.: TD 882 Rev.2 (GEN/12)</w:t>
            </w:r>
          </w:p>
        </w:tc>
      </w:tr>
      <w:tr w:rsidR="00273F06" w:rsidRPr="00273F06" w:rsidTr="000339BE">
        <w:trPr>
          <w:gridAfter w:val="1"/>
          <w:wAfter w:w="57" w:type="dxa"/>
          <w:cantSplit/>
          <w:trHeight w:val="357"/>
        </w:trPr>
        <w:tc>
          <w:tcPr>
            <w:tcW w:w="1607" w:type="dxa"/>
            <w:gridSpan w:val="2"/>
          </w:tcPr>
          <w:p w:rsidR="00273F06" w:rsidRPr="00273F06" w:rsidRDefault="00273F06" w:rsidP="00273F06">
            <w:pPr>
              <w:rPr>
                <w:b/>
                <w:bCs/>
              </w:rPr>
            </w:pPr>
            <w:bookmarkStart w:id="8" w:name="dsource" w:colFirst="1" w:colLast="1"/>
            <w:bookmarkEnd w:id="7"/>
            <w:r w:rsidRPr="00273F06">
              <w:rPr>
                <w:b/>
                <w:bCs/>
              </w:rPr>
              <w:t>Source:</w:t>
            </w:r>
          </w:p>
        </w:tc>
        <w:tc>
          <w:tcPr>
            <w:tcW w:w="8259" w:type="dxa"/>
            <w:gridSpan w:val="6"/>
          </w:tcPr>
          <w:p w:rsidR="00273F06" w:rsidRPr="00273F06" w:rsidRDefault="009D2F71" w:rsidP="00273F06">
            <w:r>
              <w:t>ITU-T Study Group 12</w:t>
            </w:r>
          </w:p>
        </w:tc>
      </w:tr>
      <w:tr w:rsidR="00273F06" w:rsidRPr="00273F06" w:rsidTr="000339BE">
        <w:trPr>
          <w:gridAfter w:val="1"/>
          <w:wAfter w:w="57" w:type="dxa"/>
          <w:cantSplit/>
          <w:trHeight w:val="357"/>
        </w:trPr>
        <w:tc>
          <w:tcPr>
            <w:tcW w:w="1607" w:type="dxa"/>
            <w:gridSpan w:val="2"/>
            <w:tcBorders>
              <w:bottom w:val="single" w:sz="12" w:space="0" w:color="auto"/>
            </w:tcBorders>
          </w:tcPr>
          <w:p w:rsidR="00273F06" w:rsidRPr="00273F06" w:rsidRDefault="00273F06" w:rsidP="00273F06">
            <w:pPr>
              <w:spacing w:after="120"/>
            </w:pPr>
            <w:bookmarkStart w:id="9" w:name="dtitle1" w:colFirst="1" w:colLast="1"/>
            <w:bookmarkEnd w:id="8"/>
            <w:r w:rsidRPr="00273F06">
              <w:rPr>
                <w:b/>
                <w:bCs/>
              </w:rPr>
              <w:t>Title:</w:t>
            </w:r>
          </w:p>
        </w:tc>
        <w:tc>
          <w:tcPr>
            <w:tcW w:w="8259" w:type="dxa"/>
            <w:gridSpan w:val="6"/>
            <w:tcBorders>
              <w:bottom w:val="single" w:sz="12" w:space="0" w:color="auto"/>
            </w:tcBorders>
          </w:tcPr>
          <w:p w:rsidR="00273F06" w:rsidRPr="00273F06" w:rsidRDefault="00273F06" w:rsidP="00D12CC1">
            <w:pPr>
              <w:spacing w:after="120"/>
            </w:pPr>
            <w:r w:rsidRPr="00273F06">
              <w:t>LS</w:t>
            </w:r>
            <w:r w:rsidR="00B02C33">
              <w:t>/</w:t>
            </w:r>
            <w:r w:rsidRPr="00273F06">
              <w:t>r on the requested revision of Recommendation P.10/G.100</w:t>
            </w:r>
            <w:r w:rsidR="00D24830">
              <w:t xml:space="preserve"> (</w:t>
            </w:r>
            <w:r w:rsidR="00D24830" w:rsidRPr="00D24830">
              <w:rPr>
                <w:i/>
                <w:iCs/>
              </w:rPr>
              <w:t xml:space="preserve">reply to </w:t>
            </w:r>
            <w:r w:rsidR="00D24830" w:rsidRPr="00D24830">
              <w:rPr>
                <w:i/>
                <w:iCs/>
                <w:lang w:val="en-US"/>
              </w:rPr>
              <w:t>3GPP TSG SA4 - LS 23 -E</w:t>
            </w:r>
            <w:r w:rsidR="00D24830">
              <w:t>)</w:t>
            </w:r>
            <w:r w:rsidRPr="00273F06">
              <w:t xml:space="preserve"> [from</w:t>
            </w:r>
            <w:r w:rsidR="00D24830">
              <w:t xml:space="preserve"> </w:t>
            </w:r>
            <w:r w:rsidR="009D2F71">
              <w:t>ITU-T SG12]</w:t>
            </w:r>
          </w:p>
        </w:tc>
      </w:tr>
      <w:bookmarkEnd w:id="2"/>
      <w:bookmarkEnd w:id="9"/>
      <w:tr w:rsidR="009F5CAB" w:rsidRPr="00240B32" w:rsidTr="000339BE">
        <w:trPr>
          <w:cantSplit/>
          <w:trHeight w:val="357"/>
        </w:trPr>
        <w:tc>
          <w:tcPr>
            <w:tcW w:w="9923" w:type="dxa"/>
            <w:gridSpan w:val="9"/>
            <w:tcBorders>
              <w:top w:val="single" w:sz="12" w:space="0" w:color="auto"/>
            </w:tcBorders>
          </w:tcPr>
          <w:p w:rsidR="009F5CAB" w:rsidRPr="00240B32" w:rsidRDefault="009F5CAB">
            <w:pPr>
              <w:jc w:val="center"/>
              <w:rPr>
                <w:b/>
              </w:rPr>
            </w:pPr>
            <w:r w:rsidRPr="00240B32">
              <w:rPr>
                <w:b/>
              </w:rPr>
              <w:t>LIAISON STATEMENT</w:t>
            </w:r>
          </w:p>
        </w:tc>
      </w:tr>
      <w:tr w:rsidR="003869CD" w:rsidRPr="00240B32" w:rsidTr="000339BE">
        <w:trPr>
          <w:cantSplit/>
          <w:trHeight w:val="357"/>
        </w:trPr>
        <w:tc>
          <w:tcPr>
            <w:tcW w:w="2171" w:type="dxa"/>
            <w:gridSpan w:val="3"/>
          </w:tcPr>
          <w:p w:rsidR="003869CD" w:rsidRPr="00240B32" w:rsidRDefault="003869CD" w:rsidP="003869CD">
            <w:pPr>
              <w:rPr>
                <w:b/>
                <w:bCs/>
              </w:rPr>
            </w:pPr>
            <w:r w:rsidRPr="00240B32">
              <w:rPr>
                <w:b/>
                <w:bCs/>
              </w:rPr>
              <w:t>For information to:</w:t>
            </w:r>
          </w:p>
        </w:tc>
        <w:tc>
          <w:tcPr>
            <w:tcW w:w="7752" w:type="dxa"/>
            <w:gridSpan w:val="6"/>
          </w:tcPr>
          <w:p w:rsidR="003869CD" w:rsidRPr="001E1908" w:rsidRDefault="003F0EB3" w:rsidP="003869CD">
            <w:pPr>
              <w:pStyle w:val="LSForInfo"/>
              <w:rPr>
                <w:b w:val="0"/>
                <w:bCs w:val="0"/>
                <w:lang w:eastAsia="ja-JP"/>
              </w:rPr>
            </w:pPr>
            <w:r w:rsidRPr="001E1908">
              <w:rPr>
                <w:b w:val="0"/>
                <w:bCs w:val="0"/>
                <w:szCs w:val="24"/>
              </w:rPr>
              <w:t>3GPP TSG SA WG4</w:t>
            </w:r>
          </w:p>
        </w:tc>
      </w:tr>
      <w:tr w:rsidR="003869CD" w:rsidRPr="00240B32" w:rsidTr="000339BE">
        <w:trPr>
          <w:cantSplit/>
          <w:trHeight w:val="357"/>
        </w:trPr>
        <w:tc>
          <w:tcPr>
            <w:tcW w:w="2171" w:type="dxa"/>
            <w:gridSpan w:val="3"/>
          </w:tcPr>
          <w:p w:rsidR="003869CD" w:rsidRPr="00240B32" w:rsidRDefault="003869CD" w:rsidP="000339BE">
            <w:pPr>
              <w:spacing w:after="120"/>
              <w:rPr>
                <w:b/>
                <w:bCs/>
              </w:rPr>
            </w:pPr>
            <w:r w:rsidRPr="00240B32">
              <w:rPr>
                <w:b/>
                <w:bCs/>
              </w:rPr>
              <w:t>Approval:</w:t>
            </w:r>
          </w:p>
        </w:tc>
        <w:tc>
          <w:tcPr>
            <w:tcW w:w="7752" w:type="dxa"/>
            <w:gridSpan w:val="6"/>
          </w:tcPr>
          <w:p w:rsidR="003869CD" w:rsidRPr="001E1908" w:rsidRDefault="00F1040E" w:rsidP="000339BE">
            <w:pPr>
              <w:spacing w:after="120"/>
              <w:rPr>
                <w:lang w:eastAsia="ja-JP"/>
              </w:rPr>
            </w:pPr>
            <w:r w:rsidRPr="001E1908">
              <w:t>ITU-T Study Group 12 (</w:t>
            </w:r>
            <w:r w:rsidR="005841A7">
              <w:t xml:space="preserve">Geneva, </w:t>
            </w:r>
            <w:r w:rsidRPr="001E1908">
              <w:t>21 January 2016)</w:t>
            </w:r>
          </w:p>
        </w:tc>
      </w:tr>
      <w:tr w:rsidR="00047370" w:rsidRPr="00240B32" w:rsidTr="000339BE">
        <w:trPr>
          <w:cantSplit/>
          <w:trHeight w:val="204"/>
        </w:trPr>
        <w:tc>
          <w:tcPr>
            <w:tcW w:w="1607" w:type="dxa"/>
            <w:gridSpan w:val="2"/>
            <w:tcBorders>
              <w:top w:val="single" w:sz="12" w:space="0" w:color="auto"/>
            </w:tcBorders>
          </w:tcPr>
          <w:p w:rsidR="00047370" w:rsidRPr="00240B32" w:rsidRDefault="00047370">
            <w:pPr>
              <w:rPr>
                <w:b/>
                <w:bCs/>
              </w:rPr>
            </w:pPr>
            <w:r w:rsidRPr="00240B32">
              <w:rPr>
                <w:b/>
                <w:bCs/>
              </w:rPr>
              <w:t>Contact:</w:t>
            </w:r>
          </w:p>
        </w:tc>
        <w:tc>
          <w:tcPr>
            <w:tcW w:w="4369" w:type="dxa"/>
            <w:gridSpan w:val="4"/>
            <w:tcBorders>
              <w:top w:val="single" w:sz="12" w:space="0" w:color="auto"/>
            </w:tcBorders>
          </w:tcPr>
          <w:p w:rsidR="00047370" w:rsidRPr="00240B32" w:rsidRDefault="003F0EB3" w:rsidP="00240B32">
            <w:pPr>
              <w:jc w:val="both"/>
              <w:rPr>
                <w:sz w:val="22"/>
                <w:lang w:eastAsia="ja-JP"/>
              </w:rPr>
            </w:pPr>
            <w:r>
              <w:rPr>
                <w:sz w:val="22"/>
                <w:lang w:eastAsia="ja-JP"/>
              </w:rPr>
              <w:t>Joachim Pomy</w:t>
            </w:r>
          </w:p>
          <w:p w:rsidR="00047370" w:rsidRPr="00240B32" w:rsidRDefault="003F0EB3" w:rsidP="00240B32">
            <w:pPr>
              <w:spacing w:before="0"/>
              <w:jc w:val="both"/>
              <w:rPr>
                <w:sz w:val="22"/>
                <w:lang w:eastAsia="ja-JP"/>
              </w:rPr>
            </w:pPr>
            <w:r>
              <w:rPr>
                <w:sz w:val="22"/>
                <w:lang w:eastAsia="ja-JP"/>
              </w:rPr>
              <w:t>Opticom GmbH</w:t>
            </w:r>
          </w:p>
          <w:p w:rsidR="00047370" w:rsidRPr="00240B32" w:rsidRDefault="003F0EB3" w:rsidP="00240B32">
            <w:pPr>
              <w:spacing w:before="0"/>
              <w:jc w:val="both"/>
              <w:rPr>
                <w:sz w:val="22"/>
                <w:lang w:eastAsia="ja-JP"/>
              </w:rPr>
            </w:pPr>
            <w:r>
              <w:rPr>
                <w:sz w:val="22"/>
                <w:lang w:eastAsia="ja-JP"/>
              </w:rPr>
              <w:t>Germany</w:t>
            </w:r>
          </w:p>
        </w:tc>
        <w:tc>
          <w:tcPr>
            <w:tcW w:w="3947" w:type="dxa"/>
            <w:gridSpan w:val="3"/>
            <w:tcBorders>
              <w:top w:val="single" w:sz="12" w:space="0" w:color="auto"/>
            </w:tcBorders>
          </w:tcPr>
          <w:p w:rsidR="00047370" w:rsidRPr="00240B32" w:rsidRDefault="00047370" w:rsidP="00273F06">
            <w:pPr>
              <w:jc w:val="both"/>
              <w:rPr>
                <w:sz w:val="22"/>
                <w:lang w:eastAsia="ja-JP"/>
              </w:rPr>
            </w:pPr>
            <w:r w:rsidRPr="00240B32">
              <w:rPr>
                <w:sz w:val="22"/>
              </w:rPr>
              <w:t>Tel:</w:t>
            </w:r>
            <w:r w:rsidRPr="00240B32">
              <w:rPr>
                <w:rFonts w:hint="eastAsia"/>
                <w:sz w:val="22"/>
                <w:lang w:eastAsia="ja-JP"/>
              </w:rPr>
              <w:t xml:space="preserve"> </w:t>
            </w:r>
            <w:r w:rsidRPr="00240B32">
              <w:rPr>
                <w:sz w:val="22"/>
                <w:lang w:eastAsia="ja-JP"/>
              </w:rPr>
              <w:tab/>
            </w:r>
            <w:r w:rsidR="003F0EB3">
              <w:rPr>
                <w:sz w:val="22"/>
                <w:lang w:eastAsia="ja-JP"/>
              </w:rPr>
              <w:t>+49 177 78 71958</w:t>
            </w:r>
          </w:p>
          <w:p w:rsidR="00047370" w:rsidRPr="00240B32" w:rsidRDefault="00047370" w:rsidP="003F0EB3">
            <w:pPr>
              <w:spacing w:before="0"/>
              <w:jc w:val="both"/>
              <w:rPr>
                <w:sz w:val="22"/>
                <w:lang w:eastAsia="ja-JP"/>
              </w:rPr>
            </w:pPr>
            <w:r w:rsidRPr="00240B32">
              <w:rPr>
                <w:sz w:val="22"/>
              </w:rPr>
              <w:t>Email:</w:t>
            </w:r>
            <w:r w:rsidRPr="00240B32">
              <w:rPr>
                <w:rFonts w:hint="eastAsia"/>
                <w:sz w:val="22"/>
                <w:lang w:eastAsia="ja-JP"/>
              </w:rPr>
              <w:t xml:space="preserve"> </w:t>
            </w:r>
            <w:r w:rsidRPr="00240B32">
              <w:rPr>
                <w:sz w:val="22"/>
                <w:lang w:eastAsia="ja-JP"/>
              </w:rPr>
              <w:tab/>
            </w:r>
            <w:hyperlink r:id="rId8" w:history="1">
              <w:r w:rsidR="00273F06" w:rsidRPr="00FE5C77">
                <w:rPr>
                  <w:rStyle w:val="Hyperlink"/>
                  <w:sz w:val="22"/>
                  <w:lang w:eastAsia="ja-JP"/>
                </w:rPr>
                <w:t>Consultant@joachimpomy.de</w:t>
              </w:r>
            </w:hyperlink>
            <w:r w:rsidR="00273F06">
              <w:rPr>
                <w:sz w:val="22"/>
                <w:lang w:eastAsia="ja-JP"/>
              </w:rPr>
              <w:t xml:space="preserve"> </w:t>
            </w:r>
          </w:p>
        </w:tc>
      </w:tr>
      <w:tr w:rsidR="003869CD" w:rsidRPr="00F54565" w:rsidTr="000339BE">
        <w:trPr>
          <w:cantSplit/>
          <w:trHeight w:val="204"/>
        </w:trPr>
        <w:tc>
          <w:tcPr>
            <w:tcW w:w="9923" w:type="dxa"/>
            <w:gridSpan w:val="9"/>
            <w:tcBorders>
              <w:top w:val="single" w:sz="12" w:space="0" w:color="auto"/>
            </w:tcBorders>
          </w:tcPr>
          <w:p w:rsidR="003869CD" w:rsidRPr="00F54565" w:rsidRDefault="003869CD">
            <w:pPr>
              <w:spacing w:before="0"/>
              <w:rPr>
                <w:sz w:val="16"/>
                <w:szCs w:val="16"/>
              </w:rPr>
            </w:pPr>
          </w:p>
        </w:tc>
      </w:tr>
    </w:tbl>
    <w:p w:rsidR="001833BE" w:rsidRPr="009D2F71" w:rsidRDefault="00EE34E4" w:rsidP="003F0EB3">
      <w:pPr>
        <w:jc w:val="both"/>
        <w:rPr>
          <w:rFonts w:asciiTheme="majorBidi" w:hAnsiTheme="majorBidi" w:cstheme="majorBidi"/>
          <w:lang w:eastAsia="ja-JP"/>
        </w:rPr>
      </w:pPr>
      <w:r w:rsidRPr="009D2F71">
        <w:rPr>
          <w:rFonts w:asciiTheme="majorBidi" w:hAnsiTheme="majorBidi" w:cstheme="majorBidi"/>
          <w:lang w:eastAsia="ja-JP"/>
        </w:rPr>
        <w:t xml:space="preserve">SG12 </w:t>
      </w:r>
      <w:r w:rsidR="003F0EB3" w:rsidRPr="009D2F71">
        <w:rPr>
          <w:rFonts w:asciiTheme="majorBidi" w:hAnsiTheme="majorBidi" w:cstheme="majorBidi"/>
          <w:lang w:eastAsia="ja-JP"/>
        </w:rPr>
        <w:t xml:space="preserve">acknowledges receipt of the LS from </w:t>
      </w:r>
      <w:r w:rsidR="003F0EB3" w:rsidRPr="009D2F71">
        <w:rPr>
          <w:rFonts w:asciiTheme="majorBidi" w:hAnsiTheme="majorBidi" w:cstheme="majorBidi"/>
          <w:szCs w:val="24"/>
        </w:rPr>
        <w:t xml:space="preserve">3GPP TSG SA WG4 to revise again our </w:t>
      </w:r>
      <w:r w:rsidR="00136BB2" w:rsidRPr="009D2F71">
        <w:rPr>
          <w:rFonts w:asciiTheme="majorBidi" w:hAnsiTheme="majorBidi" w:cstheme="majorBidi"/>
          <w:szCs w:val="24"/>
        </w:rPr>
        <w:t xml:space="preserve">recently </w:t>
      </w:r>
      <w:r w:rsidR="003F0EB3" w:rsidRPr="009D2F71">
        <w:rPr>
          <w:rFonts w:asciiTheme="majorBidi" w:hAnsiTheme="majorBidi" w:cstheme="majorBidi"/>
          <w:szCs w:val="24"/>
        </w:rPr>
        <w:t>revised Recommendation P.10/G.100</w:t>
      </w:r>
      <w:r w:rsidR="001833BE" w:rsidRPr="009D2F71">
        <w:rPr>
          <w:rFonts w:asciiTheme="majorBidi" w:hAnsiTheme="majorBidi" w:cstheme="majorBidi"/>
          <w:lang w:eastAsia="ja-JP"/>
        </w:rPr>
        <w:t>.</w:t>
      </w:r>
    </w:p>
    <w:p w:rsidR="003C05B1" w:rsidRPr="009D2F71" w:rsidRDefault="003C05B1" w:rsidP="003C05B1">
      <w:pPr>
        <w:jc w:val="both"/>
        <w:rPr>
          <w:rFonts w:asciiTheme="majorBidi" w:hAnsiTheme="majorBidi" w:cstheme="majorBidi"/>
          <w:lang w:eastAsia="ja-JP"/>
        </w:rPr>
      </w:pPr>
      <w:r w:rsidRPr="009D2F71">
        <w:rPr>
          <w:rFonts w:asciiTheme="majorBidi" w:hAnsiTheme="majorBidi" w:cstheme="majorBidi"/>
          <w:lang w:eastAsia="ja-JP"/>
        </w:rPr>
        <w:t xml:space="preserve">SG12 has discussed the LS in detail </w:t>
      </w:r>
      <w:r w:rsidR="00255EFD" w:rsidRPr="009D2F71">
        <w:rPr>
          <w:rFonts w:asciiTheme="majorBidi" w:hAnsiTheme="majorBidi" w:cstheme="majorBidi"/>
          <w:lang w:eastAsia="ja-JP"/>
        </w:rPr>
        <w:t xml:space="preserve">in Q.11 </w:t>
      </w:r>
      <w:r w:rsidRPr="009D2F71">
        <w:rPr>
          <w:rFonts w:asciiTheme="majorBidi" w:hAnsiTheme="majorBidi" w:cstheme="majorBidi"/>
          <w:lang w:eastAsia="ja-JP"/>
        </w:rPr>
        <w:t xml:space="preserve">and reached agreement </w:t>
      </w:r>
      <w:r w:rsidR="00255EFD" w:rsidRPr="009D2F71">
        <w:rPr>
          <w:rFonts w:asciiTheme="majorBidi" w:hAnsiTheme="majorBidi" w:cstheme="majorBidi"/>
          <w:lang w:eastAsia="ja-JP"/>
        </w:rPr>
        <w:t xml:space="preserve">in Q.2 </w:t>
      </w:r>
      <w:r w:rsidRPr="009D2F71">
        <w:rPr>
          <w:rFonts w:asciiTheme="majorBidi" w:hAnsiTheme="majorBidi" w:cstheme="majorBidi"/>
          <w:lang w:eastAsia="ja-JP"/>
        </w:rPr>
        <w:t xml:space="preserve">that the decision about the proposed modification of P.10/G.100 will be postponed to the next meeting of SG12 in order to give time to SG12 Rapporteurs to make considerations of possible implications on existing or planned Recommendations which are under the mandate of SG12. </w:t>
      </w:r>
    </w:p>
    <w:p w:rsidR="00E24D79" w:rsidRPr="009D2F71" w:rsidRDefault="00E24D79" w:rsidP="00B46447">
      <w:pPr>
        <w:rPr>
          <w:rFonts w:asciiTheme="majorBidi" w:hAnsiTheme="majorBidi" w:cstheme="majorBidi"/>
          <w:bCs/>
          <w:lang w:val="en-US" w:eastAsia="ja-JP"/>
        </w:rPr>
      </w:pPr>
      <w:r w:rsidRPr="009D2F71">
        <w:rPr>
          <w:rFonts w:asciiTheme="majorBidi" w:hAnsiTheme="majorBidi" w:cstheme="majorBidi"/>
          <w:bCs/>
          <w:lang w:val="en-US" w:eastAsia="ja-JP"/>
        </w:rPr>
        <w:t>The answer to the question raised by the LS from 3GPP is as follows and will be included in the LS reply as per TD-</w:t>
      </w:r>
      <w:r w:rsidR="00B46447" w:rsidRPr="009D2F71">
        <w:rPr>
          <w:rFonts w:asciiTheme="majorBidi" w:hAnsiTheme="majorBidi" w:cstheme="majorBidi"/>
          <w:bCs/>
          <w:lang w:val="en-US" w:eastAsia="ja-JP"/>
        </w:rPr>
        <w:t>882rev</w:t>
      </w:r>
      <w:r w:rsidR="00B46447">
        <w:rPr>
          <w:rFonts w:asciiTheme="majorBidi" w:hAnsiTheme="majorBidi" w:cstheme="majorBidi"/>
          <w:bCs/>
          <w:lang w:val="en-US" w:eastAsia="ja-JP"/>
        </w:rPr>
        <w:t>2</w:t>
      </w:r>
      <w:r w:rsidRPr="009D2F71">
        <w:rPr>
          <w:rFonts w:asciiTheme="majorBidi" w:hAnsiTheme="majorBidi" w:cstheme="majorBidi"/>
          <w:bCs/>
          <w:lang w:val="en-US" w:eastAsia="ja-JP"/>
        </w:rPr>
        <w:t>. In addition SG12 agreed to publish an Implementers Guide for Rec. P.10/G.100 Amd.4 with the same clarification.</w:t>
      </w:r>
    </w:p>
    <w:p w:rsidR="00E24D79" w:rsidRPr="009D2F71" w:rsidRDefault="00E24D79" w:rsidP="00F54565">
      <w:pPr>
        <w:spacing w:after="120"/>
        <w:ind w:left="567"/>
        <w:rPr>
          <w:rFonts w:asciiTheme="majorBidi" w:hAnsiTheme="majorBidi" w:cstheme="majorBidi"/>
          <w:lang w:val="en-US"/>
        </w:rPr>
      </w:pPr>
      <w:r w:rsidRPr="009D2F71">
        <w:rPr>
          <w:rFonts w:asciiTheme="majorBidi" w:hAnsiTheme="majorBidi" w:cstheme="majorBidi"/>
        </w:rPr>
        <w:t xml:space="preserve">In P.10/G.100 the definition of the attenuation at the bandwidth limits in Tables 1 to 4, are typographically misleading. </w:t>
      </w:r>
    </w:p>
    <w:p w:rsidR="00387E9F" w:rsidRPr="009D2F71" w:rsidRDefault="00387E9F" w:rsidP="00F54565">
      <w:pPr>
        <w:numPr>
          <w:ilvl w:val="0"/>
          <w:numId w:val="6"/>
        </w:numPr>
        <w:tabs>
          <w:tab w:val="clear" w:pos="794"/>
          <w:tab w:val="clear" w:pos="1191"/>
          <w:tab w:val="clear" w:pos="1588"/>
          <w:tab w:val="clear" w:pos="1636"/>
          <w:tab w:val="clear" w:pos="1985"/>
          <w:tab w:val="num" w:pos="1287"/>
        </w:tabs>
        <w:overflowPunct/>
        <w:autoSpaceDE/>
        <w:autoSpaceDN/>
        <w:adjustRightInd/>
        <w:spacing w:after="120"/>
        <w:ind w:left="1281" w:hanging="357"/>
        <w:textAlignment w:val="auto"/>
        <w:rPr>
          <w:rFonts w:asciiTheme="majorBidi" w:hAnsiTheme="majorBidi" w:cstheme="majorBidi"/>
        </w:rPr>
      </w:pPr>
      <w:r w:rsidRPr="009D2F71">
        <w:rPr>
          <w:rFonts w:asciiTheme="majorBidi" w:hAnsiTheme="majorBidi" w:cstheme="majorBidi"/>
        </w:rPr>
        <w:t xml:space="preserve">You should interpret “-40 dB (max.)” in Tables 1 to 4 as a minimum stop-band attenuation of 40dB in the filter definition (and thus a maximum stop-band gain of -40dB) </w:t>
      </w:r>
    </w:p>
    <w:p w:rsidR="00387E9F" w:rsidRPr="009D2F71" w:rsidRDefault="00387E9F" w:rsidP="00F54565">
      <w:pPr>
        <w:numPr>
          <w:ilvl w:val="0"/>
          <w:numId w:val="7"/>
        </w:numPr>
        <w:tabs>
          <w:tab w:val="clear" w:pos="794"/>
          <w:tab w:val="clear" w:pos="1191"/>
          <w:tab w:val="clear" w:pos="1588"/>
          <w:tab w:val="clear" w:pos="1636"/>
          <w:tab w:val="clear" w:pos="1985"/>
          <w:tab w:val="num" w:pos="1287"/>
        </w:tabs>
        <w:overflowPunct/>
        <w:autoSpaceDE/>
        <w:autoSpaceDN/>
        <w:adjustRightInd/>
        <w:spacing w:after="120"/>
        <w:ind w:left="1287"/>
        <w:textAlignment w:val="auto"/>
        <w:rPr>
          <w:rFonts w:asciiTheme="majorBidi" w:hAnsiTheme="majorBidi" w:cstheme="majorBidi"/>
        </w:rPr>
      </w:pPr>
      <w:r w:rsidRPr="009D2F71">
        <w:rPr>
          <w:rFonts w:asciiTheme="majorBidi" w:hAnsiTheme="majorBidi" w:cstheme="majorBidi"/>
        </w:rPr>
        <w:t>You should interpret “-50 dB (max.)” in Table 1 as a minimum stop-band attenuation of 50dB in the filter definition (and thus a maximum stop-band gain of -50dB)</w:t>
      </w:r>
    </w:p>
    <w:p w:rsidR="00387E9F" w:rsidRPr="009D2F71" w:rsidRDefault="00387E9F" w:rsidP="00F54565">
      <w:pPr>
        <w:numPr>
          <w:ilvl w:val="0"/>
          <w:numId w:val="8"/>
        </w:numPr>
        <w:tabs>
          <w:tab w:val="clear" w:pos="794"/>
          <w:tab w:val="clear" w:pos="1191"/>
          <w:tab w:val="clear" w:pos="1588"/>
          <w:tab w:val="clear" w:pos="1636"/>
          <w:tab w:val="clear" w:pos="1985"/>
          <w:tab w:val="num" w:pos="1287"/>
        </w:tabs>
        <w:overflowPunct/>
        <w:autoSpaceDE/>
        <w:autoSpaceDN/>
        <w:adjustRightInd/>
        <w:spacing w:after="120"/>
        <w:ind w:left="1287"/>
        <w:textAlignment w:val="auto"/>
        <w:rPr>
          <w:rFonts w:asciiTheme="majorBidi" w:hAnsiTheme="majorBidi" w:cstheme="majorBidi"/>
        </w:rPr>
      </w:pPr>
      <w:r w:rsidRPr="009D2F71">
        <w:rPr>
          <w:rFonts w:asciiTheme="majorBidi" w:hAnsiTheme="majorBidi" w:cstheme="majorBidi"/>
        </w:rPr>
        <w:t>You should interpret “-20 dB (max.)” in Table 1 as a minimum stop-band attenuation of 20dB in the filter definition (and thus a maximum stop-band gain of -20dB)</w:t>
      </w:r>
    </w:p>
    <w:p w:rsidR="00E24D79" w:rsidRPr="000339BE" w:rsidRDefault="00387E9F" w:rsidP="000339BE">
      <w:pPr>
        <w:pStyle w:val="enumlev1"/>
        <w:spacing w:before="120" w:after="120"/>
        <w:ind w:left="567" w:firstLine="0"/>
        <w:rPr>
          <w:rFonts w:asciiTheme="majorBidi" w:hAnsiTheme="majorBidi" w:cstheme="majorBidi"/>
          <w:lang w:val="en-US"/>
        </w:rPr>
      </w:pPr>
      <w:bookmarkStart w:id="10" w:name="_GoBack"/>
      <w:r w:rsidRPr="009D2F71">
        <w:rPr>
          <w:rFonts w:asciiTheme="majorBidi" w:hAnsiTheme="majorBidi" w:cstheme="majorBidi"/>
        </w:rPr>
        <w:t>The values define the minimum attenuation, it can be exceeded until the technical maximum.</w:t>
      </w:r>
    </w:p>
    <w:bookmarkEnd w:id="10"/>
    <w:p w:rsidR="001833BE" w:rsidRDefault="001833BE" w:rsidP="001833BE">
      <w:pPr>
        <w:jc w:val="center"/>
        <w:rPr>
          <w:lang w:eastAsia="ja-JP"/>
        </w:rPr>
      </w:pPr>
      <w:r>
        <w:rPr>
          <w:rFonts w:hint="eastAsia"/>
          <w:lang w:eastAsia="ja-JP"/>
        </w:rPr>
        <w:t>________________</w:t>
      </w:r>
    </w:p>
    <w:sectPr w:rsidR="001833BE" w:rsidSect="00273F06">
      <w:headerReference w:type="default" r:id="rId9"/>
      <w:headerReference w:type="firs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51A" w:rsidRDefault="00DF051A" w:rsidP="009F5CAB">
      <w:r>
        <w:separator/>
      </w:r>
    </w:p>
  </w:endnote>
  <w:endnote w:type="continuationSeparator" w:id="0">
    <w:p w:rsidR="00DF051A" w:rsidRDefault="00DF051A"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273F06" w:rsidRPr="00273F0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273F06" w:rsidRPr="00273F06" w:rsidRDefault="00273F06" w:rsidP="00273F06">
          <w:pPr>
            <w:spacing w:before="0"/>
            <w:rPr>
              <w:sz w:val="18"/>
            </w:rPr>
          </w:pPr>
          <w:r w:rsidRPr="00273F06">
            <w:rPr>
              <w:b/>
              <w:bCs/>
              <w:sz w:val="18"/>
            </w:rPr>
            <w:t>Attention:</w:t>
          </w:r>
          <w:r w:rsidRPr="00273F06">
            <w:rPr>
              <w:sz w:val="18"/>
            </w:rPr>
            <w:t xml:space="preserve"> Some or all of the material attached to this liaison statement may be subject to ITU copyright. In such a case this will be indicated in the individual document. </w:t>
          </w:r>
        </w:p>
        <w:p w:rsidR="00273F06" w:rsidRPr="00273F06" w:rsidRDefault="00273F06" w:rsidP="00273F06">
          <w:pPr>
            <w:spacing w:before="0"/>
            <w:rPr>
              <w:sz w:val="18"/>
            </w:rPr>
          </w:pPr>
          <w:r w:rsidRPr="00273F06">
            <w:rPr>
              <w:sz w:val="18"/>
            </w:rPr>
            <w:t>Such a copyright does not prevent the use of the material for its intended purpose, but it prevents the reproduction of all or part of it in a publication without the authorization of ITU.</w:t>
          </w:r>
        </w:p>
      </w:tc>
    </w:tr>
  </w:tbl>
  <w:p w:rsidR="00273F06" w:rsidRPr="00273F06" w:rsidRDefault="00273F06" w:rsidP="00273F0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51A" w:rsidRDefault="00DF051A" w:rsidP="009F5CAB">
      <w:r>
        <w:separator/>
      </w:r>
    </w:p>
  </w:footnote>
  <w:footnote w:type="continuationSeparator" w:id="0">
    <w:p w:rsidR="00DF051A" w:rsidRDefault="00DF051A"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A21" w:rsidRPr="00273F06" w:rsidRDefault="00273F06" w:rsidP="00273F06">
    <w:pPr>
      <w:pStyle w:val="Header"/>
    </w:pPr>
    <w:r w:rsidRPr="00273F06">
      <w:t xml:space="preserve">- </w:t>
    </w:r>
    <w:r w:rsidRPr="00273F06">
      <w:fldChar w:fldCharType="begin"/>
    </w:r>
    <w:r w:rsidRPr="00273F06">
      <w:instrText xml:space="preserve"> PAGE  \* MERGEFORMAT </w:instrText>
    </w:r>
    <w:r w:rsidRPr="00273F06">
      <w:fldChar w:fldCharType="separate"/>
    </w:r>
    <w:r w:rsidR="00DF273B">
      <w:rPr>
        <w:noProof/>
      </w:rPr>
      <w:t>2</w:t>
    </w:r>
    <w:r w:rsidRPr="00273F06">
      <w:fldChar w:fldCharType="end"/>
    </w:r>
    <w:r w:rsidRPr="00273F06">
      <w:t xml:space="preserve"> -</w:t>
    </w:r>
  </w:p>
  <w:p w:rsidR="00273F06" w:rsidRPr="00273F06" w:rsidRDefault="00273F06" w:rsidP="00273F06">
    <w:pPr>
      <w:pStyle w:val="Header"/>
      <w:spacing w:after="240"/>
    </w:pPr>
    <w:r w:rsidRPr="00273F06">
      <w:fldChar w:fldCharType="begin"/>
    </w:r>
    <w:r w:rsidRPr="00273F06">
      <w:instrText xml:space="preserve"> STYLEREF  Docnumber  </w:instrText>
    </w:r>
    <w:r w:rsidRPr="00273F06">
      <w:fldChar w:fldCharType="separate"/>
    </w:r>
    <w:r w:rsidR="00DF273B">
      <w:rPr>
        <w:noProof/>
      </w:rPr>
      <w:t>COM 12 – LS 91 – E</w:t>
    </w:r>
    <w:r w:rsidRPr="00273F0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565" w:rsidRPr="00F54565" w:rsidRDefault="00F54565" w:rsidP="00F54565">
    <w:pPr>
      <w:tabs>
        <w:tab w:val="right" w:pos="9639"/>
      </w:tabs>
      <w:ind w:right="-1"/>
      <w:rPr>
        <w:rFonts w:ascii="Arial" w:hAnsi="Arial" w:cs="Arial"/>
        <w:b/>
        <w:i/>
        <w:color w:val="000000"/>
        <w:sz w:val="22"/>
        <w:szCs w:val="22"/>
      </w:rPr>
    </w:pPr>
    <w:r w:rsidRPr="00F54565">
      <w:rPr>
        <w:rFonts w:ascii="Arial" w:hAnsi="Arial" w:cs="Arial"/>
        <w:sz w:val="22"/>
        <w:szCs w:val="22"/>
        <w:lang w:val="en-US"/>
      </w:rPr>
      <w:t>TSG-SA4#87 meeting</w:t>
    </w:r>
    <w:r w:rsidRPr="00F54565">
      <w:rPr>
        <w:rFonts w:ascii="Arial" w:hAnsi="Arial" w:cs="Arial"/>
        <w:b/>
        <w:i/>
        <w:sz w:val="22"/>
        <w:szCs w:val="22"/>
      </w:rPr>
      <w:tab/>
      <w:t>Tdoc S4 (16</w:t>
    </w:r>
    <w:r w:rsidRPr="00F54565">
      <w:rPr>
        <w:rFonts w:ascii="Arial" w:hAnsi="Arial" w:cs="Arial"/>
        <w:b/>
        <w:i/>
        <w:color w:val="000000"/>
        <w:sz w:val="22"/>
        <w:szCs w:val="22"/>
      </w:rPr>
      <w:t>)0</w:t>
    </w:r>
    <w:r w:rsidRPr="00F54565">
      <w:rPr>
        <w:rFonts w:ascii="Arial" w:hAnsi="Arial" w:cs="Arial"/>
        <w:b/>
        <w:i/>
        <w:color w:val="000000"/>
        <w:sz w:val="22"/>
        <w:szCs w:val="22"/>
      </w:rPr>
      <w:t>149</w:t>
    </w:r>
  </w:p>
  <w:p w:rsidR="00F54565" w:rsidRPr="00F54565" w:rsidRDefault="00F54565" w:rsidP="00F54565">
    <w:pPr>
      <w:tabs>
        <w:tab w:val="right" w:pos="9639"/>
      </w:tabs>
      <w:ind w:right="-1"/>
      <w:rPr>
        <w:rFonts w:ascii="Arial" w:hAnsi="Arial" w:cs="Arial"/>
        <w:color w:val="000000"/>
        <w:sz w:val="22"/>
        <w:szCs w:val="22"/>
      </w:rPr>
    </w:pPr>
    <w:r w:rsidRPr="00F54565">
      <w:rPr>
        <w:rFonts w:ascii="Arial" w:hAnsi="Arial" w:cs="Arial"/>
        <w:sz w:val="22"/>
        <w:szCs w:val="22"/>
      </w:rPr>
      <w:t>25 – 29 January, 2016, Sophia Antipolis, France</w:t>
    </w:r>
    <w:r w:rsidRPr="00F54565">
      <w:rPr>
        <w:rFonts w:ascii="Arial" w:hAnsi="Arial" w:cs="Arial"/>
        <w:sz w:val="22"/>
        <w:szCs w:val="22"/>
      </w:rPr>
      <w:tab/>
    </w:r>
    <w:r w:rsidRPr="00F54565">
      <w:rPr>
        <w:rFonts w:ascii="Arial" w:hAnsi="Arial" w:cs="Arial"/>
        <w:sz w:val="22"/>
        <w:szCs w:val="22"/>
      </w:rPr>
      <w:t>Agenda Item: 5.</w:t>
    </w:r>
    <w:r w:rsidRPr="00F54565">
      <w:rPr>
        <w:rFonts w:ascii="Arial" w:hAnsi="Arial" w:cs="Arial"/>
        <w:sz w:val="22"/>
        <w:szCs w:val="22"/>
      </w:rPr>
      <w:t>4</w:t>
    </w:r>
  </w:p>
  <w:p w:rsidR="00F54565" w:rsidRDefault="00F54565" w:rsidP="00F545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6BCE1574"/>
    <w:multiLevelType w:val="multilevel"/>
    <w:tmpl w:val="65585AE8"/>
    <w:lvl w:ilvl="0">
      <w:start w:val="1"/>
      <w:numFmt w:val="decimal"/>
      <w:lvlText w:val="%1."/>
      <w:lvlJc w:val="left"/>
      <w:pPr>
        <w:tabs>
          <w:tab w:val="num" w:pos="1636"/>
        </w:tabs>
        <w:ind w:left="1636" w:hanging="360"/>
      </w:pPr>
    </w:lvl>
    <w:lvl w:ilvl="1">
      <w:start w:val="1"/>
      <w:numFmt w:val="decimal"/>
      <w:lvlText w:val="%2."/>
      <w:lvlJc w:val="left"/>
      <w:pPr>
        <w:tabs>
          <w:tab w:val="num" w:pos="2356"/>
        </w:tabs>
        <w:ind w:left="2356" w:hanging="360"/>
      </w:pPr>
    </w:lvl>
    <w:lvl w:ilvl="2">
      <w:start w:val="1"/>
      <w:numFmt w:val="decimal"/>
      <w:lvlText w:val="%3."/>
      <w:lvlJc w:val="left"/>
      <w:pPr>
        <w:tabs>
          <w:tab w:val="num" w:pos="3076"/>
        </w:tabs>
        <w:ind w:left="3076" w:hanging="360"/>
      </w:pPr>
    </w:lvl>
    <w:lvl w:ilvl="3">
      <w:start w:val="1"/>
      <w:numFmt w:val="decimal"/>
      <w:lvlText w:val="%4."/>
      <w:lvlJc w:val="left"/>
      <w:pPr>
        <w:tabs>
          <w:tab w:val="num" w:pos="3796"/>
        </w:tabs>
        <w:ind w:left="3796" w:hanging="360"/>
      </w:pPr>
    </w:lvl>
    <w:lvl w:ilvl="4">
      <w:start w:val="1"/>
      <w:numFmt w:val="decimal"/>
      <w:lvlText w:val="%5."/>
      <w:lvlJc w:val="left"/>
      <w:pPr>
        <w:tabs>
          <w:tab w:val="num" w:pos="4516"/>
        </w:tabs>
        <w:ind w:left="4516" w:hanging="360"/>
      </w:pPr>
    </w:lvl>
    <w:lvl w:ilvl="5">
      <w:start w:val="1"/>
      <w:numFmt w:val="decimal"/>
      <w:lvlText w:val="%6."/>
      <w:lvlJc w:val="left"/>
      <w:pPr>
        <w:tabs>
          <w:tab w:val="num" w:pos="5236"/>
        </w:tabs>
        <w:ind w:left="5236" w:hanging="360"/>
      </w:pPr>
    </w:lvl>
    <w:lvl w:ilvl="6">
      <w:start w:val="1"/>
      <w:numFmt w:val="decimal"/>
      <w:lvlText w:val="%7."/>
      <w:lvlJc w:val="left"/>
      <w:pPr>
        <w:tabs>
          <w:tab w:val="num" w:pos="5956"/>
        </w:tabs>
        <w:ind w:left="5956" w:hanging="360"/>
      </w:pPr>
    </w:lvl>
    <w:lvl w:ilvl="7">
      <w:start w:val="1"/>
      <w:numFmt w:val="decimal"/>
      <w:lvlText w:val="%8."/>
      <w:lvlJc w:val="left"/>
      <w:pPr>
        <w:tabs>
          <w:tab w:val="num" w:pos="6676"/>
        </w:tabs>
        <w:ind w:left="6676" w:hanging="360"/>
      </w:pPr>
    </w:lvl>
    <w:lvl w:ilvl="8">
      <w:start w:val="1"/>
      <w:numFmt w:val="decimal"/>
      <w:lvlText w:val="%9."/>
      <w:lvlJc w:val="left"/>
      <w:pPr>
        <w:tabs>
          <w:tab w:val="num" w:pos="7396"/>
        </w:tabs>
        <w:ind w:left="7396" w:hanging="360"/>
      </w:pPr>
    </w:lvl>
  </w:abstractNum>
  <w:num w:numId="1">
    <w:abstractNumId w:val="0"/>
  </w:num>
  <w:num w:numId="2">
    <w:abstractNumId w:val="0"/>
  </w:num>
  <w:num w:numId="3">
    <w:abstractNumId w:val="0"/>
  </w:num>
  <w:num w:numId="4">
    <w:abstractNumId w:val="0"/>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339BE"/>
    <w:rsid w:val="00047370"/>
    <w:rsid w:val="00090648"/>
    <w:rsid w:val="00136BB2"/>
    <w:rsid w:val="001833BE"/>
    <w:rsid w:val="0019074F"/>
    <w:rsid w:val="001D2698"/>
    <w:rsid w:val="001E1908"/>
    <w:rsid w:val="00220C11"/>
    <w:rsid w:val="00226033"/>
    <w:rsid w:val="00240B32"/>
    <w:rsid w:val="00242B24"/>
    <w:rsid w:val="00255EFD"/>
    <w:rsid w:val="00273F06"/>
    <w:rsid w:val="002A0C60"/>
    <w:rsid w:val="00354FDF"/>
    <w:rsid w:val="003869CD"/>
    <w:rsid w:val="00387E9F"/>
    <w:rsid w:val="003946F3"/>
    <w:rsid w:val="003C05B1"/>
    <w:rsid w:val="003F0EB3"/>
    <w:rsid w:val="003F1A06"/>
    <w:rsid w:val="00421558"/>
    <w:rsid w:val="00577C5E"/>
    <w:rsid w:val="005841A7"/>
    <w:rsid w:val="005C0685"/>
    <w:rsid w:val="00720A21"/>
    <w:rsid w:val="00816DF6"/>
    <w:rsid w:val="00893EB3"/>
    <w:rsid w:val="008E4CF1"/>
    <w:rsid w:val="00944433"/>
    <w:rsid w:val="00945100"/>
    <w:rsid w:val="009D2F71"/>
    <w:rsid w:val="009F5CAB"/>
    <w:rsid w:val="00A05A62"/>
    <w:rsid w:val="00A24E26"/>
    <w:rsid w:val="00B00DB3"/>
    <w:rsid w:val="00B02C33"/>
    <w:rsid w:val="00B46447"/>
    <w:rsid w:val="00B611BC"/>
    <w:rsid w:val="00B80CA9"/>
    <w:rsid w:val="00BC576A"/>
    <w:rsid w:val="00C955F2"/>
    <w:rsid w:val="00CC5757"/>
    <w:rsid w:val="00D12CC1"/>
    <w:rsid w:val="00D24830"/>
    <w:rsid w:val="00DB131B"/>
    <w:rsid w:val="00DF051A"/>
    <w:rsid w:val="00DF273B"/>
    <w:rsid w:val="00E24D79"/>
    <w:rsid w:val="00E57200"/>
    <w:rsid w:val="00E64BE9"/>
    <w:rsid w:val="00EE34E4"/>
    <w:rsid w:val="00F1040E"/>
    <w:rsid w:val="00F27A8A"/>
    <w:rsid w:val="00F54565"/>
    <w:rsid w:val="00FA0D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6FA728C-3A09-40DC-AB0C-C829CD55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720A21"/>
    <w:pPr>
      <w:jc w:val="right"/>
    </w:pPr>
    <w:rPr>
      <w:b/>
      <w:bCs/>
      <w:sz w:val="40"/>
    </w:rPr>
  </w:style>
  <w:style w:type="character" w:customStyle="1" w:styleId="DocnumberChar">
    <w:name w:val="Docnumber Char"/>
    <w:link w:val="Docnumber"/>
    <w:rsid w:val="00720A21"/>
    <w:rPr>
      <w:b/>
      <w:bCs/>
      <w:sz w:val="40"/>
      <w:lang w:val="en-GB" w:eastAsia="en-US"/>
    </w:rPr>
  </w:style>
  <w:style w:type="character" w:styleId="Hyperlink">
    <w:name w:val="Hyperlink"/>
    <w:basedOn w:val="DefaultParagraphFont"/>
    <w:rsid w:val="00273F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sultant@joachimpomy.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ItutLiaison-Template.dot</Template>
  <TotalTime>2</TotalTime>
  <Pages>1</Pages>
  <Words>310</Words>
  <Characters>1772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LS/o-r on the requested revision of Recommendation P.10/G.100 [from 3GPP TSG SA WG4]</vt:lpstr>
      <vt:lpstr/>
    </vt:vector>
  </TitlesOfParts>
  <Manager>ITU-T</Manager>
  <Company>International Telecommunication Union (ITU)</Company>
  <LinksUpToDate>false</LinksUpToDate>
  <CharactersWithSpaces>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the requested revision of Recommendation P.10/G.100 [from 3GPP TSG SA WG4]</dc:title>
  <dc:subject/>
  <dc:creator>Rapporteur for Q2/12</dc:creator>
  <cp:keywords>2/12</cp:keywords>
  <dc:description>COM 12 – LS 92 – E  For: Geneva, 12-21 January 2015_x000d_Document date: _x000d_Saved by ITU51010564 at 15:54:38 on 21/01/2016</dc:description>
  <cp:lastModifiedBy>Paolino Usai</cp:lastModifiedBy>
  <cp:revision>3</cp:revision>
  <cp:lastPrinted>2002-08-01T07:30:00Z</cp:lastPrinted>
  <dcterms:created xsi:type="dcterms:W3CDTF">2016-01-22T10:13:00Z</dcterms:created>
  <dcterms:modified xsi:type="dcterms:W3CDTF">2016-01-22T10:14:00Z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92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2/12</vt:lpwstr>
  </property>
  <property fmtid="{D5CDD505-2E9C-101B-9397-08002B2CF9AE}" pid="6" name="Docdest">
    <vt:lpwstr>Geneva, 12-21 January 2015</vt:lpwstr>
  </property>
  <property fmtid="{D5CDD505-2E9C-101B-9397-08002B2CF9AE}" pid="7" name="Docauthor">
    <vt:lpwstr>Rapporteur for Q2/12</vt:lpwstr>
  </property>
</Properties>
</file>