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7222" w14:textId="1FE9473B" w:rsidR="00C607DF" w:rsidRPr="00805563" w:rsidRDefault="00C607DF" w:rsidP="00C607DF">
      <w:pPr>
        <w:widowControl w:val="0"/>
        <w:tabs>
          <w:tab w:val="right" w:pos="9639"/>
        </w:tabs>
        <w:spacing w:after="60"/>
        <w:rPr>
          <w:rFonts w:ascii="Arial" w:eastAsia="Batang" w:hAnsi="Arial"/>
          <w:b/>
          <w:sz w:val="24"/>
          <w:szCs w:val="24"/>
          <w:lang w:eastAsia="en-US"/>
        </w:rPr>
      </w:pPr>
      <w:r w:rsidRPr="00805563">
        <w:rPr>
          <w:rFonts w:ascii="Arial" w:eastAsia="Batang" w:hAnsi="Arial"/>
          <w:b/>
          <w:sz w:val="24"/>
          <w:szCs w:val="24"/>
          <w:lang w:eastAsia="en-US"/>
        </w:rPr>
        <w:t>3GPP TSG SA WG4#133-e</w:t>
      </w:r>
      <w:r w:rsidRPr="00805563">
        <w:rPr>
          <w:rFonts w:ascii="Arial" w:eastAsia="Batang" w:hAnsi="Arial"/>
          <w:b/>
          <w:sz w:val="24"/>
          <w:szCs w:val="24"/>
          <w:lang w:eastAsia="en-US"/>
        </w:rPr>
        <w:tab/>
        <w:t>Tdoc S4-25</w:t>
      </w:r>
      <w:r w:rsidR="00F92D2D">
        <w:rPr>
          <w:rFonts w:ascii="Arial" w:eastAsia="Batang" w:hAnsi="Arial"/>
          <w:b/>
          <w:sz w:val="24"/>
          <w:szCs w:val="24"/>
          <w:lang w:eastAsia="en-US"/>
        </w:rPr>
        <w:t>1467</w:t>
      </w:r>
    </w:p>
    <w:p w14:paraId="53955C31" w14:textId="77777777" w:rsidR="00C607DF" w:rsidRPr="00805563" w:rsidRDefault="00C607DF" w:rsidP="00C607DF">
      <w:pPr>
        <w:pStyle w:val="Header"/>
        <w:tabs>
          <w:tab w:val="right" w:pos="9630"/>
        </w:tabs>
        <w:rPr>
          <w:noProof w:val="0"/>
          <w:sz w:val="24"/>
          <w:szCs w:val="24"/>
        </w:rPr>
      </w:pPr>
      <w:r w:rsidRPr="00805563">
        <w:rPr>
          <w:rFonts w:eastAsia="Batang"/>
          <w:noProof w:val="0"/>
          <w:sz w:val="24"/>
          <w:szCs w:val="24"/>
        </w:rPr>
        <w:t>Online, 18-25 July 2025</w:t>
      </w:r>
      <w:r w:rsidRPr="00805563">
        <w:rPr>
          <w:rFonts w:eastAsia="Batang"/>
          <w:noProof w:val="0"/>
          <w:sz w:val="24"/>
          <w:szCs w:val="24"/>
        </w:rPr>
        <w:tab/>
      </w:r>
    </w:p>
    <w:p w14:paraId="23FE957A" w14:textId="77777777" w:rsidR="00C607DF" w:rsidRPr="00805563" w:rsidRDefault="00C607DF" w:rsidP="00C607DF">
      <w:pPr>
        <w:pStyle w:val="Header"/>
        <w:tabs>
          <w:tab w:val="right" w:pos="9498"/>
        </w:tabs>
        <w:rPr>
          <w:noProof w:val="0"/>
          <w:sz w:val="24"/>
        </w:rPr>
      </w:pPr>
    </w:p>
    <w:p w14:paraId="78B91C58" w14:textId="77777777" w:rsidR="00C607DF" w:rsidRPr="00805563" w:rsidRDefault="00C607DF" w:rsidP="00C607DF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5007B207" w14:textId="0C28DAC9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6E6480" w:rsidRPr="00220888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C607DF">
        <w:rPr>
          <w:rFonts w:cs="Arial"/>
          <w:b w:val="0"/>
          <w:bCs/>
          <w:sz w:val="24"/>
        </w:rPr>
        <w:t>109</w:t>
      </w:r>
      <w:r w:rsidRPr="00684CA1">
        <w:rPr>
          <w:rFonts w:cs="Arial"/>
          <w:b w:val="0"/>
          <w:bCs/>
          <w:sz w:val="24"/>
        </w:rPr>
        <w:tab/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0A4E67" w:rsidRPr="006E6480">
        <w:rPr>
          <w:rFonts w:cs="Arial"/>
          <w:b w:val="0"/>
          <w:bCs/>
          <w:sz w:val="24"/>
        </w:rPr>
        <w:t>-</w:t>
      </w:r>
      <w:r w:rsidR="00C607DF">
        <w:rPr>
          <w:rFonts w:cs="Arial"/>
          <w:b w:val="0"/>
          <w:bCs/>
          <w:sz w:val="24"/>
        </w:rPr>
        <w:t>25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524591CE" w14:textId="633BA5FF" w:rsidR="00595B52" w:rsidRPr="00DA709D" w:rsidRDefault="00C607DF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16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19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Sep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2025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Beijing</w:t>
      </w:r>
      <w:r w:rsidR="006E6480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China</w:t>
      </w: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</w:p>
    <w:p w14:paraId="21C5915E" w14:textId="08E503B6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607DF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C607DF">
        <w:rPr>
          <w:rFonts w:ascii="Arial" w:hAnsi="Arial" w:cs="Arial"/>
          <w:b/>
          <w:bCs/>
        </w:rPr>
        <w:t>ATIAS_Ph2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02FC315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proofErr w:type="gramStart"/>
      <w:r w:rsidR="00F92D2D" w:rsidRPr="00542025">
        <w:rPr>
          <w:rFonts w:ascii="Arial" w:hAnsi="Arial"/>
          <w:b/>
          <w:highlight w:val="yellow"/>
        </w:rPr>
        <w:t>N.N</w:t>
      </w:r>
      <w:proofErr w:type="gramEnd"/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D6E5063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607DF" w:rsidRPr="00C607DF">
        <w:rPr>
          <w:sz w:val="24"/>
          <w:szCs w:val="24"/>
        </w:rPr>
        <w:t>Rel-19 Work Item Exception for ATIAS_Ph2</w:t>
      </w:r>
    </w:p>
    <w:p w14:paraId="3C946738" w14:textId="676A483C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cronym:</w:t>
      </w:r>
      <w:r w:rsidR="00C607DF">
        <w:rPr>
          <w:sz w:val="24"/>
          <w:szCs w:val="24"/>
        </w:rPr>
        <w:tab/>
      </w:r>
      <w:r w:rsidR="0075141A" w:rsidRPr="000A4E67">
        <w:rPr>
          <w:sz w:val="24"/>
          <w:szCs w:val="24"/>
        </w:rPr>
        <w:tab/>
      </w:r>
      <w:r w:rsidR="00C607DF">
        <w:rPr>
          <w:sz w:val="24"/>
          <w:szCs w:val="24"/>
        </w:rPr>
        <w:t>ATIAS_Ph2</w:t>
      </w:r>
    </w:p>
    <w:p w14:paraId="2448A9DC" w14:textId="4A43DD01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C607DF" w:rsidRPr="00C607DF">
        <w:rPr>
          <w:sz w:val="24"/>
          <w:szCs w:val="24"/>
        </w:rPr>
        <w:t>1050113</w:t>
      </w:r>
    </w:p>
    <w:p w14:paraId="12A92096" w14:textId="6A100EB2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607DF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867EDC9" w:rsidR="00E72B61" w:rsidRPr="00684CA1" w:rsidRDefault="00E442C5" w:rsidP="00B066D2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ATIAS_Ph2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393F432B" w14:textId="77777777" w:rsidR="00C607DF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5BCDE91D" w14:textId="3E115038" w:rsidR="00187B47" w:rsidRPr="00DA709D" w:rsidRDefault="00C607D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56FE9794" w:rsidR="00187B47" w:rsidRPr="00DA709D" w:rsidRDefault="00C607D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2E3D4D9" w:rsidR="00187B47" w:rsidRPr="00DA709D" w:rsidRDefault="00C607D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064EEE06" w:rsidR="00187B47" w:rsidRPr="00DA709D" w:rsidRDefault="00C607D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1D0E1CC5" w:rsidR="00CE1F4D" w:rsidRPr="00DA709D" w:rsidRDefault="00C607D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607DF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C607DF" w:rsidRPr="00684CA1" w:rsidRDefault="00C607DF" w:rsidP="00C607DF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05BFFB5" w:rsidR="00C607DF" w:rsidRPr="00684CA1" w:rsidRDefault="00C607DF" w:rsidP="00C607DF">
            <w:pPr>
              <w:spacing w:after="0"/>
            </w:pPr>
            <w:r w:rsidRPr="00805563">
              <w:t>SA4#134</w:t>
            </w:r>
            <w:r w:rsidR="00657ECE">
              <w:t>,</w:t>
            </w:r>
            <w:r w:rsidRPr="00805563">
              <w:t xml:space="preserve"> 11-17 Nov 2025 (SA#110 December 2025)</w:t>
            </w:r>
          </w:p>
        </w:tc>
      </w:tr>
      <w:tr w:rsidR="00C607DF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C607DF" w:rsidRPr="00684CA1" w:rsidRDefault="00C607DF" w:rsidP="00C607DF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6475C42B" w:rsidR="00C607DF" w:rsidRPr="00684CA1" w:rsidRDefault="00C607DF" w:rsidP="00C607DF">
            <w:pPr>
              <w:pStyle w:val="Index1"/>
            </w:pPr>
          </w:p>
        </w:tc>
      </w:tr>
      <w:tr w:rsidR="00C607DF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C607DF" w:rsidRPr="00684CA1" w:rsidRDefault="00C607DF" w:rsidP="00C607DF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40814862" w:rsidR="00C607DF" w:rsidRPr="00684CA1" w:rsidRDefault="00C607DF" w:rsidP="00C607D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26.260, TS 26.261</w:t>
            </w:r>
          </w:p>
        </w:tc>
      </w:tr>
      <w:tr w:rsidR="00C607DF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C607DF" w:rsidRPr="00684CA1" w:rsidRDefault="00C607DF" w:rsidP="00C607DF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0DFB49FE" w:rsidR="00C607DF" w:rsidRPr="00684CA1" w:rsidRDefault="00C607DF" w:rsidP="00C607DF">
            <w:pPr>
              <w:pStyle w:val="Index1"/>
              <w:rPr>
                <w:bCs/>
              </w:rPr>
            </w:pPr>
            <w:r>
              <w:rPr>
                <w:bCs/>
              </w:rPr>
              <w:t>Testing of complex sound scene capture and transmission</w:t>
            </w:r>
          </w:p>
        </w:tc>
      </w:tr>
      <w:tr w:rsidR="00C607DF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07464209" w:rsidR="00C607DF" w:rsidRPr="00684CA1" w:rsidRDefault="00C607DF" w:rsidP="00C607DF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681607ED" w:rsidR="00C607DF" w:rsidRPr="00684CA1" w:rsidRDefault="00C607DF" w:rsidP="00C607DF">
            <w:pPr>
              <w:spacing w:after="0"/>
            </w:pPr>
            <w:r>
              <w:t>Only basic test methods and requirements from Release-18 are available for performance evaluation of immersive UEs supporting IVAS codec.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6FD05FA3" w14:textId="44C458D1" w:rsidR="006B22DE" w:rsidRDefault="00026622" w:rsidP="006B22DE">
      <w:pPr>
        <w:rPr>
          <w:lang w:eastAsia="zh-CN"/>
        </w:rPr>
      </w:pPr>
      <w:r w:rsidRPr="00026622">
        <w:rPr>
          <w:lang w:eastAsia="zh-CN"/>
        </w:rPr>
        <w:t xml:space="preserve">The work item ATIAS_Ph2 </w:t>
      </w:r>
      <w:r w:rsidR="00063F84" w:rsidRPr="00063F84">
        <w:rPr>
          <w:lang w:eastAsia="zh-CN"/>
        </w:rPr>
        <w:t xml:space="preserve">aims to develop and refine test methods and performance requirements for immersive audio services in </w:t>
      </w:r>
      <w:r w:rsidR="00063F84">
        <w:rPr>
          <w:lang w:eastAsia="zh-CN"/>
        </w:rPr>
        <w:t>UEs</w:t>
      </w:r>
      <w:r w:rsidR="00D33426">
        <w:rPr>
          <w:lang w:eastAsia="zh-CN"/>
        </w:rPr>
        <w:t xml:space="preserve"> and </w:t>
      </w:r>
      <w:r w:rsidRPr="00026622">
        <w:rPr>
          <w:lang w:eastAsia="zh-CN"/>
        </w:rPr>
        <w:t>was scheduled for completion at SA4#133-e in July 2025</w:t>
      </w:r>
      <w:r>
        <w:rPr>
          <w:lang w:eastAsia="zh-CN"/>
        </w:rPr>
        <w:t xml:space="preserve">. </w:t>
      </w:r>
      <w:r w:rsidRPr="00026622">
        <w:rPr>
          <w:lang w:eastAsia="zh-CN"/>
        </w:rPr>
        <w:t>While significant progress has been made since SA4#132, including the integration of several updates into the permanent document (ATIAS-2 v0.</w:t>
      </w:r>
      <w:r>
        <w:rPr>
          <w:lang w:eastAsia="zh-CN"/>
        </w:rPr>
        <w:t xml:space="preserve">5 in </w:t>
      </w:r>
      <w:hyperlink r:id="rId9" w:history="1">
        <w:r w:rsidRPr="00026622">
          <w:rPr>
            <w:rStyle w:val="Hyperlink"/>
            <w:lang w:eastAsia="zh-CN"/>
          </w:rPr>
          <w:t>S4-25136</w:t>
        </w:r>
        <w:r>
          <w:rPr>
            <w:rStyle w:val="Hyperlink"/>
            <w:lang w:eastAsia="zh-CN"/>
          </w:rPr>
          <w:t>4</w:t>
        </w:r>
      </w:hyperlink>
      <w:r w:rsidRPr="00026622">
        <w:rPr>
          <w:lang w:eastAsia="zh-CN"/>
        </w:rPr>
        <w:t>), formal Change Requests (CRs) to TS 26.260 and TS 26.261 cannot yet be finalized due to</w:t>
      </w:r>
      <w:r w:rsidR="00657ECE">
        <w:rPr>
          <w:lang w:eastAsia="zh-CN"/>
        </w:rPr>
        <w:t xml:space="preserve"> some</w:t>
      </w:r>
      <w:r w:rsidRPr="00026622">
        <w:rPr>
          <w:lang w:eastAsia="zh-CN"/>
        </w:rPr>
        <w:t xml:space="preserve"> outstanding inputs and unresolved dependencies.</w:t>
      </w:r>
      <w:r w:rsidR="006B22DE">
        <w:rPr>
          <w:lang w:eastAsia="zh-CN"/>
        </w:rPr>
        <w:t xml:space="preserve"> In particular, the finalization of "ambient sound field generation and transmission" tests (clause 5.3) depends on:</w:t>
      </w:r>
    </w:p>
    <w:p w14:paraId="27F1DCA3" w14:textId="584DE556" w:rsidR="006B22DE" w:rsidRDefault="006B22DE" w:rsidP="006B22DE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 xml:space="preserve">ETSI STQ's update to TS 103 224 </w:t>
      </w:r>
      <w:r w:rsidR="00657ECE">
        <w:rPr>
          <w:lang w:eastAsia="zh-CN"/>
        </w:rPr>
        <w:t xml:space="preserve">for </w:t>
      </w:r>
      <w:r>
        <w:rPr>
          <w:lang w:eastAsia="zh-CN"/>
        </w:rPr>
        <w:t>reproduction of scene-based audio</w:t>
      </w:r>
      <w:r w:rsidR="00657ECE">
        <w:rPr>
          <w:lang w:eastAsia="zh-CN"/>
        </w:rPr>
        <w:t xml:space="preserve"> (</w:t>
      </w:r>
      <w:r>
        <w:rPr>
          <w:lang w:eastAsia="zh-CN"/>
        </w:rPr>
        <w:t>which may not conclude within Rel-19</w:t>
      </w:r>
      <w:r w:rsidR="00657ECE">
        <w:rPr>
          <w:lang w:eastAsia="zh-CN"/>
        </w:rPr>
        <w:t>)</w:t>
      </w:r>
      <w:r>
        <w:rPr>
          <w:lang w:eastAsia="zh-CN"/>
        </w:rPr>
        <w:t>.</w:t>
      </w:r>
    </w:p>
    <w:p w14:paraId="1491F02F" w14:textId="05251FA2" w:rsidR="006B22DE" w:rsidRDefault="006B22DE" w:rsidP="006B22DE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="00657ECE">
        <w:rPr>
          <w:lang w:eastAsia="zh-CN"/>
        </w:rPr>
        <w:t>Availability</w:t>
      </w:r>
      <w:r>
        <w:rPr>
          <w:lang w:eastAsia="zh-CN"/>
        </w:rPr>
        <w:t xml:space="preserve"> of an IVAS codec SDP parameter ("capture type") impacting test methodology.</w:t>
      </w:r>
    </w:p>
    <w:p w14:paraId="4FFD6569" w14:textId="66F44E4C" w:rsidR="002A19ED" w:rsidRDefault="006B22DE" w:rsidP="00232B1E">
      <w:pPr>
        <w:rPr>
          <w:lang w:eastAsia="zh-CN"/>
        </w:rPr>
      </w:pPr>
      <w:r>
        <w:rPr>
          <w:lang w:eastAsia="zh-CN"/>
        </w:rPr>
        <w:t xml:space="preserve">The remaining content </w:t>
      </w:r>
      <w:r w:rsidRPr="006B22DE">
        <w:rPr>
          <w:lang w:eastAsia="zh-CN"/>
        </w:rPr>
        <w:t xml:space="preserve">in </w:t>
      </w:r>
      <w:r>
        <w:rPr>
          <w:lang w:eastAsia="zh-CN"/>
        </w:rPr>
        <w:t xml:space="preserve">ATIAS-2 </w:t>
      </w:r>
      <w:r w:rsidRPr="006B22DE">
        <w:rPr>
          <w:lang w:eastAsia="zh-CN"/>
        </w:rPr>
        <w:t>(acoustic echo control, headtracking, rendering) is stable and ready for drafting</w:t>
      </w:r>
      <w:r w:rsidR="00657ECE">
        <w:rPr>
          <w:lang w:eastAsia="zh-CN"/>
        </w:rPr>
        <w:t xml:space="preserve"> formal CRs</w:t>
      </w:r>
      <w:r w:rsidRPr="006B22DE">
        <w:rPr>
          <w:lang w:eastAsia="zh-CN"/>
        </w:rPr>
        <w:t>.</w:t>
      </w:r>
      <w:r w:rsidR="00657ECE" w:rsidRPr="00657ECE">
        <w:rPr>
          <w:lang w:eastAsia="zh-CN"/>
        </w:rPr>
        <w:t xml:space="preserve"> </w:t>
      </w:r>
      <w:r w:rsidR="00657ECE">
        <w:rPr>
          <w:lang w:eastAsia="zh-CN"/>
        </w:rPr>
        <w:t xml:space="preserve">Further details on each individual work item objectives were summarized in </w:t>
      </w:r>
      <w:hyperlink r:id="rId10" w:history="1">
        <w:r w:rsidR="00657ECE" w:rsidRPr="00657ECE">
          <w:rPr>
            <w:rStyle w:val="Hyperlink"/>
            <w:lang w:eastAsia="zh-CN"/>
          </w:rPr>
          <w:t>S4aA250071</w:t>
        </w:r>
      </w:hyperlink>
      <w:r w:rsidR="00657ECE">
        <w:rPr>
          <w:lang w:eastAsia="zh-CN"/>
        </w:rPr>
        <w:t>.</w:t>
      </w:r>
      <w:r>
        <w:rPr>
          <w:lang w:eastAsia="zh-CN"/>
        </w:rPr>
        <w:t xml:space="preserve"> </w:t>
      </w:r>
      <w:r w:rsidR="00657ECE">
        <w:rPr>
          <w:lang w:eastAsia="zh-CN"/>
        </w:rPr>
        <w:t>Possible m</w:t>
      </w:r>
      <w:r>
        <w:rPr>
          <w:lang w:eastAsia="zh-CN"/>
        </w:rPr>
        <w:t xml:space="preserve">inor </w:t>
      </w:r>
      <w:r w:rsidR="00657ECE">
        <w:rPr>
          <w:lang w:eastAsia="zh-CN"/>
        </w:rPr>
        <w:t xml:space="preserve">remaining </w:t>
      </w:r>
      <w:r w:rsidRPr="006B22DE">
        <w:rPr>
          <w:lang w:eastAsia="zh-CN"/>
        </w:rPr>
        <w:t xml:space="preserve">issues </w:t>
      </w:r>
      <w:r w:rsidR="00657ECE">
        <w:rPr>
          <w:lang w:eastAsia="zh-CN"/>
        </w:rPr>
        <w:t xml:space="preserve">like e.g., removing </w:t>
      </w:r>
      <w:r w:rsidR="00657ECE" w:rsidRPr="006B22DE">
        <w:rPr>
          <w:lang w:eastAsia="zh-CN"/>
        </w:rPr>
        <w:t>bracketed text</w:t>
      </w:r>
      <w:r w:rsidR="00657ECE">
        <w:rPr>
          <w:lang w:eastAsia="zh-CN"/>
        </w:rPr>
        <w:t xml:space="preserve"> and/or </w:t>
      </w:r>
      <w:r w:rsidR="00657ECE" w:rsidRPr="006B22DE">
        <w:rPr>
          <w:lang w:eastAsia="zh-CN"/>
        </w:rPr>
        <w:t xml:space="preserve">TBDs </w:t>
      </w:r>
      <w:r w:rsidR="00657ECE">
        <w:rPr>
          <w:lang w:eastAsia="zh-CN"/>
        </w:rPr>
        <w:t xml:space="preserve">are intended to be </w:t>
      </w:r>
      <w:r w:rsidR="00657ECE" w:rsidRPr="006B22DE">
        <w:rPr>
          <w:lang w:eastAsia="zh-CN"/>
        </w:rPr>
        <w:t>resolv</w:t>
      </w:r>
      <w:r w:rsidR="00657ECE">
        <w:rPr>
          <w:lang w:eastAsia="zh-CN"/>
        </w:rPr>
        <w:t xml:space="preserve">ed in an additional </w:t>
      </w:r>
      <w:r w:rsidRPr="006B22DE">
        <w:rPr>
          <w:lang w:eastAsia="zh-CN"/>
        </w:rPr>
        <w:t>ad-hoc session (</w:t>
      </w:r>
      <w:r w:rsidR="00657ECE">
        <w:rPr>
          <w:lang w:eastAsia="zh-CN"/>
        </w:rPr>
        <w:t xml:space="preserve">scheduled in first week of </w:t>
      </w:r>
      <w:r w:rsidR="00232B1E">
        <w:rPr>
          <w:lang w:eastAsia="zh-CN"/>
        </w:rPr>
        <w:t>September</w:t>
      </w:r>
      <w:r w:rsidRPr="006B22DE">
        <w:rPr>
          <w:lang w:eastAsia="zh-CN"/>
        </w:rPr>
        <w:t xml:space="preserve"> 2025</w:t>
      </w:r>
      <w:r w:rsidR="00657ECE">
        <w:rPr>
          <w:lang w:eastAsia="zh-CN"/>
        </w:rPr>
        <w:t>)</w:t>
      </w:r>
      <w:r w:rsidR="002A19ED">
        <w:rPr>
          <w:lang w:eastAsia="zh-CN"/>
        </w:rPr>
        <w:t>, leading to an agreed version of the permanent document ATIAS-2.</w:t>
      </w:r>
    </w:p>
    <w:p w14:paraId="6F9A6C34" w14:textId="626C9243" w:rsidR="006B22DE" w:rsidRDefault="002A19ED" w:rsidP="00232B1E">
      <w:pPr>
        <w:rPr>
          <w:lang w:eastAsia="zh-CN"/>
        </w:rPr>
      </w:pPr>
      <w:r>
        <w:rPr>
          <w:lang w:eastAsia="zh-CN"/>
        </w:rPr>
        <w:t xml:space="preserve">Based on the finalized version of ATIAS-2, </w:t>
      </w:r>
      <w:r w:rsidR="00232B1E">
        <w:rPr>
          <w:lang w:eastAsia="zh-CN"/>
        </w:rPr>
        <w:t xml:space="preserve">CRs to TS 26.260/261 </w:t>
      </w:r>
      <w:r w:rsidR="0007629E">
        <w:rPr>
          <w:lang w:eastAsia="zh-CN"/>
        </w:rPr>
        <w:t xml:space="preserve">will </w:t>
      </w:r>
      <w:r>
        <w:rPr>
          <w:lang w:eastAsia="zh-CN"/>
        </w:rPr>
        <w:t xml:space="preserve">be prepared and submitted as inputs </w:t>
      </w:r>
      <w:r w:rsidR="00232B1E">
        <w:rPr>
          <w:lang w:eastAsia="zh-CN"/>
        </w:rPr>
        <w:t>at SA4#134 for approval.</w:t>
      </w:r>
      <w:r w:rsidR="0007629E">
        <w:rPr>
          <w:lang w:eastAsia="zh-CN"/>
        </w:rPr>
        <w:t xml:space="preserve"> </w:t>
      </w:r>
      <w:r w:rsidR="0093300B">
        <w:rPr>
          <w:lang w:eastAsia="zh-CN"/>
        </w:rPr>
        <w:t>Any p</w:t>
      </w:r>
      <w:r w:rsidR="0007629E">
        <w:rPr>
          <w:lang w:eastAsia="zh-CN"/>
        </w:rPr>
        <w:t xml:space="preserve">ossibly </w:t>
      </w:r>
      <w:r w:rsidR="00232B1E">
        <w:rPr>
          <w:lang w:eastAsia="zh-CN"/>
        </w:rPr>
        <w:t>unresolved aspects (</w:t>
      </w:r>
      <w:r w:rsidR="0007629E">
        <w:rPr>
          <w:lang w:eastAsia="zh-CN"/>
        </w:rPr>
        <w:t xml:space="preserve">like </w:t>
      </w:r>
      <w:r w:rsidR="00232B1E">
        <w:rPr>
          <w:lang w:eastAsia="zh-CN"/>
        </w:rPr>
        <w:t>e.g., dependencies</w:t>
      </w:r>
      <w:r w:rsidR="0007629E">
        <w:rPr>
          <w:lang w:eastAsia="zh-CN"/>
        </w:rPr>
        <w:t xml:space="preserve"> on ETSI STQ</w:t>
      </w:r>
      <w:r w:rsidR="00232B1E">
        <w:rPr>
          <w:lang w:eastAsia="zh-CN"/>
        </w:rPr>
        <w:t>)</w:t>
      </w:r>
      <w:r w:rsidR="0007629E">
        <w:rPr>
          <w:lang w:eastAsia="zh-CN"/>
        </w:rPr>
        <w:t xml:space="preserve"> </w:t>
      </w:r>
      <w:r w:rsidR="0093300B">
        <w:rPr>
          <w:lang w:eastAsia="zh-CN"/>
        </w:rPr>
        <w:t xml:space="preserve">will be postponed </w:t>
      </w:r>
      <w:r w:rsidR="00232B1E">
        <w:rPr>
          <w:lang w:eastAsia="zh-CN"/>
        </w:rPr>
        <w:t xml:space="preserve">to </w:t>
      </w:r>
      <w:r w:rsidR="0007629E">
        <w:rPr>
          <w:lang w:eastAsia="zh-CN"/>
        </w:rPr>
        <w:t xml:space="preserve">later normative </w:t>
      </w:r>
      <w:r w:rsidR="0093300B">
        <w:rPr>
          <w:lang w:eastAsia="zh-CN"/>
        </w:rPr>
        <w:t>w</w:t>
      </w:r>
      <w:r w:rsidR="0007629E">
        <w:rPr>
          <w:lang w:eastAsia="zh-CN"/>
        </w:rPr>
        <w:t xml:space="preserve">ork in </w:t>
      </w:r>
      <w:r w:rsidR="00232B1E">
        <w:rPr>
          <w:lang w:eastAsia="zh-CN"/>
        </w:rPr>
        <w:t>Rel</w:t>
      </w:r>
      <w:r w:rsidR="0007629E">
        <w:rPr>
          <w:lang w:eastAsia="zh-CN"/>
        </w:rPr>
        <w:t>ease</w:t>
      </w:r>
      <w:r w:rsidR="0007629E">
        <w:rPr>
          <w:lang w:eastAsia="zh-CN"/>
        </w:rPr>
        <w:noBreakHyphen/>
      </w:r>
      <w:r w:rsidR="00232B1E">
        <w:rPr>
          <w:lang w:eastAsia="zh-CN"/>
        </w:rPr>
        <w:t>20.</w:t>
      </w:r>
    </w:p>
    <w:p w14:paraId="3D5939DD" w14:textId="77777777" w:rsidR="006B22DE" w:rsidRPr="00684CA1" w:rsidRDefault="006B22DE" w:rsidP="00E72B61">
      <w:pPr>
        <w:rPr>
          <w:lang w:eastAsia="zh-CN"/>
        </w:rPr>
      </w:pP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7E6219B4" w:rsidR="00E72B61" w:rsidRPr="00684CA1" w:rsidRDefault="00C607DF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CC58" w14:textId="77777777" w:rsidR="00A66DA1" w:rsidRDefault="00A66DA1">
      <w:r>
        <w:separator/>
      </w:r>
    </w:p>
  </w:endnote>
  <w:endnote w:type="continuationSeparator" w:id="0">
    <w:p w14:paraId="36072DE5" w14:textId="77777777" w:rsidR="00A66DA1" w:rsidRDefault="00A6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0CCD" w14:textId="77777777" w:rsidR="00A66DA1" w:rsidRDefault="00A66DA1">
      <w:r>
        <w:separator/>
      </w:r>
    </w:p>
  </w:footnote>
  <w:footnote w:type="continuationSeparator" w:id="0">
    <w:p w14:paraId="39DFD085" w14:textId="77777777" w:rsidR="00A66DA1" w:rsidRDefault="00A6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26622"/>
    <w:rsid w:val="00052BF8"/>
    <w:rsid w:val="00057116"/>
    <w:rsid w:val="00063F84"/>
    <w:rsid w:val="00074015"/>
    <w:rsid w:val="0007629E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146DD"/>
    <w:rsid w:val="00220888"/>
    <w:rsid w:val="00223AB7"/>
    <w:rsid w:val="00232B1E"/>
    <w:rsid w:val="0025646D"/>
    <w:rsid w:val="002676EC"/>
    <w:rsid w:val="002A19ED"/>
    <w:rsid w:val="002A5AC7"/>
    <w:rsid w:val="002C5575"/>
    <w:rsid w:val="002E7A9E"/>
    <w:rsid w:val="003205AD"/>
    <w:rsid w:val="003225E2"/>
    <w:rsid w:val="00335FB2"/>
    <w:rsid w:val="00344158"/>
    <w:rsid w:val="00363594"/>
    <w:rsid w:val="003A1EB0"/>
    <w:rsid w:val="003B277F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4D5C13"/>
    <w:rsid w:val="00520A9C"/>
    <w:rsid w:val="005340C8"/>
    <w:rsid w:val="00542025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57ECE"/>
    <w:rsid w:val="00663FF2"/>
    <w:rsid w:val="00671BBB"/>
    <w:rsid w:val="00682237"/>
    <w:rsid w:val="00684CA1"/>
    <w:rsid w:val="006B22DE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871EB"/>
    <w:rsid w:val="008A76FD"/>
    <w:rsid w:val="008C537F"/>
    <w:rsid w:val="008D658B"/>
    <w:rsid w:val="009058AB"/>
    <w:rsid w:val="0093300B"/>
    <w:rsid w:val="009437A2"/>
    <w:rsid w:val="00945471"/>
    <w:rsid w:val="00985B73"/>
    <w:rsid w:val="009A3BC4"/>
    <w:rsid w:val="009D0521"/>
    <w:rsid w:val="00A10539"/>
    <w:rsid w:val="00A3082C"/>
    <w:rsid w:val="00A36378"/>
    <w:rsid w:val="00A66DA1"/>
    <w:rsid w:val="00A70E1E"/>
    <w:rsid w:val="00B03C01"/>
    <w:rsid w:val="00B066D2"/>
    <w:rsid w:val="00B078D6"/>
    <w:rsid w:val="00B3015C"/>
    <w:rsid w:val="00B47DAF"/>
    <w:rsid w:val="00BA4095"/>
    <w:rsid w:val="00BA734C"/>
    <w:rsid w:val="00BC642A"/>
    <w:rsid w:val="00C43D1E"/>
    <w:rsid w:val="00C51766"/>
    <w:rsid w:val="00C57C50"/>
    <w:rsid w:val="00C607DF"/>
    <w:rsid w:val="00C715CA"/>
    <w:rsid w:val="00C83490"/>
    <w:rsid w:val="00C94020"/>
    <w:rsid w:val="00CE1F4D"/>
    <w:rsid w:val="00D33426"/>
    <w:rsid w:val="00D42942"/>
    <w:rsid w:val="00D77416"/>
    <w:rsid w:val="00D9295E"/>
    <w:rsid w:val="00DA709D"/>
    <w:rsid w:val="00DA74F3"/>
    <w:rsid w:val="00E00C03"/>
    <w:rsid w:val="00E033E0"/>
    <w:rsid w:val="00E13CB2"/>
    <w:rsid w:val="00E442C5"/>
    <w:rsid w:val="00E72B61"/>
    <w:rsid w:val="00E90B85"/>
    <w:rsid w:val="00EC7EB2"/>
    <w:rsid w:val="00F40B2F"/>
    <w:rsid w:val="00F4338D"/>
    <w:rsid w:val="00F440D3"/>
    <w:rsid w:val="00F921F1"/>
    <w:rsid w:val="00F92D2D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607DF"/>
    <w:rPr>
      <w:rFonts w:ascii="Arial" w:hAnsi="Arial"/>
      <w:b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4_CODEC/3GPP_SA4_AHOC_MTGs/SA4_Audio/Docs/S4aA25007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33-e/Docs/S4-25136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51D7-2120-404A-A026-F4D0997F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Reimes, Jan</cp:lastModifiedBy>
  <cp:revision>12</cp:revision>
  <cp:lastPrinted>2009-10-12T14:10:00Z</cp:lastPrinted>
  <dcterms:created xsi:type="dcterms:W3CDTF">2025-07-21T12:14:00Z</dcterms:created>
  <dcterms:modified xsi:type="dcterms:W3CDTF">2025-07-21T16:09:00Z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