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81FB" w14:textId="08D0C9C7" w:rsidR="000F7ECB" w:rsidRPr="00CD2691" w:rsidRDefault="000F7ECB" w:rsidP="000F7ECB">
      <w:pPr>
        <w:pStyle w:val="En-tte"/>
        <w:tabs>
          <w:tab w:val="right" w:pos="9498"/>
        </w:tabs>
        <w:rPr>
          <w:rFonts w:cs="Arial"/>
          <w:bCs/>
          <w:sz w:val="22"/>
        </w:rPr>
      </w:pPr>
      <w:r w:rsidRPr="00CD2691">
        <w:rPr>
          <w:rFonts w:cs="Arial"/>
          <w:bCs/>
          <w:sz w:val="22"/>
        </w:rPr>
        <w:t>3GPP TSG-</w:t>
      </w:r>
      <w:r w:rsidR="00CD2691" w:rsidRPr="00CD2691">
        <w:rPr>
          <w:rFonts w:cs="Arial"/>
          <w:bCs/>
          <w:sz w:val="22"/>
        </w:rPr>
        <w:t>SA</w:t>
      </w:r>
      <w:r w:rsidRPr="00CD2691">
        <w:rPr>
          <w:rFonts w:cs="Arial"/>
          <w:bCs/>
          <w:sz w:val="22"/>
        </w:rPr>
        <w:t xml:space="preserve"> Meeting #</w:t>
      </w:r>
      <w:r w:rsidR="00CD2691" w:rsidRPr="00CD2691">
        <w:rPr>
          <w:rFonts w:cs="Arial"/>
          <w:bCs/>
          <w:sz w:val="22"/>
        </w:rPr>
        <w:t>104</w:t>
      </w:r>
      <w:r w:rsidRPr="00CD2691">
        <w:rPr>
          <w:rFonts w:cs="Arial"/>
          <w:bCs/>
          <w:sz w:val="22"/>
        </w:rPr>
        <w:tab/>
        <w:t xml:space="preserve">Tdoc </w:t>
      </w:r>
      <w:r w:rsidR="00CD2691" w:rsidRPr="00CD2691">
        <w:rPr>
          <w:rFonts w:cs="Arial"/>
          <w:bCs/>
          <w:sz w:val="22"/>
        </w:rPr>
        <w:t>SP-24xxxx</w:t>
      </w:r>
    </w:p>
    <w:p w14:paraId="37374B55" w14:textId="49D8D52E" w:rsidR="000F7ECB" w:rsidRPr="00DC278D" w:rsidRDefault="00CD2691" w:rsidP="000F7ECB">
      <w:pPr>
        <w:pStyle w:val="En-tte"/>
        <w:tabs>
          <w:tab w:val="right" w:pos="9639"/>
        </w:tabs>
        <w:rPr>
          <w:rFonts w:cs="Arial"/>
          <w:bCs/>
          <w:color w:val="4472C4"/>
          <w:sz w:val="22"/>
        </w:rPr>
      </w:pPr>
      <w:r w:rsidRPr="00CD2691">
        <w:rPr>
          <w:rFonts w:cs="Arial"/>
          <w:bCs/>
          <w:sz w:val="22"/>
        </w:rPr>
        <w:t>Shanghai</w:t>
      </w:r>
      <w:r w:rsidR="000F7ECB" w:rsidRPr="00CD2691">
        <w:rPr>
          <w:rFonts w:cs="Arial"/>
          <w:bCs/>
          <w:sz w:val="22"/>
        </w:rPr>
        <w:t xml:space="preserve">, </w:t>
      </w:r>
      <w:r w:rsidRPr="00CD2691">
        <w:rPr>
          <w:rFonts w:cs="Arial"/>
          <w:bCs/>
          <w:sz w:val="22"/>
        </w:rPr>
        <w:t>P.R. China</w:t>
      </w:r>
      <w:r w:rsidR="000F7ECB" w:rsidRPr="00CD2691">
        <w:rPr>
          <w:rFonts w:cs="Arial"/>
          <w:bCs/>
          <w:sz w:val="22"/>
        </w:rPr>
        <w:t xml:space="preserve">, </w:t>
      </w:r>
      <w:r w:rsidRPr="00CD2691">
        <w:rPr>
          <w:rFonts w:cs="Arial"/>
          <w:bCs/>
          <w:sz w:val="22"/>
        </w:rPr>
        <w:t>16-21 June 2024</w:t>
      </w:r>
      <w:r w:rsidR="000F7ECB" w:rsidRPr="00CD2691">
        <w:rPr>
          <w:rFonts w:cs="Arial"/>
          <w:bCs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F51CADA" w14:textId="6590C573" w:rsidR="000F7ECB" w:rsidRPr="00A90FDB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A90FDB">
        <w:rPr>
          <w:rFonts w:ascii="Arial" w:hAnsi="Arial" w:cs="Arial"/>
          <w:b/>
        </w:rPr>
        <w:t>Title:</w:t>
      </w:r>
      <w:r w:rsidRPr="00A90FDB">
        <w:rPr>
          <w:rFonts w:ascii="Arial" w:hAnsi="Arial" w:cs="Arial"/>
          <w:b/>
        </w:rPr>
        <w:tab/>
        <w:t xml:space="preserve">Presentation of </w:t>
      </w:r>
      <w:r w:rsidR="00222D66" w:rsidRPr="00A90FDB">
        <w:rPr>
          <w:rFonts w:ascii="Arial" w:hAnsi="Arial" w:cs="Arial"/>
          <w:b/>
        </w:rPr>
        <w:t>Specification to TSG:</w:t>
      </w:r>
      <w:r w:rsidR="00222D66" w:rsidRPr="00A90FDB">
        <w:rPr>
          <w:rFonts w:ascii="Arial" w:hAnsi="Arial" w:cs="Arial"/>
          <w:b/>
        </w:rPr>
        <w:br/>
        <w:t>TS</w:t>
      </w:r>
      <w:r w:rsidR="00A90FDB" w:rsidRPr="00A90FDB">
        <w:rPr>
          <w:rFonts w:ascii="Arial" w:hAnsi="Arial" w:cs="Arial"/>
          <w:b/>
        </w:rPr>
        <w:t xml:space="preserve"> 26.261</w:t>
      </w:r>
      <w:r w:rsidR="00222D66" w:rsidRPr="00A90FDB">
        <w:rPr>
          <w:rFonts w:ascii="Arial" w:hAnsi="Arial" w:cs="Arial"/>
          <w:b/>
        </w:rPr>
        <w:t xml:space="preserve">, Version </w:t>
      </w:r>
      <w:r w:rsidR="00A90FDB" w:rsidRPr="00A90FDB">
        <w:rPr>
          <w:rFonts w:ascii="Arial" w:hAnsi="Arial" w:cs="Arial"/>
          <w:b/>
        </w:rPr>
        <w:t>1</w:t>
      </w:r>
      <w:r w:rsidR="00222D66" w:rsidRPr="00A90FDB">
        <w:rPr>
          <w:rFonts w:ascii="Arial" w:hAnsi="Arial" w:cs="Arial"/>
          <w:b/>
        </w:rPr>
        <w:t>.</w:t>
      </w:r>
      <w:r w:rsidR="00A90FDB" w:rsidRPr="00A90FDB">
        <w:rPr>
          <w:rFonts w:ascii="Arial" w:hAnsi="Arial" w:cs="Arial"/>
          <w:b/>
        </w:rPr>
        <w:t>0</w:t>
      </w:r>
      <w:r w:rsidR="00222D66" w:rsidRPr="00A90FDB">
        <w:rPr>
          <w:rFonts w:ascii="Arial" w:hAnsi="Arial" w:cs="Arial"/>
          <w:b/>
        </w:rPr>
        <w:t>.</w:t>
      </w:r>
      <w:r w:rsidR="00A90FDB" w:rsidRPr="00A90FDB">
        <w:rPr>
          <w:rFonts w:ascii="Arial" w:hAnsi="Arial" w:cs="Arial"/>
          <w:b/>
        </w:rPr>
        <w:t>0</w:t>
      </w:r>
      <w:r w:rsidR="00222D66" w:rsidRPr="00A90FDB">
        <w:rPr>
          <w:rFonts w:ascii="Arial" w:hAnsi="Arial" w:cs="Arial"/>
          <w:b/>
        </w:rPr>
        <w:br/>
      </w:r>
    </w:p>
    <w:p w14:paraId="5FDFF844" w14:textId="0586FDBA" w:rsidR="002B09A1" w:rsidRPr="00A90FDB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A90FDB">
        <w:rPr>
          <w:rFonts w:ascii="Arial" w:hAnsi="Arial" w:cs="Arial"/>
          <w:b/>
        </w:rPr>
        <w:t>Source:</w:t>
      </w:r>
      <w:r w:rsidRPr="00A90FDB">
        <w:rPr>
          <w:rFonts w:ascii="Arial" w:hAnsi="Arial" w:cs="Arial"/>
          <w:b/>
        </w:rPr>
        <w:tab/>
      </w:r>
      <w:r w:rsidR="00A90FDB" w:rsidRPr="00A90FDB">
        <w:rPr>
          <w:rFonts w:ascii="Arial" w:hAnsi="Arial" w:cs="Arial"/>
          <w:b/>
        </w:rPr>
        <w:t>S4</w:t>
      </w:r>
      <w:r w:rsidR="00201520" w:rsidRPr="00A90FDB">
        <w:rPr>
          <w:rFonts w:ascii="Arial" w:hAnsi="Arial" w:cs="Arial"/>
          <w:b/>
        </w:rPr>
        <w:br/>
      </w:r>
    </w:p>
    <w:p w14:paraId="2E443833" w14:textId="40B4D78E" w:rsidR="00222D66" w:rsidRPr="00A90FDB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A90FDB">
        <w:rPr>
          <w:rFonts w:ascii="Arial" w:hAnsi="Arial" w:cs="Arial"/>
          <w:b/>
        </w:rPr>
        <w:t>Document for:</w:t>
      </w:r>
      <w:r w:rsidRPr="00A90FDB">
        <w:rPr>
          <w:rFonts w:ascii="Arial" w:hAnsi="Arial" w:cs="Arial"/>
          <w:b/>
        </w:rPr>
        <w:tab/>
        <w:t>Approval</w:t>
      </w:r>
    </w:p>
    <w:p w14:paraId="0A2CBACC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106D56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95B2C21" w14:textId="574F0AC1" w:rsidR="008F2564" w:rsidRDefault="008F2564" w:rsidP="008F2564">
      <w:pPr>
        <w:rPr>
          <w:color w:val="000000"/>
        </w:rPr>
      </w:pPr>
      <w:r>
        <w:rPr>
          <w:color w:val="000000"/>
        </w:rPr>
        <w:t>With the development of the</w:t>
      </w:r>
      <w:r w:rsidRPr="008F2564">
        <w:rPr>
          <w:color w:val="000000"/>
        </w:rPr>
        <w:t xml:space="preserve"> IVAS </w:t>
      </w:r>
      <w:r>
        <w:rPr>
          <w:color w:val="000000"/>
        </w:rPr>
        <w:t>codec, it is necessary</w:t>
      </w:r>
      <w:r w:rsidRPr="008F2564">
        <w:rPr>
          <w:color w:val="000000"/>
        </w:rPr>
        <w:t xml:space="preserve"> </w:t>
      </w:r>
      <w:r>
        <w:rPr>
          <w:color w:val="000000"/>
        </w:rPr>
        <w:t xml:space="preserve">to </w:t>
      </w:r>
      <w:r w:rsidRPr="008F2564">
        <w:rPr>
          <w:color w:val="000000"/>
        </w:rPr>
        <w:t xml:space="preserve">address suitable </w:t>
      </w:r>
      <w:r>
        <w:rPr>
          <w:color w:val="000000"/>
        </w:rPr>
        <w:t xml:space="preserve">terminal quality </w:t>
      </w:r>
      <w:r w:rsidRPr="008F2564">
        <w:rPr>
          <w:color w:val="000000"/>
        </w:rPr>
        <w:t>requirements enabling immersive user experience.</w:t>
      </w:r>
      <w:r>
        <w:rPr>
          <w:color w:val="000000"/>
        </w:rPr>
        <w:t xml:space="preserve"> For this purpose, </w:t>
      </w:r>
      <w:r w:rsidRPr="000512BF">
        <w:t>a set of test specifications</w:t>
      </w:r>
      <w:r>
        <w:t xml:space="preserve"> (TS 26.26</w:t>
      </w:r>
      <w:r w:rsidR="002842E6">
        <w:t>0</w:t>
      </w:r>
      <w:r>
        <w:t xml:space="preserve"> </w:t>
      </w:r>
      <w:r w:rsidRPr="002842E6">
        <w:t>and 26.26</w:t>
      </w:r>
      <w:r w:rsidR="002842E6" w:rsidRPr="002842E6">
        <w:t>1</w:t>
      </w:r>
      <w:r w:rsidRPr="002842E6">
        <w:t>)</w:t>
      </w:r>
      <w:r w:rsidRPr="000512BF">
        <w:t xml:space="preserve"> </w:t>
      </w:r>
      <w:proofErr w:type="gramStart"/>
      <w:r w:rsidRPr="000512BF">
        <w:t>similar to</w:t>
      </w:r>
      <w:proofErr w:type="gramEnd"/>
      <w:r w:rsidRPr="000512BF">
        <w:t xml:space="preserve"> TS 26.131 and 26.132 </w:t>
      </w:r>
      <w:r>
        <w:t>has been developed for objective characterization of terminals for</w:t>
      </w:r>
      <w:r w:rsidRPr="000512BF">
        <w:t xml:space="preserve"> </w:t>
      </w:r>
      <w:r>
        <w:t xml:space="preserve">3GPP </w:t>
      </w:r>
      <w:r w:rsidRPr="000512BF">
        <w:t xml:space="preserve">immersive </w:t>
      </w:r>
      <w:r>
        <w:t>services</w:t>
      </w:r>
      <w:r w:rsidR="002842E6">
        <w:t xml:space="preserve"> in Release 18</w:t>
      </w:r>
      <w:r>
        <w:t xml:space="preserve">. </w:t>
      </w:r>
      <w:r w:rsidR="002842E6">
        <w:t>The</w:t>
      </w:r>
      <w:r w:rsidR="00CD2691">
        <w:t xml:space="preserve"> test specification</w:t>
      </w:r>
      <w:r w:rsidR="002842E6">
        <w:t>s</w:t>
      </w:r>
      <w:r w:rsidR="00CD2691">
        <w:t xml:space="preserve"> </w:t>
      </w:r>
      <w:r w:rsidR="002842E6">
        <w:t xml:space="preserve">(TS 26.260 </w:t>
      </w:r>
      <w:r w:rsidR="002842E6" w:rsidRPr="002842E6">
        <w:t>and 26.261)</w:t>
      </w:r>
      <w:r w:rsidR="002842E6" w:rsidRPr="000512BF">
        <w:t xml:space="preserve"> </w:t>
      </w:r>
      <w:r>
        <w:t xml:space="preserve">cover both </w:t>
      </w:r>
      <w:r w:rsidRPr="000512BF">
        <w:t xml:space="preserve">conversational services </w:t>
      </w:r>
      <w:r>
        <w:t>based on</w:t>
      </w:r>
      <w:r w:rsidRPr="000512BF">
        <w:t xml:space="preserve"> MTSI</w:t>
      </w:r>
      <w:r>
        <w:t xml:space="preserve"> / telepresence and non-conversational services</w:t>
      </w:r>
      <w:r w:rsidRPr="000512BF">
        <w:t>.</w:t>
      </w:r>
      <w:r>
        <w:t xml:space="preserve"> </w:t>
      </w:r>
    </w:p>
    <w:p w14:paraId="0F533902" w14:textId="0D1D8A03" w:rsidR="00A90FDB" w:rsidRDefault="00A90FDB" w:rsidP="00A90FDB">
      <w:pPr>
        <w:rPr>
          <w:color w:val="000000"/>
        </w:rPr>
      </w:pPr>
      <w:r>
        <w:rPr>
          <w:color w:val="000000"/>
        </w:rPr>
        <w:t>TS 26.261</w:t>
      </w:r>
      <w:r w:rsidRPr="00FB7894">
        <w:rPr>
          <w:color w:val="000000"/>
        </w:rPr>
        <w:t xml:space="preserve"> specifies minimum performance requirements for the </w:t>
      </w:r>
      <w:r>
        <w:rPr>
          <w:color w:val="000000"/>
        </w:rPr>
        <w:t>electro-</w:t>
      </w:r>
      <w:r w:rsidRPr="00FB7894">
        <w:rPr>
          <w:color w:val="000000"/>
        </w:rPr>
        <w:t xml:space="preserve">acoustic characteristics of LTE, </w:t>
      </w:r>
      <w:r>
        <w:rPr>
          <w:color w:val="000000"/>
        </w:rPr>
        <w:t xml:space="preserve">NR </w:t>
      </w:r>
      <w:r w:rsidRPr="00FB7894">
        <w:rPr>
          <w:color w:val="000000"/>
        </w:rPr>
        <w:t xml:space="preserve">and WLAN terminals when used to provide </w:t>
      </w:r>
      <w:r>
        <w:rPr>
          <w:color w:val="000000"/>
        </w:rPr>
        <w:t>immersive services</w:t>
      </w:r>
      <w:r w:rsidR="00CD2691">
        <w:rPr>
          <w:color w:val="000000"/>
        </w:rPr>
        <w:t xml:space="preserve"> (based on </w:t>
      </w:r>
      <w:r w:rsidR="00CD2691" w:rsidRPr="002842E6">
        <w:rPr>
          <w:color w:val="000000"/>
        </w:rPr>
        <w:t>the IVAS codec)</w:t>
      </w:r>
      <w:r w:rsidRPr="002842E6">
        <w:rPr>
          <w:color w:val="000000"/>
        </w:rPr>
        <w:t>. The performance requirements are specified in the main body of the text; the test methods and considerations are described in TS 26.26</w:t>
      </w:r>
      <w:r w:rsidR="002842E6" w:rsidRPr="002842E6">
        <w:rPr>
          <w:color w:val="000000"/>
        </w:rPr>
        <w:t>0</w:t>
      </w:r>
      <w:r w:rsidRPr="002842E6">
        <w:rPr>
          <w:color w:val="000000"/>
        </w:rPr>
        <w:t>.</w:t>
      </w:r>
    </w:p>
    <w:p w14:paraId="6A4D90E4" w14:textId="35431DEF" w:rsidR="0045428D" w:rsidRDefault="0045428D">
      <w:pPr>
        <w:tabs>
          <w:tab w:val="left" w:pos="3119"/>
        </w:tabs>
        <w:rPr>
          <w:color w:val="0000FF"/>
          <w:sz w:val="24"/>
        </w:rPr>
      </w:pPr>
    </w:p>
    <w:p w14:paraId="3CBC6B85" w14:textId="55CA53FE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</w:t>
      </w:r>
      <w:r w:rsidRPr="00A90FDB">
        <w:rPr>
          <w:b/>
          <w:sz w:val="24"/>
        </w:rPr>
        <w:t xml:space="preserve">to </w:t>
      </w:r>
      <w:r w:rsidR="00A90FDB" w:rsidRPr="00A90FDB">
        <w:rPr>
          <w:b/>
          <w:sz w:val="24"/>
        </w:rPr>
        <w:t>SA</w:t>
      </w:r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Meeting:</w:t>
      </w:r>
    </w:p>
    <w:p w14:paraId="497F40F1" w14:textId="77777777" w:rsidR="00A90FDB" w:rsidRDefault="00A90FDB" w:rsidP="00A90FDB">
      <w:pPr>
        <w:tabs>
          <w:tab w:val="left" w:pos="3119"/>
        </w:tabs>
        <w:rPr>
          <w:color w:val="0000FF"/>
          <w:sz w:val="24"/>
        </w:rPr>
      </w:pPr>
      <w:r>
        <w:t>First presentation to SA.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2D03E52" w14:textId="77777777" w:rsidR="00A90FDB" w:rsidRDefault="00A90FDB" w:rsidP="00A90FDB">
      <w:pPr>
        <w:tabs>
          <w:tab w:val="left" w:pos="3119"/>
        </w:tabs>
        <w:rPr>
          <w:color w:val="0000FF"/>
          <w:sz w:val="24"/>
        </w:rPr>
      </w:pPr>
      <w:r>
        <w:t>None.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806C14D" w14:textId="77777777" w:rsidR="00A90FDB" w:rsidRDefault="00A90FDB" w:rsidP="00A90FDB">
      <w:pPr>
        <w:tabs>
          <w:tab w:val="left" w:pos="3119"/>
        </w:tabs>
        <w:rPr>
          <w:color w:val="0000FF"/>
          <w:sz w:val="24"/>
        </w:rPr>
      </w:pPr>
      <w:r>
        <w:t>None.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 xml:space="preserve">removal of references to Working Groups; bring names of TSGs up to date; correction of </w:t>
      </w:r>
      <w:proofErr w:type="gramStart"/>
      <w:r w:rsidRPr="0045428D">
        <w:rPr>
          <w:sz w:val="16"/>
          <w:szCs w:val="16"/>
        </w:rPr>
        <w:t>typo</w:t>
      </w:r>
      <w:proofErr w:type="gramEnd"/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</w:t>
      </w:r>
      <w:proofErr w:type="gramStart"/>
      <w:r>
        <w:rPr>
          <w:sz w:val="16"/>
          <w:szCs w:val="16"/>
        </w:rPr>
        <w:t>below</w:t>
      </w:r>
      <w:proofErr w:type="gramEnd"/>
    </w:p>
    <w:sectPr w:rsidR="000F7ECB" w:rsidRPr="0045428D">
      <w:headerReference w:type="default" r:id="rId7"/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C344" w14:textId="77777777" w:rsidR="009070BD" w:rsidRDefault="009070BD" w:rsidP="00F21BF3">
      <w:pPr>
        <w:spacing w:after="0"/>
      </w:pPr>
      <w:r>
        <w:separator/>
      </w:r>
    </w:p>
  </w:endnote>
  <w:endnote w:type="continuationSeparator" w:id="0">
    <w:p w14:paraId="26AB952D" w14:textId="77777777" w:rsidR="009070BD" w:rsidRDefault="009070BD" w:rsidP="00F21B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1110" w14:textId="77777777" w:rsidR="009070BD" w:rsidRDefault="009070BD" w:rsidP="00F21BF3">
      <w:pPr>
        <w:spacing w:after="0"/>
      </w:pPr>
      <w:r>
        <w:separator/>
      </w:r>
    </w:p>
  </w:footnote>
  <w:footnote w:type="continuationSeparator" w:id="0">
    <w:p w14:paraId="3E7DF54D" w14:textId="77777777" w:rsidR="009070BD" w:rsidRDefault="009070BD" w:rsidP="00F21B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0923" w14:textId="65E6B5D1" w:rsidR="00A90FDB" w:rsidRPr="00A90FDB" w:rsidRDefault="00A90FDB" w:rsidP="00A90FDB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 w:val="22"/>
        <w:lang w:eastAsia="en-US"/>
      </w:rPr>
    </w:pPr>
    <w:r w:rsidRPr="00A90FDB">
      <w:rPr>
        <w:rFonts w:ascii="Arial" w:eastAsia="SimSun" w:hAnsi="Arial" w:cs="Arial"/>
        <w:sz w:val="22"/>
        <w:lang w:val="en-US" w:eastAsia="en-US"/>
      </w:rPr>
      <w:t>3GPP TSG SA WG4#128</w:t>
    </w:r>
    <w:r w:rsidRPr="00A90FDB">
      <w:rPr>
        <w:rFonts w:ascii="Arial" w:eastAsia="SimSun" w:hAnsi="Arial" w:cs="Arial"/>
        <w:b/>
        <w:i/>
        <w:sz w:val="22"/>
        <w:lang w:eastAsia="en-US"/>
      </w:rPr>
      <w:tab/>
    </w:r>
    <w:r w:rsidRPr="00A90FDB">
      <w:rPr>
        <w:rFonts w:ascii="Arial" w:eastAsia="SimSun" w:hAnsi="Arial" w:cs="Arial"/>
        <w:b/>
        <w:i/>
        <w:sz w:val="28"/>
        <w:szCs w:val="28"/>
        <w:lang w:eastAsia="en-US"/>
      </w:rPr>
      <w:t xml:space="preserve">Tdoc </w:t>
    </w:r>
    <w:r w:rsidR="0076201F" w:rsidRPr="0076201F">
      <w:rPr>
        <w:rFonts w:ascii="Arial" w:eastAsia="SimSun" w:hAnsi="Arial" w:cs="Arial"/>
        <w:b/>
        <w:i/>
        <w:sz w:val="28"/>
        <w:szCs w:val="28"/>
        <w:lang w:eastAsia="en-US"/>
      </w:rPr>
      <w:t>S4-241234</w:t>
    </w:r>
  </w:p>
  <w:p w14:paraId="21511CF3" w14:textId="5C30316B" w:rsidR="00A90FDB" w:rsidRDefault="00A90FDB" w:rsidP="00A90FDB">
    <w:pPr>
      <w:pStyle w:val="En-tte"/>
      <w:rPr>
        <w:rFonts w:eastAsia="SimSun" w:cs="Arial"/>
        <w:b w:val="0"/>
        <w:noProof w:val="0"/>
        <w:sz w:val="22"/>
        <w:lang w:eastAsia="zh-CN"/>
      </w:rPr>
    </w:pPr>
    <w:bookmarkStart w:id="0" w:name="_Hlk166577560"/>
    <w:r w:rsidRPr="00A90FDB">
      <w:rPr>
        <w:rFonts w:eastAsia="SimSun" w:cs="Arial"/>
        <w:b w:val="0"/>
        <w:noProof w:val="0"/>
        <w:sz w:val="22"/>
        <w:lang w:eastAsia="zh-CN"/>
      </w:rPr>
      <w:t>Jeju, South Korea, 20-24 May 2024</w:t>
    </w:r>
    <w:bookmarkEnd w:id="0"/>
  </w:p>
  <w:p w14:paraId="4FA83F6C" w14:textId="77777777" w:rsidR="00A90FDB" w:rsidRDefault="00A90FDB" w:rsidP="00A90FDB">
    <w:pPr>
      <w:pStyle w:val="En-tte"/>
      <w:rPr>
        <w:rFonts w:eastAsia="SimSun" w:cs="Arial"/>
        <w:b w:val="0"/>
        <w:noProof w:val="0"/>
        <w:sz w:val="22"/>
        <w:lang w:eastAsia="zh-CN"/>
      </w:rPr>
    </w:pPr>
  </w:p>
  <w:p w14:paraId="062F8AD9" w14:textId="77777777" w:rsidR="00A90FDB" w:rsidRDefault="00A90FDB" w:rsidP="00A90F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28D"/>
    <w:rsid w:val="000F7ECB"/>
    <w:rsid w:val="00201520"/>
    <w:rsid w:val="00222D66"/>
    <w:rsid w:val="002842E6"/>
    <w:rsid w:val="002B09A1"/>
    <w:rsid w:val="0036467E"/>
    <w:rsid w:val="0045428D"/>
    <w:rsid w:val="005B4293"/>
    <w:rsid w:val="0076201F"/>
    <w:rsid w:val="008F2564"/>
    <w:rsid w:val="009070BD"/>
    <w:rsid w:val="00A90FDB"/>
    <w:rsid w:val="00CC358C"/>
    <w:rsid w:val="00CD2691"/>
    <w:rsid w:val="00DC278D"/>
    <w:rsid w:val="00F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autoRedefine/>
    <w:semiHidden/>
    <w:pPr>
      <w:spacing w:before="180"/>
      <w:ind w:left="2693" w:hanging="2693"/>
    </w:pPr>
    <w:rPr>
      <w:b/>
    </w:rPr>
  </w:style>
  <w:style w:type="paragraph" w:styleId="TM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M5">
    <w:name w:val="toc 5"/>
    <w:basedOn w:val="TM4"/>
    <w:autoRedefine/>
    <w:semiHidden/>
    <w:pPr>
      <w:ind w:left="1701" w:hanging="1701"/>
    </w:pPr>
  </w:style>
  <w:style w:type="paragraph" w:styleId="TM4">
    <w:name w:val="toc 4"/>
    <w:basedOn w:val="TM3"/>
    <w:autoRedefine/>
    <w:semiHidden/>
    <w:pPr>
      <w:ind w:left="1418" w:hanging="1418"/>
    </w:pPr>
  </w:style>
  <w:style w:type="paragraph" w:styleId="TM3">
    <w:name w:val="toc 3"/>
    <w:basedOn w:val="TM2"/>
    <w:autoRedefine/>
    <w:semiHidden/>
    <w:pPr>
      <w:ind w:left="1134" w:hanging="1134"/>
    </w:pPr>
  </w:style>
  <w:style w:type="paragraph" w:styleId="TM2">
    <w:name w:val="toc 2"/>
    <w:basedOn w:val="TM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link w:val="En-tteC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autoRedefine/>
    <w:semiHidden/>
    <w:pPr>
      <w:ind w:left="1985" w:hanging="1985"/>
    </w:pPr>
  </w:style>
  <w:style w:type="paragraph" w:styleId="TM7">
    <w:name w:val="toc 7"/>
    <w:basedOn w:val="TM6"/>
    <w:next w:val="Normal"/>
    <w:autoRedefine/>
    <w:semiHidden/>
    <w:pPr>
      <w:ind w:left="2268" w:hanging="2268"/>
    </w:pPr>
  </w:style>
  <w:style w:type="paragraph" w:styleId="Listepuces2">
    <w:name w:val="List Bullet 2"/>
    <w:basedOn w:val="Listepuces"/>
    <w:autoRedefine/>
    <w:pPr>
      <w:ind w:left="851"/>
    </w:pPr>
  </w:style>
  <w:style w:type="paragraph" w:styleId="Listepuces3">
    <w:name w:val="List Bullet 3"/>
    <w:basedOn w:val="Listepuces2"/>
    <w:autoRedefine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  <w:autoRedefine/>
  </w:style>
  <w:style w:type="paragraph" w:styleId="Listepuces4">
    <w:name w:val="List Bullet 4"/>
    <w:basedOn w:val="Listepuces3"/>
    <w:autoRedefine/>
    <w:pPr>
      <w:ind w:left="1418"/>
    </w:pPr>
  </w:style>
  <w:style w:type="paragraph" w:styleId="Listepuces5">
    <w:name w:val="List Bullet 5"/>
    <w:basedOn w:val="Listepuces4"/>
    <w:autoRedefine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En-tteCar">
    <w:name w:val="En-tête Car"/>
    <w:link w:val="En-tte"/>
    <w:rsid w:val="000F7ECB"/>
    <w:rPr>
      <w:rFonts w:ascii="Arial" w:hAnsi="Arial"/>
      <w:b/>
      <w:noProof/>
      <w:sz w:val="18"/>
      <w:lang w:eastAsia="ko-KR"/>
    </w:rPr>
  </w:style>
  <w:style w:type="paragraph" w:styleId="Commentaire">
    <w:name w:val="annotation text"/>
    <w:basedOn w:val="Normal"/>
    <w:link w:val="CommentaireC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aireCar">
    <w:name w:val="Commentaire Car"/>
    <w:link w:val="Commentaire"/>
    <w:rsid w:val="000F7ECB"/>
    <w:rPr>
      <w:rFonts w:ascii="Arial" w:hAnsi="Arial"/>
      <w:lang w:eastAsia="en-US"/>
    </w:rPr>
  </w:style>
  <w:style w:type="character" w:styleId="Marquedecommentaire">
    <w:name w:val="annotation reference"/>
    <w:rsid w:val="000F7ECB"/>
    <w:rPr>
      <w:sz w:val="16"/>
    </w:rPr>
  </w:style>
  <w:style w:type="paragraph" w:styleId="Textedebulles">
    <w:name w:val="Balloon Text"/>
    <w:basedOn w:val="Normal"/>
    <w:link w:val="TextedebullesC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Presentation to TSG / WG</vt:lpstr>
      <vt:lpstr>Presentation to TSG / WG</vt:lpstr>
    </vt:vector>
  </TitlesOfParts>
  <Company>ETSI Sophia-Antipolis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RAGOT Stéphane INNOV/IT-S</cp:lastModifiedBy>
  <cp:revision>5</cp:revision>
  <dcterms:created xsi:type="dcterms:W3CDTF">2023-03-21T08:40:00Z</dcterms:created>
  <dcterms:modified xsi:type="dcterms:W3CDTF">2024-05-22T12:41:00Z</dcterms:modified>
</cp:coreProperties>
</file>