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75218" w:rsidR="001E41F3" w:rsidRDefault="001E41F3">
      <w:pPr>
        <w:pStyle w:val="CRCoverPage"/>
        <w:tabs>
          <w:tab w:val="right" w:pos="9639"/>
        </w:tabs>
        <w:spacing w:after="0"/>
        <w:rPr>
          <w:b/>
          <w:i/>
          <w:noProof/>
          <w:sz w:val="28"/>
        </w:rPr>
      </w:pPr>
      <w:r>
        <w:rPr>
          <w:b/>
          <w:noProof/>
          <w:sz w:val="24"/>
        </w:rPr>
        <w:t>3GPP TSG-</w:t>
      </w:r>
      <w:r w:rsidR="004365E2">
        <w:t>SA4</w:t>
      </w:r>
      <w:r w:rsidR="00C66BA2">
        <w:rPr>
          <w:b/>
          <w:noProof/>
          <w:sz w:val="24"/>
        </w:rPr>
        <w:t xml:space="preserve"> </w:t>
      </w:r>
      <w:r>
        <w:rPr>
          <w:b/>
          <w:noProof/>
          <w:sz w:val="24"/>
        </w:rPr>
        <w:t xml:space="preserve">Meeting </w:t>
      </w:r>
      <w:r w:rsidR="004365E2">
        <w:rPr>
          <w:b/>
          <w:noProof/>
          <w:sz w:val="24"/>
        </w:rPr>
        <w:t>SA4</w:t>
      </w:r>
      <w:r>
        <w:rPr>
          <w:b/>
          <w:noProof/>
          <w:sz w:val="24"/>
        </w:rPr>
        <w:t>#</w:t>
      </w:r>
      <w:r w:rsidR="004365E2">
        <w:rPr>
          <w:b/>
          <w:noProof/>
          <w:sz w:val="24"/>
        </w:rPr>
        <w:t>127-bis-e</w:t>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&lt;TDoc#&gt;</w:t>
      </w:r>
      <w:r w:rsidR="00000000">
        <w:rPr>
          <w:b/>
          <w:i/>
          <w:noProof/>
          <w:sz w:val="28"/>
        </w:rPr>
        <w:fldChar w:fldCharType="end"/>
      </w:r>
    </w:p>
    <w:p w14:paraId="7CB45193" w14:textId="7C5375CA" w:rsidR="001E41F3" w:rsidRDefault="004365E2" w:rsidP="005E2C44">
      <w:pPr>
        <w:pStyle w:val="CRCoverPage"/>
        <w:outlineLvl w:val="0"/>
        <w:rPr>
          <w:b/>
          <w:noProof/>
          <w:sz w:val="24"/>
        </w:rPr>
      </w:pPr>
      <w:r>
        <w:rPr>
          <w:b/>
          <w:noProof/>
          <w:sz w:val="24"/>
        </w:rPr>
        <w:t>online</w:t>
      </w:r>
      <w:r w:rsidR="001E41F3">
        <w:rPr>
          <w:b/>
          <w:noProof/>
          <w:sz w:val="24"/>
        </w:rPr>
        <w:t xml:space="preserve">, </w:t>
      </w:r>
      <w:r>
        <w:t>8-4-2024</w:t>
      </w:r>
      <w:r w:rsidR="00547111">
        <w:rPr>
          <w:b/>
          <w:noProof/>
          <w:sz w:val="24"/>
        </w:rPr>
        <w:t xml:space="preserve"> </w:t>
      </w:r>
      <w:r>
        <w:rPr>
          <w:b/>
          <w:noProof/>
          <w:sz w:val="24"/>
        </w:rPr>
        <w:t>–</w:t>
      </w:r>
      <w:r w:rsidR="00547111">
        <w:rPr>
          <w:b/>
          <w:noProof/>
          <w:sz w:val="24"/>
        </w:rPr>
        <w:t xml:space="preserve"> </w:t>
      </w:r>
      <w:r>
        <w:t>12-4-2024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2323B" w:rsidR="001E41F3" w:rsidRPr="00410371" w:rsidRDefault="00D4671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9C5A" w:rsidR="001E41F3" w:rsidRDefault="00D46714">
            <w:pPr>
              <w:pStyle w:val="CRCoverPage"/>
              <w:spacing w:after="0"/>
              <w:ind w:left="100"/>
              <w:rPr>
                <w:noProof/>
              </w:rPr>
            </w:pPr>
            <w:r>
              <w:t>Introduction to the Scope 1, 2 and 3 reporting standard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0299E" w:rsidR="001E41F3" w:rsidRDefault="00D46714">
            <w:pPr>
              <w:pStyle w:val="CRCoverPage"/>
              <w:spacing w:after="0"/>
              <w:ind w:left="100"/>
              <w:rPr>
                <w:noProof/>
              </w:rPr>
            </w:pP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141B4" w:rsidR="001E41F3" w:rsidRDefault="00D467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2E47F" w:rsidR="001E41F3" w:rsidRDefault="00D46714">
            <w:pPr>
              <w:pStyle w:val="CRCoverPage"/>
              <w:spacing w:after="0"/>
              <w:ind w:left="10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ABA82" w:rsidR="001E41F3" w:rsidRDefault="00D46714">
            <w:pPr>
              <w:pStyle w:val="CRCoverPage"/>
              <w:spacing w:after="0"/>
              <w:ind w:left="100"/>
              <w:rPr>
                <w:noProof/>
              </w:rPr>
            </w:pPr>
            <w:r>
              <w:t>2-4-2024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C4D" w:rsidR="001E41F3" w:rsidRDefault="00D467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82861" w:rsidR="001E41F3" w:rsidRDefault="00D46714">
            <w:pPr>
              <w:pStyle w:val="CRCoverPage"/>
              <w:spacing w:after="0"/>
              <w:ind w:left="100"/>
              <w:rPr>
                <w:noProof/>
              </w:rPr>
            </w:pPr>
            <w:r>
              <w:rPr>
                <w:noProof/>
              </w:rPr>
              <w:t>Proposed addition of introductory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50129" w:rsidR="001E41F3" w:rsidRDefault="00D46714">
            <w:pPr>
              <w:pStyle w:val="CRCoverPage"/>
              <w:spacing w:after="0"/>
              <w:ind w:left="100"/>
              <w:rPr>
                <w:noProof/>
              </w:rPr>
            </w:pPr>
            <w:r>
              <w:rPr>
                <w:noProof/>
              </w:rPr>
              <w:t>Introduction of Scope 1, 2 and 3 reporting standard and its relevance to SA4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684D" w:rsidR="001E41F3" w:rsidRDefault="00D46714">
            <w:pPr>
              <w:pStyle w:val="CRCoverPage"/>
              <w:spacing w:after="0"/>
              <w:ind w:left="100"/>
              <w:rPr>
                <w:noProof/>
              </w:rPr>
            </w:pPr>
            <w:r>
              <w:rPr>
                <w:noProof/>
              </w:rPr>
              <w:t>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1F8">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721383">
        <w:tc>
          <w:tcPr>
            <w:tcW w:w="9639" w:type="dxa"/>
            <w:tcBorders>
              <w:top w:val="nil"/>
              <w:left w:val="nil"/>
              <w:bottom w:val="nil"/>
              <w:right w:val="nil"/>
            </w:tcBorders>
            <w:shd w:val="clear" w:color="auto" w:fill="FFFF00"/>
          </w:tcPr>
          <w:p w14:paraId="27136D57" w14:textId="77777777" w:rsidR="00A5130B" w:rsidRDefault="00A5130B" w:rsidP="00721383">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23A91652" w14:textId="77777777" w:rsidR="00A5130B" w:rsidRDefault="00A5130B" w:rsidP="00A5130B">
      <w:pPr>
        <w:pStyle w:val="B1"/>
        <w:ind w:left="0" w:firstLine="0"/>
        <w:rPr>
          <w:lang w:val="en-US"/>
        </w:rPr>
      </w:pPr>
    </w:p>
    <w:p w14:paraId="457A567D" w14:textId="65104D27" w:rsidR="00A5130B" w:rsidRDefault="00A5130B" w:rsidP="00A5130B">
      <w:pPr>
        <w:keepNext/>
        <w:keepLines/>
        <w:spacing w:before="180"/>
        <w:ind w:left="1134" w:hanging="1134"/>
        <w:outlineLvl w:val="1"/>
        <w:rPr>
          <w:rFonts w:ascii="Arial" w:hAnsi="Arial"/>
          <w:sz w:val="32"/>
          <w:lang w:eastAsia="ko-KR"/>
        </w:rPr>
      </w:pPr>
      <w:r>
        <w:rPr>
          <w:rFonts w:ascii="Arial" w:hAnsi="Arial"/>
          <w:sz w:val="32"/>
          <w:lang w:eastAsia="ko-KR"/>
        </w:rPr>
        <w:t>4</w:t>
      </w:r>
      <w:r w:rsidRPr="00142640">
        <w:rPr>
          <w:rFonts w:ascii="Arial" w:hAnsi="Arial"/>
          <w:sz w:val="32"/>
          <w:lang w:eastAsia="ko-KR"/>
        </w:rPr>
        <w:t>.</w:t>
      </w:r>
      <w:r>
        <w:rPr>
          <w:rFonts w:ascii="Arial" w:hAnsi="Arial"/>
          <w:sz w:val="32"/>
          <w:lang w:eastAsia="ko-KR"/>
        </w:rPr>
        <w:t>3</w:t>
      </w:r>
      <w:r w:rsidRPr="00142640">
        <w:rPr>
          <w:rFonts w:ascii="Arial" w:hAnsi="Arial"/>
          <w:sz w:val="32"/>
          <w:lang w:eastAsia="ko-KR"/>
        </w:rPr>
        <w:tab/>
      </w:r>
      <w:r w:rsidR="00744CAC">
        <w:rPr>
          <w:rFonts w:ascii="Arial" w:hAnsi="Arial"/>
          <w:sz w:val="32"/>
          <w:lang w:eastAsia="ko-KR"/>
        </w:rPr>
        <w:t>Greenhouse Gas Emissions</w:t>
      </w:r>
      <w:r>
        <w:rPr>
          <w:rFonts w:ascii="Arial" w:hAnsi="Arial"/>
          <w:sz w:val="32"/>
          <w:lang w:eastAsia="ko-KR"/>
        </w:rPr>
        <w:t xml:space="preserve"> Reporting</w:t>
      </w:r>
    </w:p>
    <w:p w14:paraId="3C08B3B9" w14:textId="71BD511E" w:rsidR="00A5130B" w:rsidRDefault="00A5130B" w:rsidP="00A5130B">
      <w:pPr>
        <w:rPr>
          <w:lang w:eastAsia="ko-KR"/>
        </w:rPr>
      </w:pPr>
      <w:r>
        <w:rPr>
          <w:lang w:eastAsia="ko-KR"/>
        </w:rPr>
        <w:t>The Greenhouse Gas Protocol (</w:t>
      </w:r>
      <w:hyperlink r:id="rId13" w:history="1">
        <w:r w:rsidRPr="00736D28">
          <w:rPr>
            <w:rStyle w:val="Hyperlink"/>
            <w:lang w:eastAsia="ko-KR"/>
          </w:rPr>
          <w:t>http://ghgprotocol.org</w:t>
        </w:r>
      </w:hyperlink>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w:t>
      </w:r>
      <w:r w:rsidR="00964F73">
        <w:rPr>
          <w:lang w:eastAsia="ko-KR"/>
        </w:rPr>
        <w:t xml:space="preserve">Relative to a given </w:t>
      </w:r>
      <w:r w:rsidR="00E721C0">
        <w:rPr>
          <w:lang w:eastAsia="ko-KR"/>
        </w:rPr>
        <w:t>company</w:t>
      </w:r>
      <w:r w:rsidR="00964F73">
        <w:rPr>
          <w:lang w:eastAsia="ko-KR"/>
        </w:rPr>
        <w:t>, the concept of “scopes” are introduced, which delineate direct and indirect emission source, and are used for accounting and reporting purposes.</w:t>
      </w:r>
      <w:r w:rsidR="006F7CE2">
        <w:rPr>
          <w:lang w:eastAsia="ko-KR"/>
        </w:rPr>
        <w:t xml:space="preserve">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6F7CE2">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006F7CE2">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006F7CE2">
        <w:rPr>
          <w:lang w:eastAsia="ko-KR"/>
        </w:rPr>
        <w:t xml:space="preserve">), </w:t>
      </w:r>
      <w:r w:rsidR="006F7CE2" w:rsidRPr="006F7CE2">
        <w:rPr>
          <w:lang w:eastAsia="ko-KR"/>
        </w:rPr>
        <w:t xml:space="preserve">hydrofluorocarbons (HFCs), perfluorocarbons (PFCs) and </w:t>
      </w:r>
      <w:proofErr w:type="spellStart"/>
      <w:r w:rsidR="006F7CE2" w:rsidRPr="006F7CE2">
        <w:rPr>
          <w:lang w:eastAsia="ko-KR"/>
        </w:rPr>
        <w:t>sulphurhexafluoride</w:t>
      </w:r>
      <w:proofErr w:type="spellEnd"/>
      <w:r w:rsidR="006F7CE2" w:rsidRPr="006F7CE2">
        <w:rPr>
          <w:lang w:eastAsia="ko-KR"/>
        </w:rPr>
        <w:t xml:space="preserv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006F7CE2" w:rsidRPr="006F7CE2">
        <w:rPr>
          <w:lang w:eastAsia="ko-KR"/>
        </w:rPr>
        <w:t>)</w:t>
      </w:r>
      <w:r w:rsidR="006F7CE2">
        <w:rPr>
          <w:lang w:eastAsia="ko-KR"/>
        </w:rPr>
        <w:t>. Scopes 1 and 2 are</w:t>
      </w:r>
      <w:r w:rsidR="00F76AE2">
        <w:rPr>
          <w:lang w:eastAsia="ko-KR"/>
        </w:rPr>
        <w:t xml:space="preserve"> defined in “</w:t>
      </w:r>
      <w:hyperlink r:id="rId14" w:history="1">
        <w:r w:rsidR="00F76AE2" w:rsidRPr="00F76AE2">
          <w:rPr>
            <w:rStyle w:val="Hyperlink"/>
            <w:lang w:eastAsia="ko-KR"/>
          </w:rPr>
          <w:t>The Greenhouse Gas Protocol: A Corporate Accounting and Reporting Standard</w:t>
        </w:r>
      </w:hyperlink>
      <w:r w:rsidR="00F76AE2">
        <w:rPr>
          <w:lang w:eastAsia="ko-KR"/>
        </w:rPr>
        <w:t>”, and Scope 3 is defined in “</w:t>
      </w:r>
      <w:hyperlink r:id="rId15" w:history="1">
        <w:r w:rsidR="00F76AE2" w:rsidRPr="00F76AE2">
          <w:rPr>
            <w:rStyle w:val="Hyperlink"/>
            <w:lang w:eastAsia="ko-KR"/>
          </w:rPr>
          <w:t>The Greenhouse Gas Protocol: Corporate Value Chain (Scope 3) Accounting and Reporting Standard</w:t>
        </w:r>
      </w:hyperlink>
      <w:r w:rsidR="00F76AE2">
        <w:rPr>
          <w:lang w:eastAsia="ko-KR"/>
        </w:rPr>
        <w:t>”.</w:t>
      </w:r>
    </w:p>
    <w:p w14:paraId="43CAC929" w14:textId="2FE39F02" w:rsidR="00964F73" w:rsidRDefault="00964F73" w:rsidP="00964F73">
      <w:pPr>
        <w:pStyle w:val="Heading3"/>
        <w:rPr>
          <w:lang w:eastAsia="ko-KR"/>
        </w:rPr>
      </w:pPr>
      <w:r>
        <w:rPr>
          <w:lang w:eastAsia="ko-KR"/>
        </w:rPr>
        <w:t>4.3.1</w:t>
      </w:r>
      <w:r>
        <w:rPr>
          <w:lang w:eastAsia="ko-KR"/>
        </w:rPr>
        <w:tab/>
        <w:t>Scope 1</w:t>
      </w:r>
    </w:p>
    <w:p w14:paraId="2A26ABA9" w14:textId="74830AC2" w:rsidR="00964F73" w:rsidRDefault="00964F73" w:rsidP="00964F73">
      <w:pPr>
        <w:rPr>
          <w:lang w:eastAsia="ko-KR"/>
        </w:rPr>
      </w:pPr>
      <w:r>
        <w:rPr>
          <w:lang w:eastAsia="ko-KR"/>
        </w:rPr>
        <w:t xml:space="preserve">Sources owned or controlled by a company give rise to direct greenhouse gas emissions. </w:t>
      </w:r>
      <w:r w:rsidR="00E721C0">
        <w:rPr>
          <w:lang w:eastAsia="ko-KR"/>
        </w:rPr>
        <w:t xml:space="preserve">The activities undertaken by a company that give rise to scope 1 emissions include the generation of electricity, heat, or steam; physical or chemical processing; transportation of materials, products, and waste; fugitive emissions. </w:t>
      </w:r>
    </w:p>
    <w:p w14:paraId="00FABD92" w14:textId="6A00BC84" w:rsidR="00964F73" w:rsidRDefault="00964F73" w:rsidP="00964F73">
      <w:pPr>
        <w:pStyle w:val="Heading3"/>
        <w:rPr>
          <w:lang w:eastAsia="ko-KR"/>
        </w:rPr>
      </w:pPr>
      <w:r>
        <w:rPr>
          <w:lang w:eastAsia="ko-KR"/>
        </w:rPr>
        <w:t>4.3.2</w:t>
      </w:r>
      <w:r>
        <w:rPr>
          <w:lang w:eastAsia="ko-KR"/>
        </w:rPr>
        <w:tab/>
        <w:t>Scope 2</w:t>
      </w:r>
    </w:p>
    <w:p w14:paraId="58AFC661" w14:textId="36F0364A" w:rsidR="00964F73" w:rsidRDefault="00964F73" w:rsidP="00964F73">
      <w:pPr>
        <w:rPr>
          <w:lang w:eastAsia="ko-KR"/>
        </w:rPr>
      </w:pPr>
      <w:r>
        <w:rPr>
          <w:lang w:eastAsia="ko-KR"/>
        </w:rPr>
        <w:t>The electricity purchased and consumed by a company gives rise to greenhouse gas emissions</w:t>
      </w:r>
      <w:r w:rsidR="00E721C0">
        <w:rPr>
          <w:lang w:eastAsia="ko-KR"/>
        </w:rPr>
        <w:t>. Scope 2 emissions occur at the facility where the electricity is generated, rather than where the electricity is consumed. For the reporting company, these emissions are therefore</w:t>
      </w:r>
      <w:r>
        <w:rPr>
          <w:lang w:eastAsia="ko-KR"/>
        </w:rPr>
        <w:t xml:space="preserve"> counted as </w:t>
      </w:r>
      <w:r w:rsidR="006F7CE2">
        <w:rPr>
          <w:lang w:eastAsia="ko-KR"/>
        </w:rPr>
        <w:t xml:space="preserve">one form of </w:t>
      </w:r>
      <w:r>
        <w:rPr>
          <w:lang w:eastAsia="ko-KR"/>
        </w:rPr>
        <w:t>indirect emissions.</w:t>
      </w:r>
      <w:r w:rsidR="006F7CE2">
        <w:rPr>
          <w:lang w:eastAsia="ko-KR"/>
        </w:rPr>
        <w:t xml:space="preserve">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74551803" w14:textId="342D7D97" w:rsidR="00E721C0" w:rsidRDefault="00E721C0" w:rsidP="00E721C0">
      <w:pPr>
        <w:pStyle w:val="Heading3"/>
        <w:rPr>
          <w:lang w:eastAsia="ko-KR"/>
        </w:rPr>
      </w:pPr>
      <w:r>
        <w:rPr>
          <w:lang w:eastAsia="ko-KR"/>
        </w:rPr>
        <w:t>4.3.3</w:t>
      </w:r>
      <w:r>
        <w:rPr>
          <w:lang w:eastAsia="ko-KR"/>
        </w:rPr>
        <w:tab/>
        <w:t>Scope 3</w:t>
      </w:r>
    </w:p>
    <w:p w14:paraId="0797BE56" w14:textId="3065B714" w:rsidR="00E721C0" w:rsidRDefault="00E721C0" w:rsidP="00E721C0">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w:t>
      </w:r>
      <w:r w:rsidR="00BE73B6">
        <w:rPr>
          <w:lang w:eastAsia="ko-KR"/>
        </w:rPr>
        <w:t xml:space="preserve"> These indirect emissions arise elsewhere in the corporate value chain of a given company, both upstream and downstream.</w:t>
      </w:r>
      <w:r w:rsidR="00466D50">
        <w:rPr>
          <w:lang w:eastAsia="ko-KR"/>
        </w:rPr>
        <w:t xml:space="preserve"> Upstream emissions are indirect emissions relating to purchased or acquired goods and services. Downstream emissions relate to sold goods and services.</w:t>
      </w:r>
      <w:r w:rsidR="00A623C5">
        <w:rPr>
          <w:lang w:eastAsia="ko-KR"/>
        </w:rPr>
        <w:t xml:space="preserve"> Scope 3 indirect emissions are categorised into 15 distinct categories, of which the upstream categories are:</w:t>
      </w:r>
    </w:p>
    <w:p w14:paraId="3C3B4AD7" w14:textId="50F73455" w:rsidR="00A623C5" w:rsidRPr="00A623C5" w:rsidRDefault="00A623C5" w:rsidP="00A623C5">
      <w:pPr>
        <w:pStyle w:val="ListParagraph"/>
        <w:numPr>
          <w:ilvl w:val="0"/>
          <w:numId w:val="1"/>
        </w:numPr>
        <w:rPr>
          <w:b/>
          <w:bCs/>
          <w:lang w:eastAsia="ko-KR"/>
        </w:rPr>
      </w:pPr>
      <w:r w:rsidRPr="00A623C5">
        <w:rPr>
          <w:b/>
          <w:bCs/>
          <w:lang w:eastAsia="ko-KR"/>
        </w:rPr>
        <w:t>Purchased goods and services</w:t>
      </w:r>
      <w:r>
        <w:rPr>
          <w:b/>
          <w:bCs/>
          <w:lang w:eastAsia="ko-KR"/>
        </w:rPr>
        <w:t xml:space="preserve">. </w:t>
      </w:r>
      <w:r>
        <w:rPr>
          <w:lang w:eastAsia="ko-KR"/>
        </w:rPr>
        <w:t>Extraction, production, and transportation of goods and services purchased or acquired by the reporting company in the reporting year, not otherwise included in categories 2 to 8.</w:t>
      </w:r>
    </w:p>
    <w:p w14:paraId="2831F72C" w14:textId="52C9985D" w:rsidR="00A623C5" w:rsidRPr="00A623C5" w:rsidRDefault="00A623C5" w:rsidP="00A623C5">
      <w:pPr>
        <w:pStyle w:val="ListParagraph"/>
        <w:numPr>
          <w:ilvl w:val="0"/>
          <w:numId w:val="1"/>
        </w:numPr>
        <w:rPr>
          <w:b/>
          <w:bCs/>
          <w:lang w:eastAsia="ko-KR"/>
        </w:rPr>
      </w:pPr>
      <w:r w:rsidRPr="00A623C5">
        <w:rPr>
          <w:b/>
          <w:bCs/>
          <w:lang w:eastAsia="ko-KR"/>
        </w:rPr>
        <w:t>Capital goods</w:t>
      </w:r>
      <w:r>
        <w:rPr>
          <w:b/>
          <w:bCs/>
          <w:lang w:eastAsia="ko-KR"/>
        </w:rPr>
        <w:t xml:space="preserve">. </w:t>
      </w:r>
      <w:r>
        <w:rPr>
          <w:lang w:eastAsia="ko-KR"/>
        </w:rPr>
        <w:t>Extraction, production, and transportation of capital goods, purchased or acquired by the reporting company in the reporting year.</w:t>
      </w:r>
    </w:p>
    <w:p w14:paraId="5B7FBDDF" w14:textId="159FCD54" w:rsidR="00A623C5" w:rsidRPr="00A623C5" w:rsidRDefault="00A623C5" w:rsidP="00A623C5">
      <w:pPr>
        <w:pStyle w:val="ListParagraph"/>
        <w:numPr>
          <w:ilvl w:val="0"/>
          <w:numId w:val="1"/>
        </w:numPr>
        <w:rPr>
          <w:b/>
          <w:bCs/>
          <w:lang w:eastAsia="ko-KR"/>
        </w:rPr>
      </w:pPr>
      <w:r w:rsidRPr="00A623C5">
        <w:rPr>
          <w:b/>
          <w:bCs/>
          <w:lang w:eastAsia="ko-KR"/>
        </w:rPr>
        <w:t>Fuel- and energy-related activities (not included in scope 1 or scope 2)</w:t>
      </w:r>
      <w:r>
        <w:rPr>
          <w:b/>
          <w:bCs/>
          <w:lang w:eastAsia="ko-KR"/>
        </w:rPr>
        <w:t xml:space="preserve">. </w:t>
      </w:r>
      <w:r>
        <w:rPr>
          <w:lang w:eastAsia="ko-KR"/>
        </w:rPr>
        <w:t>Extraction, production, and transportation of fuels and energy purchased or acquired by the reporting company in the reporting year.</w:t>
      </w:r>
    </w:p>
    <w:p w14:paraId="09B1EF92" w14:textId="5C021D1A" w:rsidR="00A623C5" w:rsidRPr="00A623C5" w:rsidRDefault="00A623C5" w:rsidP="00A623C5">
      <w:pPr>
        <w:pStyle w:val="ListParagraph"/>
        <w:numPr>
          <w:ilvl w:val="0"/>
          <w:numId w:val="1"/>
        </w:numPr>
        <w:rPr>
          <w:b/>
          <w:bCs/>
          <w:lang w:eastAsia="ko-KR"/>
        </w:rPr>
      </w:pPr>
      <w:r w:rsidRPr="00A623C5">
        <w:rPr>
          <w:b/>
          <w:bCs/>
          <w:lang w:eastAsia="ko-KR"/>
        </w:rPr>
        <w:t>Upstream transportation and distribution</w:t>
      </w:r>
      <w:r>
        <w:rPr>
          <w:b/>
          <w:bCs/>
          <w:lang w:eastAsia="ko-KR"/>
        </w:rPr>
        <w:t xml:space="preserve">. </w:t>
      </w:r>
      <w:r>
        <w:rPr>
          <w:lang w:eastAsia="ko-KR"/>
        </w:rPr>
        <w:t>Transportation and distribution of purchased products or services in the reporting year, including inbound and outbound logistics; transportation between a company’s own facilities.</w:t>
      </w:r>
    </w:p>
    <w:p w14:paraId="16EE2F31" w14:textId="30CE4637" w:rsidR="00A623C5" w:rsidRPr="00A623C5" w:rsidRDefault="00A623C5" w:rsidP="00A623C5">
      <w:pPr>
        <w:pStyle w:val="ListParagraph"/>
        <w:numPr>
          <w:ilvl w:val="0"/>
          <w:numId w:val="1"/>
        </w:numPr>
        <w:rPr>
          <w:b/>
          <w:bCs/>
          <w:lang w:eastAsia="ko-KR"/>
        </w:rPr>
      </w:pPr>
      <w:r w:rsidRPr="00A623C5">
        <w:rPr>
          <w:b/>
          <w:bCs/>
          <w:lang w:eastAsia="ko-KR"/>
        </w:rPr>
        <w:t>Waste generated in operations</w:t>
      </w:r>
      <w:r>
        <w:rPr>
          <w:b/>
          <w:bCs/>
          <w:lang w:eastAsia="ko-KR"/>
        </w:rPr>
        <w:t xml:space="preserve">. </w:t>
      </w:r>
      <w:r>
        <w:rPr>
          <w:lang w:eastAsia="ko-KR"/>
        </w:rPr>
        <w:t>Disposal and treatment of waste generated by the reporting company’s operations in the reporting year.</w:t>
      </w:r>
    </w:p>
    <w:p w14:paraId="7BC299F4" w14:textId="6AD1C49C" w:rsidR="00A623C5" w:rsidRPr="00A623C5" w:rsidRDefault="00A623C5" w:rsidP="00A623C5">
      <w:pPr>
        <w:pStyle w:val="ListParagraph"/>
        <w:numPr>
          <w:ilvl w:val="0"/>
          <w:numId w:val="1"/>
        </w:numPr>
        <w:rPr>
          <w:b/>
          <w:bCs/>
          <w:lang w:eastAsia="ko-KR"/>
        </w:rPr>
      </w:pPr>
      <w:r w:rsidRPr="00A623C5">
        <w:rPr>
          <w:b/>
          <w:bCs/>
          <w:lang w:eastAsia="ko-KR"/>
        </w:rPr>
        <w:t>Business travel</w:t>
      </w:r>
      <w:r>
        <w:rPr>
          <w:b/>
          <w:bCs/>
          <w:lang w:eastAsia="ko-KR"/>
        </w:rPr>
        <w:t xml:space="preserve">. </w:t>
      </w:r>
      <w:r>
        <w:rPr>
          <w:lang w:eastAsia="ko-KR"/>
        </w:rPr>
        <w:t>Transportation of employees for business-related activities in the reporting year in vehicles not owned or operated by the reporting company.</w:t>
      </w:r>
    </w:p>
    <w:p w14:paraId="58DC3741" w14:textId="1E7EF8BD" w:rsidR="00A623C5" w:rsidRPr="00A623C5" w:rsidRDefault="00A623C5" w:rsidP="00A623C5">
      <w:pPr>
        <w:pStyle w:val="ListParagraph"/>
        <w:numPr>
          <w:ilvl w:val="0"/>
          <w:numId w:val="1"/>
        </w:numPr>
        <w:rPr>
          <w:b/>
          <w:bCs/>
          <w:lang w:eastAsia="ko-KR"/>
        </w:rPr>
      </w:pPr>
      <w:r w:rsidRPr="00A623C5">
        <w:rPr>
          <w:b/>
          <w:bCs/>
          <w:lang w:eastAsia="ko-KR"/>
        </w:rPr>
        <w:t>Employee commuting</w:t>
      </w:r>
      <w:r>
        <w:rPr>
          <w:b/>
          <w:bCs/>
          <w:lang w:eastAsia="ko-KR"/>
        </w:rPr>
        <w:t xml:space="preserve">. </w:t>
      </w:r>
      <w:r>
        <w:rPr>
          <w:lang w:eastAsia="ko-KR"/>
        </w:rPr>
        <w:t>Transportation of employees between their homes and their worksites during the reporting year, in vehicles not owned or operated by the reporting company.</w:t>
      </w:r>
    </w:p>
    <w:p w14:paraId="1CD9485D" w14:textId="47C23053" w:rsidR="00A623C5" w:rsidRPr="00A623C5" w:rsidRDefault="00A623C5" w:rsidP="00A623C5">
      <w:pPr>
        <w:pStyle w:val="ListParagraph"/>
        <w:numPr>
          <w:ilvl w:val="0"/>
          <w:numId w:val="1"/>
        </w:numPr>
        <w:rPr>
          <w:b/>
          <w:bCs/>
          <w:lang w:eastAsia="ko-KR"/>
        </w:rPr>
      </w:pPr>
      <w:r w:rsidRPr="00A623C5">
        <w:rPr>
          <w:b/>
          <w:bCs/>
          <w:lang w:eastAsia="ko-KR"/>
        </w:rPr>
        <w:t>Upstream leased assets</w:t>
      </w:r>
      <w:r>
        <w:rPr>
          <w:b/>
          <w:bCs/>
          <w:lang w:eastAsia="ko-KR"/>
        </w:rPr>
        <w:t xml:space="preserve">. </w:t>
      </w:r>
      <w:r>
        <w:rPr>
          <w:lang w:eastAsia="ko-KR"/>
        </w:rPr>
        <w:t>Operation of assets leased by the reporting company in the reporting year.</w:t>
      </w:r>
    </w:p>
    <w:p w14:paraId="140BF283" w14:textId="7D4161AE" w:rsidR="00A623C5" w:rsidRDefault="00A623C5" w:rsidP="00A623C5">
      <w:pPr>
        <w:rPr>
          <w:lang w:eastAsia="ko-KR"/>
        </w:rPr>
      </w:pPr>
      <w:r>
        <w:rPr>
          <w:lang w:eastAsia="ko-KR"/>
        </w:rPr>
        <w:t>The downstream categories are:</w:t>
      </w:r>
    </w:p>
    <w:p w14:paraId="416EC01E" w14:textId="57665C1C" w:rsidR="00A623C5" w:rsidRPr="00A623C5" w:rsidRDefault="00A623C5" w:rsidP="00A623C5">
      <w:pPr>
        <w:pStyle w:val="ListParagraph"/>
        <w:numPr>
          <w:ilvl w:val="0"/>
          <w:numId w:val="1"/>
        </w:numPr>
        <w:rPr>
          <w:b/>
          <w:bCs/>
          <w:lang w:eastAsia="ko-KR"/>
        </w:rPr>
      </w:pPr>
      <w:r w:rsidRPr="00A623C5">
        <w:rPr>
          <w:b/>
          <w:bCs/>
          <w:lang w:eastAsia="ko-KR"/>
        </w:rPr>
        <w:lastRenderedPageBreak/>
        <w:t>Downstream transportation and distribution</w:t>
      </w:r>
      <w:r w:rsidR="007E7D47">
        <w:rPr>
          <w:b/>
          <w:bCs/>
          <w:lang w:eastAsia="ko-KR"/>
        </w:rPr>
        <w:t xml:space="preserve">. </w:t>
      </w:r>
      <w:r w:rsidR="007E7D47">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139805CA" w14:textId="7FE5856A" w:rsidR="00A623C5" w:rsidRPr="00A623C5" w:rsidRDefault="00A623C5" w:rsidP="00A623C5">
      <w:pPr>
        <w:pStyle w:val="ListParagraph"/>
        <w:numPr>
          <w:ilvl w:val="0"/>
          <w:numId w:val="1"/>
        </w:numPr>
        <w:rPr>
          <w:b/>
          <w:bCs/>
          <w:lang w:eastAsia="ko-KR"/>
        </w:rPr>
      </w:pPr>
      <w:r w:rsidRPr="00A623C5">
        <w:rPr>
          <w:b/>
          <w:bCs/>
          <w:lang w:eastAsia="ko-KR"/>
        </w:rPr>
        <w:t>Processing of sold products</w:t>
      </w:r>
      <w:r w:rsidR="007E7D47">
        <w:rPr>
          <w:b/>
          <w:bCs/>
          <w:lang w:eastAsia="ko-KR"/>
        </w:rPr>
        <w:t xml:space="preserve">. </w:t>
      </w:r>
      <w:r w:rsidR="007E7D47">
        <w:rPr>
          <w:lang w:eastAsia="ko-KR"/>
        </w:rPr>
        <w:t>Processing of intermediate products sold in the reporting year by the downstream companies.</w:t>
      </w:r>
    </w:p>
    <w:p w14:paraId="730C76C6" w14:textId="39C1E353" w:rsidR="00A623C5" w:rsidRPr="00A623C5" w:rsidRDefault="00A623C5" w:rsidP="00A623C5">
      <w:pPr>
        <w:pStyle w:val="ListParagraph"/>
        <w:numPr>
          <w:ilvl w:val="0"/>
          <w:numId w:val="1"/>
        </w:numPr>
        <w:rPr>
          <w:b/>
          <w:bCs/>
          <w:lang w:eastAsia="ko-KR"/>
        </w:rPr>
      </w:pPr>
      <w:r w:rsidRPr="00A623C5">
        <w:rPr>
          <w:b/>
          <w:bCs/>
          <w:lang w:eastAsia="ko-KR"/>
        </w:rPr>
        <w:t>Use of sold products</w:t>
      </w:r>
      <w:r w:rsidR="007E7D47">
        <w:rPr>
          <w:b/>
          <w:bCs/>
          <w:lang w:eastAsia="ko-KR"/>
        </w:rPr>
        <w:t xml:space="preserve">. </w:t>
      </w:r>
      <w:r w:rsidR="007E7D47">
        <w:rPr>
          <w:lang w:eastAsia="ko-KR"/>
        </w:rPr>
        <w:t>End use of goods and services sold by the reporting company in the reporting year.</w:t>
      </w:r>
    </w:p>
    <w:p w14:paraId="307CD15B" w14:textId="697E65D5" w:rsidR="00A623C5" w:rsidRPr="00A623C5" w:rsidRDefault="00A623C5" w:rsidP="00A623C5">
      <w:pPr>
        <w:pStyle w:val="ListParagraph"/>
        <w:numPr>
          <w:ilvl w:val="0"/>
          <w:numId w:val="1"/>
        </w:numPr>
        <w:rPr>
          <w:b/>
          <w:bCs/>
          <w:lang w:eastAsia="ko-KR"/>
        </w:rPr>
      </w:pPr>
      <w:r w:rsidRPr="00A623C5">
        <w:rPr>
          <w:b/>
          <w:bCs/>
          <w:lang w:eastAsia="ko-KR"/>
        </w:rPr>
        <w:t>End-of-life treatment of sold products</w:t>
      </w:r>
      <w:r w:rsidR="007E7D47">
        <w:rPr>
          <w:b/>
          <w:bCs/>
          <w:lang w:eastAsia="ko-KR"/>
        </w:rPr>
        <w:t xml:space="preserve">. </w:t>
      </w:r>
      <w:r w:rsidR="007E7D47">
        <w:rPr>
          <w:lang w:eastAsia="ko-KR"/>
        </w:rPr>
        <w:t>Waste disposal and treatment of products sold by the reporting company (in the reporting year) at the end of their life.</w:t>
      </w:r>
    </w:p>
    <w:p w14:paraId="17B03D93" w14:textId="52495D46" w:rsidR="00A623C5" w:rsidRPr="00A623C5" w:rsidRDefault="00A623C5" w:rsidP="00A623C5">
      <w:pPr>
        <w:pStyle w:val="ListParagraph"/>
        <w:numPr>
          <w:ilvl w:val="0"/>
          <w:numId w:val="1"/>
        </w:numPr>
        <w:rPr>
          <w:b/>
          <w:bCs/>
          <w:lang w:eastAsia="ko-KR"/>
        </w:rPr>
      </w:pPr>
      <w:r w:rsidRPr="00A623C5">
        <w:rPr>
          <w:b/>
          <w:bCs/>
          <w:lang w:eastAsia="ko-KR"/>
        </w:rPr>
        <w:t>Downstream leased assets</w:t>
      </w:r>
      <w:r w:rsidR="007E7D47">
        <w:rPr>
          <w:b/>
          <w:bCs/>
          <w:lang w:eastAsia="ko-KR"/>
        </w:rPr>
        <w:t xml:space="preserve">. </w:t>
      </w:r>
      <w:r w:rsidR="007E7D47">
        <w:rPr>
          <w:lang w:eastAsia="ko-KR"/>
        </w:rPr>
        <w:t>Operation of assets owned by the reporting company and leased by other companies in the reporting year.</w:t>
      </w:r>
    </w:p>
    <w:p w14:paraId="4FFE0A41" w14:textId="4E84E95C" w:rsidR="00A623C5" w:rsidRPr="00A623C5" w:rsidRDefault="00A623C5" w:rsidP="00A623C5">
      <w:pPr>
        <w:pStyle w:val="ListParagraph"/>
        <w:numPr>
          <w:ilvl w:val="0"/>
          <w:numId w:val="1"/>
        </w:numPr>
        <w:rPr>
          <w:b/>
          <w:bCs/>
          <w:lang w:eastAsia="ko-KR"/>
        </w:rPr>
      </w:pPr>
      <w:r w:rsidRPr="00A623C5">
        <w:rPr>
          <w:b/>
          <w:bCs/>
          <w:lang w:eastAsia="ko-KR"/>
        </w:rPr>
        <w:t>Franchises</w:t>
      </w:r>
      <w:r w:rsidR="007E7D47">
        <w:rPr>
          <w:b/>
          <w:bCs/>
          <w:lang w:eastAsia="ko-KR"/>
        </w:rPr>
        <w:t xml:space="preserve">. </w:t>
      </w:r>
      <w:r w:rsidR="007E7D47">
        <w:rPr>
          <w:lang w:eastAsia="ko-KR"/>
        </w:rPr>
        <w:t>Operation of franchise in the reporting year.</w:t>
      </w:r>
    </w:p>
    <w:p w14:paraId="73842534" w14:textId="248D7CFD" w:rsidR="00A623C5" w:rsidRPr="00CB206B" w:rsidRDefault="00A623C5" w:rsidP="00A623C5">
      <w:pPr>
        <w:pStyle w:val="ListParagraph"/>
        <w:numPr>
          <w:ilvl w:val="0"/>
          <w:numId w:val="1"/>
        </w:numPr>
        <w:rPr>
          <w:b/>
          <w:bCs/>
          <w:lang w:eastAsia="ko-KR"/>
        </w:rPr>
      </w:pPr>
      <w:r w:rsidRPr="00A623C5">
        <w:rPr>
          <w:b/>
          <w:bCs/>
          <w:lang w:eastAsia="ko-KR"/>
        </w:rPr>
        <w:t>Investments</w:t>
      </w:r>
      <w:r w:rsidR="007E7D47">
        <w:rPr>
          <w:b/>
          <w:bCs/>
          <w:lang w:eastAsia="ko-KR"/>
        </w:rPr>
        <w:t xml:space="preserve">. </w:t>
      </w:r>
      <w:r w:rsidR="007E7D47">
        <w:rPr>
          <w:lang w:eastAsia="ko-KR"/>
        </w:rPr>
        <w:t>Operation of investments (including equity and debt investments and project finance) in the reporting year.</w:t>
      </w:r>
    </w:p>
    <w:p w14:paraId="5985A893" w14:textId="22CA1BD9" w:rsidR="00CB206B" w:rsidRDefault="00CB206B" w:rsidP="00CB206B">
      <w:pPr>
        <w:pStyle w:val="Heading3"/>
        <w:rPr>
          <w:lang w:eastAsia="ko-KR"/>
        </w:rPr>
      </w:pPr>
      <w:r>
        <w:rPr>
          <w:lang w:eastAsia="ko-KR"/>
        </w:rPr>
        <w:t>4.3.4</w:t>
      </w:r>
      <w:r>
        <w:rPr>
          <w:lang w:eastAsia="ko-KR"/>
        </w:rPr>
        <w:tab/>
        <w:t>Greenhouse Gas Reporting Laws</w:t>
      </w:r>
    </w:p>
    <w:p w14:paraId="5F9BEF07" w14:textId="08473454" w:rsidR="00CB206B" w:rsidRDefault="00CB206B" w:rsidP="00CB206B">
      <w:pPr>
        <w:rPr>
          <w:lang w:eastAsia="ko-KR"/>
        </w:rPr>
      </w:pPr>
      <w:r>
        <w:rPr>
          <w:lang w:eastAsia="ko-KR"/>
        </w:rPr>
        <w:t xml:space="preserve">In Europe, larger companies are subject to corporate sustainability reporting under the Corporate Sustainability Reporting Directive (CSRD), and following European Sustainability Reporting Standards which are available under </w:t>
      </w:r>
      <w:hyperlink r:id="rId16" w:history="1">
        <w:r w:rsidRPr="00744CAC">
          <w:rPr>
            <w:rStyle w:val="Hyperlink"/>
            <w:lang w:eastAsia="ko-KR"/>
          </w:rPr>
          <w:t>Commission Delegated Regulation (EU) 2023/2772</w:t>
        </w:r>
      </w:hyperlink>
      <w:r w:rsidRPr="00CB206B">
        <w:rPr>
          <w:lang w:eastAsia="ko-KR"/>
        </w:rPr>
        <w:t xml:space="preserve"> of 31 July 2023 supplementing Directive 2013/34/EU of the European Parliament and of the Council as regards sustainability reporting standards</w:t>
      </w:r>
      <w:r>
        <w:rPr>
          <w:lang w:eastAsia="ko-KR"/>
        </w:rPr>
        <w:t>.</w:t>
      </w:r>
      <w:r w:rsidR="00744CAC">
        <w:rPr>
          <w:lang w:eastAsia="ko-KR"/>
        </w:rPr>
        <w:t xml:space="preserve"> This reporting law follows the Scopes as defined by the Greenhouse Gas Protocol and described above.</w:t>
      </w:r>
    </w:p>
    <w:p w14:paraId="13E59F88" w14:textId="2FDBD1D6" w:rsidR="00744CAC" w:rsidRPr="00CB206B" w:rsidRDefault="00744CAC" w:rsidP="00CB206B">
      <w:pPr>
        <w:rPr>
          <w:lang w:eastAsia="ko-KR"/>
        </w:rPr>
      </w:pPr>
      <w:r>
        <w:rPr>
          <w:lang w:eastAsia="ko-KR"/>
        </w:rPr>
        <w:t>Other regions in the world may have imposed other and/or additional reporting requirements.</w:t>
      </w:r>
    </w:p>
    <w:p w14:paraId="59735B20" w14:textId="3D6CC143" w:rsidR="00A623C5" w:rsidRDefault="00744CAC" w:rsidP="00744CAC">
      <w:pPr>
        <w:pStyle w:val="Heading3"/>
        <w:rPr>
          <w:lang w:eastAsia="ko-KR"/>
        </w:rPr>
      </w:pPr>
      <w:r>
        <w:rPr>
          <w:lang w:eastAsia="ko-KR"/>
        </w:rPr>
        <w:t>4.3.5</w:t>
      </w:r>
      <w:r>
        <w:rPr>
          <w:lang w:eastAsia="ko-KR"/>
        </w:rPr>
        <w:tab/>
        <w:t>Greenhouse Gas Emissions Reporting and Energy Measurement</w:t>
      </w:r>
    </w:p>
    <w:p w14:paraId="059D8EB3" w14:textId="24AB4D8C" w:rsidR="00804F1C" w:rsidRDefault="00AF729A" w:rsidP="00804F1C">
      <w:pPr>
        <w:rPr>
          <w:lang w:eastAsia="ko-KR"/>
        </w:rPr>
      </w:pPr>
      <w:r>
        <w:rPr>
          <w:lang w:eastAsia="ko-KR"/>
        </w:rPr>
        <w:t xml:space="preserve">The mapping between electricity use and greenhouse gas emissions can be performed via a conversion factor known as the carbon intensity. It is measured in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The carbon intensity depends strongly on the method used to produce electricity, and therefore on the natural resources available in a given geographic location. </w:t>
      </w:r>
      <w:r w:rsidR="00804F1C">
        <w:rPr>
          <w:lang w:eastAsia="ko-KR"/>
        </w:rPr>
        <w:t xml:space="preserve">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804F1C">
        <w:rPr>
          <w:lang w:eastAsia="ko-KR"/>
        </w:rPr>
        <w:t>-e/</w:t>
      </w:r>
      <m:oMath>
        <m:r>
          <w:rPr>
            <w:rFonts w:ascii="Cambria Math" w:hAnsi="Cambria Math"/>
            <w:lang w:eastAsia="ko-KR"/>
          </w:rPr>
          <m:t>kWh</m:t>
        </m:r>
      </m:oMath>
      <w:r w:rsidR="00804F1C">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804F1C">
        <w:rPr>
          <w:lang w:eastAsia="ko-KR"/>
        </w:rPr>
        <w:t>-e/</w:t>
      </w:r>
      <m:oMath>
        <m:r>
          <w:rPr>
            <w:rFonts w:ascii="Cambria Math" w:hAnsi="Cambria Math"/>
            <w:lang w:eastAsia="ko-KR"/>
          </w:rPr>
          <m:t>kWh</m:t>
        </m:r>
      </m:oMath>
      <w:r w:rsidR="00804F1C">
        <w:rPr>
          <w:lang w:eastAsia="ko-KR"/>
        </w:rPr>
        <w:t xml:space="preserve"> (data from </w:t>
      </w:r>
      <w:hyperlink r:id="rId17" w:history="1">
        <w:r w:rsidR="00804F1C" w:rsidRPr="00804F1C">
          <w:rPr>
            <w:rStyle w:val="Hyperlink"/>
            <w:lang w:eastAsia="ko-KR"/>
          </w:rPr>
          <w:t>Ember - Yearly Electricity Data (2023); Ember - European Electricity Review (2022); Energy Institute -</w:t>
        </w:r>
        <w:r w:rsidR="00804F1C" w:rsidRPr="00804F1C">
          <w:rPr>
            <w:rStyle w:val="Hyperlink"/>
            <w:lang w:eastAsia="ko-KR"/>
          </w:rPr>
          <w:t xml:space="preserve"> </w:t>
        </w:r>
        <w:r w:rsidR="00804F1C" w:rsidRPr="00804F1C">
          <w:rPr>
            <w:rStyle w:val="Hyperlink"/>
            <w:lang w:eastAsia="ko-KR"/>
          </w:rPr>
          <w:t>Statistical Review of World Energy (2023)</w:t>
        </w:r>
      </w:hyperlink>
      <w:r w:rsidR="00804F1C">
        <w:rPr>
          <w:lang w:eastAsia="ko-KR"/>
        </w:rPr>
        <w:t>).</w:t>
      </w:r>
    </w:p>
    <w:p w14:paraId="30B78093" w14:textId="05BA9051" w:rsidR="0051399B" w:rsidRDefault="0051399B" w:rsidP="0051399B">
      <w:pPr>
        <w:pStyle w:val="Heading3"/>
        <w:rPr>
          <w:lang w:eastAsia="ko-KR"/>
        </w:rPr>
      </w:pPr>
      <w:r>
        <w:rPr>
          <w:lang w:eastAsia="ko-KR"/>
        </w:rPr>
        <w:t>4.3.6</w:t>
      </w:r>
      <w:r>
        <w:rPr>
          <w:lang w:eastAsia="ko-KR"/>
        </w:rPr>
        <w:tab/>
        <w:t>Discussion</w:t>
      </w:r>
    </w:p>
    <w:p w14:paraId="38D681C1" w14:textId="0C350A32" w:rsidR="0051399B" w:rsidRPr="00CB29EB" w:rsidRDefault="0051399B" w:rsidP="00CB29EB">
      <w:pPr>
        <w:rPr>
          <w:lang w:eastAsia="ko-KR"/>
        </w:rPr>
      </w:pPr>
      <w:r>
        <w:rPr>
          <w:lang w:eastAsia="ko-KR"/>
        </w:rPr>
        <w:t xml:space="preserve">The measurement and reporting of greenhouse gas emissions is desirable for various reasons. First, it may be used in the mitigation of risk, and second it creates new opportunities. As discussed in </w:t>
      </w:r>
      <w:r>
        <w:rPr>
          <w:lang w:eastAsia="ko-KR"/>
        </w:rPr>
        <w:t>“</w:t>
      </w:r>
      <w:hyperlink r:id="rId18" w:history="1">
        <w:r w:rsidRPr="00F76AE2">
          <w:rPr>
            <w:rStyle w:val="Hyperlink"/>
            <w:lang w:eastAsia="ko-KR"/>
          </w:rPr>
          <w:t>The Greenhouse Gas Protocol: Corporate Value Chain (Scope 3) Accounting and Reporting Standard</w:t>
        </w:r>
      </w:hyperlink>
      <w:r>
        <w:rPr>
          <w:lang w:eastAsia="ko-KR"/>
        </w:rPr>
        <w:t>”</w:t>
      </w:r>
      <w:r>
        <w:rPr>
          <w:lang w:eastAsia="ko-KR"/>
        </w:rPr>
        <w:t xml:space="preserve">, </w:t>
      </w:r>
      <w:r w:rsidR="00CB29EB">
        <w:rPr>
          <w:lang w:eastAsia="ko-KR"/>
        </w:rPr>
        <w:t>r</w:t>
      </w:r>
      <w:r>
        <w:rPr>
          <w:lang w:eastAsia="ko-KR"/>
        </w:rPr>
        <w:t>isk</w:t>
      </w:r>
      <w:r w:rsidR="00CB29EB">
        <w:rPr>
          <w:lang w:eastAsia="ko-KR"/>
        </w:rPr>
        <w:t xml:space="preserve"> categories include r</w:t>
      </w:r>
      <w:r w:rsidRPr="00CB29EB">
        <w:rPr>
          <w:lang w:eastAsia="ko-KR"/>
        </w:rPr>
        <w:t>egulatory</w:t>
      </w:r>
      <w:r w:rsidR="00CB29EB">
        <w:rPr>
          <w:lang w:eastAsia="ko-KR"/>
        </w:rPr>
        <w:t>; s</w:t>
      </w:r>
      <w:r w:rsidRPr="00CB29EB">
        <w:rPr>
          <w:lang w:eastAsia="ko-KR"/>
        </w:rPr>
        <w:t>upply chain costs and reliability</w:t>
      </w:r>
      <w:r w:rsidR="00CB29EB">
        <w:rPr>
          <w:lang w:eastAsia="ko-KR"/>
        </w:rPr>
        <w:t>; p</w:t>
      </w:r>
      <w:r w:rsidRPr="00CB29EB">
        <w:rPr>
          <w:lang w:eastAsia="ko-KR"/>
        </w:rPr>
        <w:t>roduct and technology</w:t>
      </w:r>
      <w:r w:rsidR="00CB29EB">
        <w:rPr>
          <w:lang w:eastAsia="ko-KR"/>
        </w:rPr>
        <w:t>; l</w:t>
      </w:r>
      <w:r w:rsidRPr="00CB29EB">
        <w:rPr>
          <w:lang w:eastAsia="ko-KR"/>
        </w:rPr>
        <w:t>itigation</w:t>
      </w:r>
      <w:r w:rsidR="00CB29EB">
        <w:rPr>
          <w:lang w:eastAsia="ko-KR"/>
        </w:rPr>
        <w:t>; r</w:t>
      </w:r>
      <w:r w:rsidRPr="00CB29EB">
        <w:rPr>
          <w:lang w:eastAsia="ko-KR"/>
        </w:rPr>
        <w:t>eputation</w:t>
      </w:r>
      <w:r w:rsidR="00CB29EB">
        <w:rPr>
          <w:lang w:eastAsia="ko-KR"/>
        </w:rPr>
        <w:t>. Opportunities include e</w:t>
      </w:r>
      <w:r w:rsidRPr="00CB29EB">
        <w:rPr>
          <w:lang w:eastAsia="ko-KR"/>
        </w:rPr>
        <w:t>fficiency and cost savings</w:t>
      </w:r>
      <w:r w:rsidR="00CB29EB">
        <w:rPr>
          <w:lang w:eastAsia="ko-KR"/>
        </w:rPr>
        <w:t>; d</w:t>
      </w:r>
      <w:r w:rsidRPr="00CB29EB">
        <w:rPr>
          <w:lang w:eastAsia="ko-KR"/>
        </w:rPr>
        <w:t>rive innovation</w:t>
      </w:r>
      <w:r w:rsidR="00CB29EB">
        <w:rPr>
          <w:lang w:eastAsia="ko-KR"/>
        </w:rPr>
        <w:t>; i</w:t>
      </w:r>
      <w:r w:rsidRPr="00CB29EB">
        <w:rPr>
          <w:lang w:eastAsia="ko-KR"/>
        </w:rPr>
        <w:t>ncrease sales and customer loyalty</w:t>
      </w:r>
      <w:r w:rsidR="00CB29EB">
        <w:rPr>
          <w:lang w:eastAsia="ko-KR"/>
        </w:rPr>
        <w:t>; i</w:t>
      </w:r>
      <w:r w:rsidRPr="00CB29EB">
        <w:rPr>
          <w:lang w:eastAsia="ko-KR"/>
        </w:rPr>
        <w:t>mprove stakeholder relations</w:t>
      </w:r>
      <w:r w:rsidR="00CB29EB">
        <w:rPr>
          <w:lang w:eastAsia="ko-KR"/>
        </w:rPr>
        <w:t>; c</w:t>
      </w:r>
      <w:r w:rsidRPr="00CB29EB">
        <w:rPr>
          <w:lang w:eastAsia="ko-KR"/>
        </w:rPr>
        <w:t>ompany differentiation</w:t>
      </w:r>
      <w:r w:rsidR="00CB29EB">
        <w:rPr>
          <w:lang w:eastAsia="ko-KR"/>
        </w:rPr>
        <w:t>.</w:t>
      </w:r>
    </w:p>
    <w:p w14:paraId="323A7535" w14:textId="6FD870A9" w:rsidR="00A5130B" w:rsidRPr="00A5130B" w:rsidRDefault="00A5130B" w:rsidP="00A5130B">
      <w:pPr>
        <w:pStyle w:val="B1"/>
        <w:ind w:left="0" w:firstLine="0"/>
      </w:pPr>
    </w:p>
    <w:tbl>
      <w:tblPr>
        <w:tblStyle w:val="TableGrid"/>
        <w:tblW w:w="0" w:type="auto"/>
        <w:shd w:val="clear" w:color="auto" w:fill="FFFF00"/>
        <w:tblLook w:val="04A0" w:firstRow="1" w:lastRow="0" w:firstColumn="1" w:lastColumn="0" w:noHBand="0" w:noVBand="1"/>
      </w:tblPr>
      <w:tblGrid>
        <w:gridCol w:w="9639"/>
      </w:tblGrid>
      <w:tr w:rsidR="00A5130B" w14:paraId="0A9ACB43" w14:textId="77777777" w:rsidTr="00721383">
        <w:tc>
          <w:tcPr>
            <w:tcW w:w="9639" w:type="dxa"/>
            <w:tcBorders>
              <w:top w:val="nil"/>
              <w:left w:val="nil"/>
              <w:bottom w:val="nil"/>
              <w:right w:val="nil"/>
            </w:tcBorders>
            <w:shd w:val="clear" w:color="auto" w:fill="FFFF00"/>
          </w:tcPr>
          <w:p w14:paraId="29505A09" w14:textId="77777777" w:rsidR="00A5130B" w:rsidRDefault="00A5130B" w:rsidP="00721383">
            <w:pPr>
              <w:pStyle w:val="Heading2"/>
              <w:ind w:left="0" w:firstLine="0"/>
              <w:jc w:val="center"/>
              <w:rPr>
                <w:lang w:eastAsia="ko-KR"/>
              </w:rPr>
            </w:pPr>
            <w:r>
              <w:rPr>
                <w:lang w:eastAsia="ko-KR"/>
              </w:rPr>
              <w:t>End of change</w:t>
            </w:r>
          </w:p>
        </w:tc>
      </w:tr>
    </w:tbl>
    <w:p w14:paraId="6F748175" w14:textId="77777777" w:rsidR="00A5130B" w:rsidRDefault="00A5130B" w:rsidP="00A5130B">
      <w:pPr>
        <w:pStyle w:val="B1"/>
        <w:rPr>
          <w:noProof/>
        </w:rPr>
      </w:pPr>
    </w:p>
    <w:p w14:paraId="68C9CD36" w14:textId="77777777" w:rsidR="001E41F3" w:rsidRDefault="001E41F3">
      <w:pPr>
        <w:rPr>
          <w:noProof/>
        </w:rPr>
      </w:pPr>
    </w:p>
    <w:sectPr w:rsidR="001E41F3" w:rsidSect="00CA61F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8BDF" w14:textId="77777777" w:rsidR="00CA61F8" w:rsidRDefault="00CA61F8">
      <w:r>
        <w:separator/>
      </w:r>
    </w:p>
  </w:endnote>
  <w:endnote w:type="continuationSeparator" w:id="0">
    <w:p w14:paraId="657F9852" w14:textId="77777777" w:rsidR="00CA61F8" w:rsidRDefault="00CA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3589" w14:textId="77777777" w:rsidR="00CA61F8" w:rsidRDefault="00CA61F8">
      <w:r>
        <w:separator/>
      </w:r>
    </w:p>
  </w:footnote>
  <w:footnote w:type="continuationSeparator" w:id="0">
    <w:p w14:paraId="23EAF47E" w14:textId="77777777" w:rsidR="00CA61F8" w:rsidRDefault="00CA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6431235">
    <w:abstractNumId w:val="0"/>
  </w:num>
  <w:num w:numId="2" w16cid:durableId="1416896882">
    <w:abstractNumId w:val="3"/>
  </w:num>
  <w:num w:numId="3" w16cid:durableId="1269661371">
    <w:abstractNumId w:val="2"/>
  </w:num>
  <w:num w:numId="4" w16cid:durableId="2135249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FC7"/>
    <w:rsid w:val="00145D43"/>
    <w:rsid w:val="00192C46"/>
    <w:rsid w:val="001A08B3"/>
    <w:rsid w:val="001A7B60"/>
    <w:rsid w:val="001B52F0"/>
    <w:rsid w:val="001B7A65"/>
    <w:rsid w:val="001E41F3"/>
    <w:rsid w:val="001E6C63"/>
    <w:rsid w:val="00246C8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5E2"/>
    <w:rsid w:val="00466D50"/>
    <w:rsid w:val="004B75B7"/>
    <w:rsid w:val="0051399B"/>
    <w:rsid w:val="005141D9"/>
    <w:rsid w:val="0051580D"/>
    <w:rsid w:val="00547111"/>
    <w:rsid w:val="00592D74"/>
    <w:rsid w:val="005E2C44"/>
    <w:rsid w:val="00621188"/>
    <w:rsid w:val="006257ED"/>
    <w:rsid w:val="00653DE4"/>
    <w:rsid w:val="00665C47"/>
    <w:rsid w:val="00695808"/>
    <w:rsid w:val="006B46FB"/>
    <w:rsid w:val="006E21FB"/>
    <w:rsid w:val="006F7CE2"/>
    <w:rsid w:val="00744CAC"/>
    <w:rsid w:val="00792342"/>
    <w:rsid w:val="007977A8"/>
    <w:rsid w:val="007B512A"/>
    <w:rsid w:val="007C2097"/>
    <w:rsid w:val="007D6A07"/>
    <w:rsid w:val="007E7D47"/>
    <w:rsid w:val="007F7259"/>
    <w:rsid w:val="008040A8"/>
    <w:rsid w:val="00804F1C"/>
    <w:rsid w:val="008279FA"/>
    <w:rsid w:val="008626E7"/>
    <w:rsid w:val="00870EE7"/>
    <w:rsid w:val="008863B9"/>
    <w:rsid w:val="008A45A6"/>
    <w:rsid w:val="008D3CCC"/>
    <w:rsid w:val="008D7677"/>
    <w:rsid w:val="008F3789"/>
    <w:rsid w:val="008F686C"/>
    <w:rsid w:val="009148DE"/>
    <w:rsid w:val="00941E30"/>
    <w:rsid w:val="009531B0"/>
    <w:rsid w:val="00964F73"/>
    <w:rsid w:val="009741B3"/>
    <w:rsid w:val="009777D9"/>
    <w:rsid w:val="00991B88"/>
    <w:rsid w:val="009A5753"/>
    <w:rsid w:val="009A579D"/>
    <w:rsid w:val="009E3297"/>
    <w:rsid w:val="009F734F"/>
    <w:rsid w:val="00A246B6"/>
    <w:rsid w:val="00A47E70"/>
    <w:rsid w:val="00A50CF0"/>
    <w:rsid w:val="00A5130B"/>
    <w:rsid w:val="00A623C5"/>
    <w:rsid w:val="00A7671C"/>
    <w:rsid w:val="00AA2CBC"/>
    <w:rsid w:val="00AC5820"/>
    <w:rsid w:val="00AD1CD8"/>
    <w:rsid w:val="00AF729A"/>
    <w:rsid w:val="00B258BB"/>
    <w:rsid w:val="00B67B97"/>
    <w:rsid w:val="00B968C8"/>
    <w:rsid w:val="00BA3EC5"/>
    <w:rsid w:val="00BA51D9"/>
    <w:rsid w:val="00BB5DFC"/>
    <w:rsid w:val="00BD279D"/>
    <w:rsid w:val="00BD6BB8"/>
    <w:rsid w:val="00BE73B6"/>
    <w:rsid w:val="00C66BA2"/>
    <w:rsid w:val="00C870F6"/>
    <w:rsid w:val="00C95985"/>
    <w:rsid w:val="00CA61F8"/>
    <w:rsid w:val="00CB206B"/>
    <w:rsid w:val="00CB29EB"/>
    <w:rsid w:val="00CC5026"/>
    <w:rsid w:val="00CC68D0"/>
    <w:rsid w:val="00D03F9A"/>
    <w:rsid w:val="00D06D51"/>
    <w:rsid w:val="00D24991"/>
    <w:rsid w:val="00D46714"/>
    <w:rsid w:val="00D50255"/>
    <w:rsid w:val="00D66520"/>
    <w:rsid w:val="00D84AE9"/>
    <w:rsid w:val="00D9124E"/>
    <w:rsid w:val="00DE34CF"/>
    <w:rsid w:val="00E13F3D"/>
    <w:rsid w:val="00E34898"/>
    <w:rsid w:val="00E721C0"/>
    <w:rsid w:val="00EB09B7"/>
    <w:rsid w:val="00EE7D7C"/>
    <w:rsid w:val="00F25D98"/>
    <w:rsid w:val="00F300FB"/>
    <w:rsid w:val="00F76A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hgprotocol.org" TargetMode="External"/><Relationship Id="rId18" Type="http://schemas.openxmlformats.org/officeDocument/2006/relationships/hyperlink" Target="https://ghgprotocol.org/sites/default/files/standards/Corporate-Value-Chain-Accounting-Reporing-Standard_041613_2.pdf"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ourworldindata.org/grapher/carbon-intensity-electricity" TargetMode="External"/><Relationship Id="rId2" Type="http://schemas.openxmlformats.org/officeDocument/2006/relationships/customXml" Target="../customXml/item1.xml"/><Relationship Id="rId16" Type="http://schemas.openxmlformats.org/officeDocument/2006/relationships/hyperlink" Target="https://eur-lex.europa.eu/legal-content/en/TXT/?uri=CELEX:32023R2772"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ghgprotocol.org/sites/default/files/standards/Corporate-Value-Chain-Accounting-Reporing-Standard_041613_2.pdf"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hgprotocol.org/sites/default/files/standards/ghg-protocol-revised.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Reinhard</cp:lastModifiedBy>
  <cp:revision>20</cp:revision>
  <cp:lastPrinted>1899-12-31T23:00:00Z</cp:lastPrinted>
  <dcterms:created xsi:type="dcterms:W3CDTF">2020-02-03T08:32:00Z</dcterms:created>
  <dcterms:modified xsi:type="dcterms:W3CDTF">2024-04-02T09:48:00Z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