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2A841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9F6B86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6B16FD">
        <w:rPr>
          <w:rFonts w:ascii="Arial" w:hAnsi="Arial" w:cs="Arial"/>
          <w:b/>
          <w:szCs w:val="24"/>
          <w:lang w:val="en-US" w:eastAsia="ja-JP"/>
        </w:rPr>
        <w:t>Update to the Basic Call Flow for IBACS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13BCDB95" w:rsidR="009F42FB" w:rsidRPr="009F42FB" w:rsidRDefault="00D61658" w:rsidP="009F42FB">
      <w:pPr>
        <w:rPr>
          <w:lang w:val="en-US"/>
        </w:rPr>
      </w:pPr>
      <w:r>
        <w:rPr>
          <w:lang w:val="en-US"/>
        </w:rPr>
        <w:t xml:space="preserve">In this contribution, we provide </w:t>
      </w:r>
      <w:r w:rsidR="004C4B64">
        <w:rPr>
          <w:lang w:val="en-US"/>
        </w:rPr>
        <w:t xml:space="preserve">an update to the call flow </w:t>
      </w:r>
      <w:r w:rsidR="00B75764">
        <w:rPr>
          <w:lang w:val="en-US"/>
        </w:rPr>
        <w:t xml:space="preserve">in </w:t>
      </w:r>
      <w:r w:rsidR="00B75764">
        <w:t xml:space="preserve">Figure 4.1.1.1 of </w:t>
      </w:r>
      <w:r w:rsidR="00B75764">
        <w:rPr>
          <w:lang w:val="en-US"/>
        </w:rPr>
        <w:t xml:space="preserve">the IBACS permanent document v.0.1.0 </w:t>
      </w:r>
      <w:r w:rsidR="004C4B64">
        <w:rPr>
          <w:lang w:val="en-US"/>
        </w:rPr>
        <w:t xml:space="preserve">[1] </w:t>
      </w:r>
      <w:r>
        <w:rPr>
          <w:lang w:val="en-US"/>
        </w:rPr>
        <w:t xml:space="preserve">for the establishment and operation of IMS-based AR telephony applications based on </w:t>
      </w:r>
      <w:r w:rsidR="004C4B64">
        <w:rPr>
          <w:lang w:val="en-US"/>
        </w:rPr>
        <w:t>the architectures of IMS that supports the data channel [</w:t>
      </w:r>
      <w:r w:rsidR="00A112ED">
        <w:rPr>
          <w:lang w:val="en-US"/>
        </w:rPr>
        <w:t>2</w:t>
      </w:r>
      <w:r w:rsidR="004C4B64">
        <w:rPr>
          <w:lang w:val="en-US"/>
        </w:rPr>
        <w:t>]</w:t>
      </w:r>
      <w:r w:rsidR="00A112ED">
        <w:rPr>
          <w:lang w:val="en-US"/>
        </w:rPr>
        <w:t xml:space="preserve"> agreed for TS23.228</w:t>
      </w:r>
      <w:r w:rsidR="008F713D">
        <w:rPr>
          <w:lang w:val="en-US"/>
        </w:rPr>
        <w:t xml:space="preserve">. </w:t>
      </w:r>
    </w:p>
    <w:bookmarkEnd w:id="0"/>
    <w:p w14:paraId="10D29D2B" w14:textId="52F8121D" w:rsidR="00F62F09" w:rsidRPr="00F62F09" w:rsidRDefault="00B75764" w:rsidP="00F62F09">
      <w:pPr>
        <w:pStyle w:val="Heading1"/>
        <w:numPr>
          <w:ilvl w:val="0"/>
          <w:numId w:val="3"/>
        </w:numPr>
      </w:pPr>
      <w:r>
        <w:t>Reasons for changes</w:t>
      </w:r>
    </w:p>
    <w:p w14:paraId="25FD9EC2" w14:textId="5140374C" w:rsidR="00B75764" w:rsidRDefault="006D33C5" w:rsidP="00B75764">
      <w:pPr>
        <w:rPr>
          <w:lang w:val="en-US"/>
        </w:rPr>
      </w:pPr>
      <w:r>
        <w:rPr>
          <w:lang w:val="en-US"/>
        </w:rPr>
        <w:t xml:space="preserve">The </w:t>
      </w:r>
      <w:r w:rsidR="00B07F86">
        <w:rPr>
          <w:lang w:val="en-US"/>
        </w:rPr>
        <w:t>proposed changes</w:t>
      </w:r>
      <w:r>
        <w:rPr>
          <w:lang w:val="en-US"/>
        </w:rPr>
        <w:t xml:space="preserve"> </w:t>
      </w:r>
      <w:r w:rsidR="00B07F86">
        <w:rPr>
          <w:lang w:val="en-US"/>
        </w:rPr>
        <w:t>are for</w:t>
      </w:r>
      <w:r>
        <w:rPr>
          <w:lang w:val="en-US"/>
        </w:rPr>
        <w:t xml:space="preserve"> step 6</w:t>
      </w:r>
      <w:r w:rsidR="00B75764">
        <w:rPr>
          <w:lang w:val="en-US"/>
        </w:rPr>
        <w:t xml:space="preserve"> of </w:t>
      </w:r>
      <w:r w:rsidR="00B75764">
        <w:t>Figure 4.1.1.1 “Basic AR Call Flow” of [1]</w:t>
      </w:r>
      <w:r w:rsidR="00B07F86">
        <w:t xml:space="preserve"> for the following reasons:</w:t>
      </w:r>
      <w:r w:rsidR="00B75764">
        <w:t xml:space="preserve"> </w:t>
      </w:r>
    </w:p>
    <w:p w14:paraId="46CDBC62" w14:textId="31A74E6D" w:rsidR="00B620E7" w:rsidRDefault="007F05BA" w:rsidP="00B620E7">
      <w:pPr>
        <w:numPr>
          <w:ilvl w:val="0"/>
          <w:numId w:val="19"/>
        </w:numPr>
        <w:rPr>
          <w:lang w:val="en-US"/>
        </w:rPr>
      </w:pPr>
      <w:r>
        <w:rPr>
          <w:lang w:val="en-US"/>
        </w:rPr>
        <w:t xml:space="preserve">There is no interface between the </w:t>
      </w:r>
      <w:r w:rsidR="00FD1A69">
        <w:rPr>
          <w:lang w:val="en-US"/>
        </w:rPr>
        <w:t xml:space="preserve">MMTel AS </w:t>
      </w:r>
      <w:r>
        <w:rPr>
          <w:lang w:val="en-US"/>
        </w:rPr>
        <w:t>and the</w:t>
      </w:r>
      <w:r w:rsidR="00FD1A69">
        <w:rPr>
          <w:lang w:val="en-US"/>
        </w:rPr>
        <w:t xml:space="preserve"> UE</w:t>
      </w:r>
      <w:r w:rsidR="00B620E7">
        <w:rPr>
          <w:lang w:val="en-US"/>
        </w:rPr>
        <w:t xml:space="preserve"> for the call setup</w:t>
      </w:r>
      <w:r>
        <w:rPr>
          <w:lang w:val="en-US"/>
        </w:rPr>
        <w:t xml:space="preserve">. </w:t>
      </w:r>
      <w:r w:rsidR="00B620E7">
        <w:rPr>
          <w:lang w:val="en-US"/>
        </w:rPr>
        <w:t>This is not reflected in the call flow, although the text in step 6 noted the absence of an interface fo</w:t>
      </w:r>
      <w:r w:rsidR="00535EB8">
        <w:rPr>
          <w:lang w:val="en-US"/>
        </w:rPr>
        <w:t>r</w:t>
      </w:r>
      <w:r w:rsidR="00B620E7">
        <w:rPr>
          <w:lang w:val="en-US"/>
        </w:rPr>
        <w:t xml:space="preserve"> the call setup. </w:t>
      </w:r>
    </w:p>
    <w:p w14:paraId="00F87728" w14:textId="2207BABF" w:rsidR="00B75764" w:rsidRDefault="00B620E7" w:rsidP="00EB48D6">
      <w:pPr>
        <w:numPr>
          <w:ilvl w:val="0"/>
          <w:numId w:val="19"/>
        </w:numPr>
        <w:rPr>
          <w:lang w:val="en-US"/>
        </w:rPr>
      </w:pPr>
      <w:r>
        <w:rPr>
          <w:lang w:val="en-US"/>
        </w:rPr>
        <w:t xml:space="preserve">The text for step 6 only applies to the case where UE2 is also in an IMS network. However, UE2 may be in a PSTN network, or </w:t>
      </w:r>
      <w:r w:rsidR="00535EB8">
        <w:rPr>
          <w:lang w:val="en-US"/>
        </w:rPr>
        <w:t>on the Internet (using, e.g.,</w:t>
      </w:r>
      <w:r>
        <w:rPr>
          <w:lang w:val="en-US"/>
        </w:rPr>
        <w:t xml:space="preserve"> WebRTC</w:t>
      </w:r>
      <w:r w:rsidR="00535EB8">
        <w:rPr>
          <w:lang w:val="en-US"/>
        </w:rPr>
        <w:t>)</w:t>
      </w:r>
      <w:r>
        <w:rPr>
          <w:lang w:val="en-US"/>
        </w:rPr>
        <w:t xml:space="preserve">. Consequently, the text for step 6 needs to be revised to cover the other two cases. </w:t>
      </w:r>
    </w:p>
    <w:p w14:paraId="1D93E850" w14:textId="33166611" w:rsidR="00C11111" w:rsidRPr="00B620E7" w:rsidRDefault="00C11111" w:rsidP="00EB48D6">
      <w:pPr>
        <w:numPr>
          <w:ilvl w:val="0"/>
          <w:numId w:val="19"/>
        </w:numPr>
        <w:rPr>
          <w:lang w:val="en-US"/>
        </w:rPr>
      </w:pPr>
      <w:r>
        <w:rPr>
          <w:lang w:val="en-US"/>
        </w:rPr>
        <w:t>The labels of three out of four dashed rectangles are wrong, and they are all labeled as ‘A’.</w:t>
      </w:r>
    </w:p>
    <w:p w14:paraId="68723D48" w14:textId="3827B238" w:rsidR="00B75764" w:rsidRDefault="00B75764" w:rsidP="00B75764">
      <w:pPr>
        <w:pStyle w:val="Heading1"/>
        <w:numPr>
          <w:ilvl w:val="0"/>
          <w:numId w:val="3"/>
        </w:numPr>
      </w:pPr>
      <w:r>
        <w:t>Proposed changes</w:t>
      </w:r>
    </w:p>
    <w:p w14:paraId="449CCA4A" w14:textId="77777777" w:rsidR="00535EB8" w:rsidRDefault="00535EB8" w:rsidP="00F25EC3">
      <w:pPr>
        <w:rPr>
          <w:lang w:val="en-US"/>
        </w:rPr>
      </w:pPr>
      <w:r>
        <w:rPr>
          <w:lang w:val="en-US"/>
        </w:rPr>
        <w:t xml:space="preserve">Change 1: </w:t>
      </w:r>
      <w:r w:rsidR="00F25EC3" w:rsidRPr="00F25EC3">
        <w:rPr>
          <w:lang w:val="en-US"/>
        </w:rPr>
        <w:t xml:space="preserve">The </w:t>
      </w:r>
      <w:r>
        <w:rPr>
          <w:lang w:val="en-US"/>
        </w:rPr>
        <w:t xml:space="preserve">arrow in step 6 is changed from solid line to dashed line to indicate this may leave out some other entities. </w:t>
      </w:r>
    </w:p>
    <w:p w14:paraId="06B14BF6" w14:textId="77777777" w:rsidR="00535EB8" w:rsidRDefault="00535EB8" w:rsidP="00F25EC3">
      <w:pPr>
        <w:rPr>
          <w:lang w:val="en-US"/>
        </w:rPr>
      </w:pPr>
    </w:p>
    <w:p w14:paraId="42698A6A" w14:textId="7CB60B29" w:rsidR="00F25EC3" w:rsidRDefault="00535EB8" w:rsidP="00F25EC3">
      <w:pPr>
        <w:rPr>
          <w:lang w:val="en-US"/>
        </w:rPr>
      </w:pPr>
      <w:r>
        <w:rPr>
          <w:lang w:val="en-US"/>
        </w:rPr>
        <w:t xml:space="preserve">Change 2: The text description is </w:t>
      </w:r>
      <w:r w:rsidR="00B34136">
        <w:rPr>
          <w:lang w:val="en-US"/>
        </w:rPr>
        <w:t xml:space="preserve">changed to the following. </w:t>
      </w:r>
    </w:p>
    <w:p w14:paraId="374536D7" w14:textId="580D7E0F" w:rsidR="00F25EC3" w:rsidRDefault="00F25EC3" w:rsidP="00F25EC3">
      <w:pPr>
        <w:rPr>
          <w:lang w:val="en-US"/>
        </w:rPr>
      </w:pPr>
      <w:r w:rsidRPr="00F25EC3">
        <w:rPr>
          <w:lang w:val="en-US"/>
        </w:rPr>
        <w:t>6.</w:t>
      </w:r>
      <w:r w:rsidRPr="00F25EC3">
        <w:rPr>
          <w:lang w:val="en-US"/>
        </w:rPr>
        <w:tab/>
        <w:t xml:space="preserve">The MMTel AS then forwards the invite to UE2 via </w:t>
      </w:r>
      <w:r>
        <w:rPr>
          <w:lang w:val="en-US"/>
        </w:rPr>
        <w:t>intermediate entities, which are</w:t>
      </w:r>
    </w:p>
    <w:p w14:paraId="646B3274" w14:textId="576D5704" w:rsidR="00F25EC3" w:rsidRDefault="00B34136" w:rsidP="00F25EC3">
      <w:pPr>
        <w:numPr>
          <w:ilvl w:val="0"/>
          <w:numId w:val="18"/>
        </w:numPr>
        <w:rPr>
          <w:lang w:val="en-US"/>
        </w:rPr>
      </w:pPr>
      <w:r>
        <w:rPr>
          <w:lang w:val="en-US"/>
        </w:rPr>
        <w:t>I/S/P-</w:t>
      </w:r>
      <w:r w:rsidR="00F25EC3">
        <w:rPr>
          <w:lang w:val="en-US"/>
        </w:rPr>
        <w:t>CSCF, if UE2 is</w:t>
      </w:r>
      <w:r>
        <w:rPr>
          <w:lang w:val="en-US"/>
        </w:rPr>
        <w:t xml:space="preserve"> an IMS subscriber</w:t>
      </w:r>
      <w:r w:rsidR="00F25EC3">
        <w:rPr>
          <w:lang w:val="en-US"/>
        </w:rPr>
        <w:t xml:space="preserve"> </w:t>
      </w:r>
    </w:p>
    <w:p w14:paraId="341D08AE" w14:textId="7462645C" w:rsidR="00F25EC3" w:rsidRDefault="00EA3D1F" w:rsidP="00F25EC3">
      <w:pPr>
        <w:numPr>
          <w:ilvl w:val="0"/>
          <w:numId w:val="18"/>
        </w:numPr>
        <w:rPr>
          <w:lang w:val="en-US"/>
        </w:rPr>
      </w:pPr>
      <w:r>
        <w:rPr>
          <w:lang w:val="en-US"/>
        </w:rPr>
        <w:t>MGCF (</w:t>
      </w:r>
      <w:r w:rsidR="00B34136">
        <w:rPr>
          <w:lang w:val="en-US"/>
        </w:rPr>
        <w:t xml:space="preserve">Media Gateway Control Function) and PSTN in sequence, </w:t>
      </w:r>
      <w:r w:rsidR="00F25EC3">
        <w:rPr>
          <w:lang w:val="en-US"/>
        </w:rPr>
        <w:t xml:space="preserve">if UE2 is a PSTN </w:t>
      </w:r>
      <w:r w:rsidR="00B34136">
        <w:rPr>
          <w:lang w:val="en-US"/>
        </w:rPr>
        <w:t>subscriber</w:t>
      </w:r>
    </w:p>
    <w:p w14:paraId="3A836281" w14:textId="7143383F" w:rsidR="00F25EC3" w:rsidRDefault="005C217E" w:rsidP="00F25EC3">
      <w:pPr>
        <w:numPr>
          <w:ilvl w:val="0"/>
          <w:numId w:val="18"/>
        </w:numPr>
        <w:rPr>
          <w:lang w:val="en-US"/>
        </w:rPr>
      </w:pPr>
      <w:r>
        <w:rPr>
          <w:lang w:val="en-US"/>
        </w:rPr>
        <w:t xml:space="preserve">I/S-CSCF, </w:t>
      </w:r>
      <w:proofErr w:type="spellStart"/>
      <w:r>
        <w:rPr>
          <w:lang w:val="en-US"/>
        </w:rPr>
        <w:t>eP</w:t>
      </w:r>
      <w:proofErr w:type="spellEnd"/>
      <w:r>
        <w:rPr>
          <w:lang w:val="en-US"/>
        </w:rPr>
        <w:t xml:space="preserve">-CSCF in sequence, </w:t>
      </w:r>
      <w:r w:rsidR="00F25EC3">
        <w:rPr>
          <w:lang w:val="en-US"/>
        </w:rPr>
        <w:t>if UE2 is a WebRTC</w:t>
      </w:r>
      <w:r>
        <w:rPr>
          <w:lang w:val="en-US"/>
        </w:rPr>
        <w:t xml:space="preserve"> client</w:t>
      </w:r>
      <w:r w:rsidR="00A43621">
        <w:rPr>
          <w:lang w:val="en-US"/>
        </w:rPr>
        <w:t xml:space="preserve"> that runs </w:t>
      </w:r>
      <w:r w:rsidR="00EA3D1F">
        <w:rPr>
          <w:lang w:val="en-US"/>
        </w:rPr>
        <w:t>WIC (</w:t>
      </w:r>
      <w:r w:rsidR="00A43621">
        <w:t>WebRTC IMS Client)</w:t>
      </w:r>
    </w:p>
    <w:p w14:paraId="5C577079" w14:textId="5E69510F" w:rsidR="00F25EC3" w:rsidRDefault="00F25EC3" w:rsidP="00F25EC3">
      <w:pPr>
        <w:rPr>
          <w:lang w:val="en-US"/>
        </w:rPr>
      </w:pPr>
    </w:p>
    <w:p w14:paraId="0B57A090" w14:textId="6B4243E9" w:rsidR="00F25EC3" w:rsidRPr="00F25EC3" w:rsidRDefault="00C11111" w:rsidP="00F25EC3">
      <w:pPr>
        <w:rPr>
          <w:lang w:val="en-US"/>
        </w:rPr>
      </w:pPr>
      <w:r>
        <w:rPr>
          <w:lang w:val="en-US"/>
        </w:rPr>
        <w:lastRenderedPageBreak/>
        <w:t>Changes 3: The labels of the last three out of four dashed rectangles are changed to ‘B’, ‘C’, ‘D’ respectively.</w:t>
      </w:r>
    </w:p>
    <w:p w14:paraId="4938A1F3" w14:textId="7032233B" w:rsidR="006D33C5" w:rsidRDefault="006D33C5" w:rsidP="00EB48D6">
      <w:pPr>
        <w:rPr>
          <w:lang w:val="en-US"/>
        </w:rPr>
      </w:pPr>
      <w:r>
        <w:rPr>
          <w:lang w:val="en-US"/>
        </w:rPr>
        <w:t xml:space="preserve"> </w:t>
      </w:r>
    </w:p>
    <w:p w14:paraId="236B1A68" w14:textId="07903A4B" w:rsidR="006D33C5" w:rsidRDefault="00C11111" w:rsidP="00EB48D6">
      <w:pPr>
        <w:rPr>
          <w:lang w:val="en-US"/>
        </w:rPr>
      </w:pPr>
      <w:r>
        <w:rPr>
          <w:rFonts w:eastAsia="Yu Mincho"/>
          <w:szCs w:val="24"/>
          <w:lang w:val="en-US"/>
        </w:rPr>
        <w:object w:dxaOrig="10944" w:dyaOrig="9816" w14:anchorId="0AA4A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2pt;height:490.8pt" o:ole="">
            <v:imagedata r:id="rId11" o:title=""/>
          </v:shape>
          <o:OLEObject Type="Embed" ProgID="Mscgen.Chart" ShapeID="_x0000_i1025" DrawAspect="Content" ObjectID="_1737843544" r:id="rId12"/>
        </w:object>
      </w:r>
      <w:r w:rsidR="00A26E05" w:rsidRPr="00A26E05">
        <w:rPr>
          <w:rFonts w:eastAsia="Yu Mincho"/>
          <w:szCs w:val="24"/>
          <w:lang w:val="en-US"/>
        </w:rPr>
        <w:t>Figure 4.1.1.1 Basic AR Call Flow</w:t>
      </w:r>
    </w:p>
    <w:p w14:paraId="31DFDB63" w14:textId="77777777" w:rsidR="00583965" w:rsidRDefault="00583965" w:rsidP="007D1D47">
      <w:pPr>
        <w:pStyle w:val="Heading1"/>
        <w:numPr>
          <w:ilvl w:val="0"/>
          <w:numId w:val="3"/>
        </w:numPr>
      </w:pPr>
      <w:r>
        <w:t>Proposal</w:t>
      </w:r>
    </w:p>
    <w:p w14:paraId="73F02001" w14:textId="1C65DAE0" w:rsidR="00F17FCB" w:rsidRPr="00FD4CF0" w:rsidRDefault="00583965" w:rsidP="00FD4CF0">
      <w:r>
        <w:rPr>
          <w:lang w:val="en-US"/>
        </w:rPr>
        <w:t>We propose to</w:t>
      </w:r>
      <w:r w:rsidR="00DF13C0">
        <w:rPr>
          <w:lang w:val="en-US"/>
        </w:rPr>
        <w:t xml:space="preserve"> </w:t>
      </w:r>
      <w:r w:rsidR="00BE33CC">
        <w:rPr>
          <w:lang w:val="en-US"/>
        </w:rPr>
        <w:t xml:space="preserve">agree the </w:t>
      </w:r>
      <w:r w:rsidR="00FD4CF0">
        <w:rPr>
          <w:lang w:val="en-US"/>
        </w:rPr>
        <w:t xml:space="preserve">updated </w:t>
      </w:r>
      <w:r w:rsidR="00BE33CC">
        <w:rPr>
          <w:lang w:val="en-US"/>
        </w:rPr>
        <w:t xml:space="preserve">call flow and </w:t>
      </w:r>
      <w:r w:rsidR="00FD4CF0">
        <w:rPr>
          <w:lang w:val="en-US"/>
        </w:rPr>
        <w:t xml:space="preserve">include it and the text in </w:t>
      </w:r>
      <w:r w:rsidR="00FD4CF0" w:rsidRPr="00FD4CF0">
        <w:rPr>
          <w:lang w:val="en-US"/>
        </w:rPr>
        <w:t>the permanent document of IBACS</w:t>
      </w:r>
      <w:r w:rsidR="005C217E">
        <w:rPr>
          <w:lang w:val="en-US"/>
        </w:rPr>
        <w:t xml:space="preserve"> [1]</w:t>
      </w:r>
      <w:r w:rsidR="00FD4CF0" w:rsidRPr="00FD4CF0">
        <w:rPr>
          <w:lang w:val="en-US"/>
        </w:rPr>
        <w:t>.</w:t>
      </w:r>
    </w:p>
    <w:p w14:paraId="1AD77411" w14:textId="6F7CC229" w:rsidR="003649FB" w:rsidRDefault="003649FB" w:rsidP="003649FB">
      <w:pPr>
        <w:pStyle w:val="Heading1"/>
        <w:numPr>
          <w:ilvl w:val="0"/>
          <w:numId w:val="3"/>
        </w:numPr>
      </w:pPr>
      <w:r>
        <w:lastRenderedPageBreak/>
        <w:t>References</w:t>
      </w:r>
    </w:p>
    <w:p w14:paraId="062241E2" w14:textId="32DCDE50" w:rsidR="006B16FD" w:rsidRPr="006B16FD" w:rsidRDefault="003649FB" w:rsidP="001067EA">
      <w:r>
        <w:rPr>
          <w:lang w:val="en-US"/>
        </w:rPr>
        <w:t>[1]</w:t>
      </w:r>
      <w:r>
        <w:rPr>
          <w:lang w:val="en-US"/>
        </w:rPr>
        <w:tab/>
      </w:r>
      <w:r w:rsidR="004C4B64">
        <w:rPr>
          <w:lang w:val="en-US"/>
        </w:rPr>
        <w:t xml:space="preserve"> </w:t>
      </w:r>
      <w:r w:rsidR="006B16FD" w:rsidRPr="006B16FD">
        <w:t xml:space="preserve">S4-221554, “IBACS Permanent Document”, v0.1.0, </w:t>
      </w:r>
      <w:r w:rsidR="006B16FD" w:rsidRPr="004C4B64">
        <w:t>3GPP SA4 121</w:t>
      </w:r>
      <w:r w:rsidR="006B16FD">
        <w:t xml:space="preserve"> meeting</w:t>
      </w:r>
      <w:r w:rsidR="006B16FD" w:rsidRPr="004C4B64">
        <w:t>, Nov 2022.</w:t>
      </w:r>
    </w:p>
    <w:p w14:paraId="265CA381" w14:textId="534E3FE3" w:rsidR="004C4B64" w:rsidRPr="003649FB" w:rsidRDefault="004C4B64" w:rsidP="001067EA">
      <w:r>
        <w:t>[</w:t>
      </w:r>
      <w:r w:rsidR="00A112ED">
        <w:t>2</w:t>
      </w:r>
      <w:r>
        <w:t>]</w:t>
      </w:r>
      <w:r w:rsidRPr="004C4B64">
        <w:t xml:space="preserve"> </w:t>
      </w:r>
      <w:r>
        <w:t>S2-2301449, “</w:t>
      </w:r>
      <w:r w:rsidRPr="004C4B64">
        <w:t>Architecture of IMS supporting data channel</w:t>
      </w:r>
      <w:r>
        <w:t xml:space="preserve">”, </w:t>
      </w:r>
      <w:r w:rsidRPr="004C4B64">
        <w:t>3GPP TSG SA WG2 Meeting #154AHE</w:t>
      </w:r>
      <w:r>
        <w:t>, January 2023.</w:t>
      </w:r>
      <w:r w:rsidRPr="004C4B64">
        <w:t xml:space="preserve">  </w:t>
      </w:r>
    </w:p>
    <w:sectPr w:rsidR="004C4B64" w:rsidRPr="003649FB" w:rsidSect="00D22F03">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B8B9" w14:textId="77777777" w:rsidR="00946BE7" w:rsidRDefault="00946BE7">
      <w:r>
        <w:separator/>
      </w:r>
    </w:p>
  </w:endnote>
  <w:endnote w:type="continuationSeparator" w:id="0">
    <w:p w14:paraId="032AFF82" w14:textId="77777777" w:rsidR="00946BE7" w:rsidRDefault="0094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748D" w14:textId="77777777" w:rsidR="00946BE7" w:rsidRDefault="00946BE7">
      <w:r>
        <w:separator/>
      </w:r>
    </w:p>
  </w:footnote>
  <w:footnote w:type="continuationSeparator" w:id="0">
    <w:p w14:paraId="368564C2" w14:textId="77777777" w:rsidR="00946BE7" w:rsidRDefault="0094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D46F3D7"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D22F03">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D22F03" w:rsidRPr="00D22F03">
      <w:rPr>
        <w:rFonts w:ascii="Arial" w:eastAsia="SimSun" w:hAnsi="Arial" w:cs="Arial"/>
        <w:b/>
        <w:i/>
        <w:sz w:val="28"/>
        <w:szCs w:val="28"/>
      </w:rPr>
      <w:t>S4-230177</w:t>
    </w:r>
  </w:p>
  <w:p w14:paraId="07F0C8DC" w14:textId="329077AE" w:rsidR="008075BF" w:rsidRPr="006C359E" w:rsidRDefault="00D22F0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 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2"/>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3"/>
  </w:num>
  <w:num w:numId="6" w16cid:durableId="735123984">
    <w:abstractNumId w:val="4"/>
  </w:num>
  <w:num w:numId="7" w16cid:durableId="788552162">
    <w:abstractNumId w:val="6"/>
  </w:num>
  <w:num w:numId="8" w16cid:durableId="283195772">
    <w:abstractNumId w:val="0"/>
  </w:num>
  <w:num w:numId="9" w16cid:durableId="1031805320">
    <w:abstractNumId w:val="2"/>
  </w:num>
  <w:num w:numId="10" w16cid:durableId="169148494">
    <w:abstractNumId w:val="12"/>
  </w:num>
  <w:num w:numId="11" w16cid:durableId="1525971380">
    <w:abstractNumId w:val="10"/>
  </w:num>
  <w:num w:numId="12" w16cid:durableId="1511218414">
    <w:abstractNumId w:val="11"/>
  </w:num>
  <w:num w:numId="13" w16cid:durableId="815728443">
    <w:abstractNumId w:val="12"/>
  </w:num>
  <w:num w:numId="14" w16cid:durableId="910039807">
    <w:abstractNumId w:val="13"/>
  </w:num>
  <w:num w:numId="15" w16cid:durableId="320429868">
    <w:abstractNumId w:val="12"/>
  </w:num>
  <w:num w:numId="16" w16cid:durableId="1445350000">
    <w:abstractNumId w:val="12"/>
  </w:num>
  <w:num w:numId="17" w16cid:durableId="1168445116">
    <w:abstractNumId w:val="1"/>
  </w:num>
  <w:num w:numId="18" w16cid:durableId="1755198183">
    <w:abstractNumId w:val="14"/>
  </w:num>
  <w:num w:numId="19" w16cid:durableId="355483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6BE7"/>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2F03"/>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