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40B0E8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87E12">
        <w:rPr>
          <w:rFonts w:ascii="Arial" w:hAnsi="Arial" w:cs="Arial"/>
          <w:szCs w:val="24"/>
          <w:lang w:val="en-US" w:eastAsia="ja-JP"/>
        </w:rPr>
        <w:t>3</w:t>
      </w:r>
      <w:r w:rsidR="00BE6034">
        <w:rPr>
          <w:rFonts w:ascii="Arial" w:hAnsi="Arial" w:cs="Arial"/>
          <w:szCs w:val="24"/>
          <w:lang w:val="en-US" w:eastAsia="ja-JP"/>
        </w:rPr>
        <w:t>.</w:t>
      </w:r>
      <w:r w:rsidR="00987E12">
        <w:rPr>
          <w:rFonts w:ascii="Arial" w:hAnsi="Arial" w:cs="Arial"/>
          <w:szCs w:val="24"/>
          <w:lang w:val="en-US" w:eastAsia="ja-JP"/>
        </w:rPr>
        <w:t>4</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205B60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85390B">
        <w:rPr>
          <w:rFonts w:ascii="Arial" w:hAnsi="Arial" w:cs="Arial"/>
          <w:b/>
          <w:szCs w:val="24"/>
          <w:lang w:val="en-US" w:eastAsia="ja-JP"/>
        </w:rPr>
        <w:t>SR_MSE</w:t>
      </w:r>
      <w:r w:rsidR="00DF7631">
        <w:rPr>
          <w:rFonts w:ascii="Arial" w:hAnsi="Arial" w:cs="Arial"/>
          <w:b/>
          <w:szCs w:val="24"/>
          <w:lang w:val="en-US" w:eastAsia="ja-JP"/>
        </w:rPr>
        <w:t>]</w:t>
      </w:r>
      <w:r w:rsidR="0085390B">
        <w:rPr>
          <w:rFonts w:ascii="Arial" w:hAnsi="Arial" w:cs="Arial"/>
          <w:b/>
          <w:szCs w:val="24"/>
          <w:lang w:val="en-US" w:eastAsia="ja-JP"/>
        </w:rPr>
        <w:t xml:space="preserve"> Guidelines</w:t>
      </w:r>
      <w:r w:rsidR="00BE6034">
        <w:rPr>
          <w:rFonts w:ascii="Arial" w:hAnsi="Arial" w:cs="Arial"/>
          <w:b/>
          <w:szCs w:val="24"/>
          <w:lang w:val="en-US" w:eastAsia="ja-JP"/>
        </w:rPr>
        <w:t xml:space="preserve"> </w:t>
      </w:r>
      <w:r w:rsidR="0085390B">
        <w:rPr>
          <w:rFonts w:ascii="Arial" w:hAnsi="Arial" w:cs="Arial"/>
          <w:b/>
          <w:szCs w:val="24"/>
          <w:lang w:val="en-US" w:eastAsia="ja-JP"/>
        </w:rPr>
        <w:t>on Creation of new SR profiles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27C5710A" w:rsidR="00B20D7B" w:rsidRPr="00AB234E" w:rsidRDefault="0083671E" w:rsidP="00AB234E">
      <w:pPr>
        <w:rPr>
          <w:lang w:val="en-US"/>
        </w:rPr>
      </w:pPr>
      <w:r>
        <w:rPr>
          <w:lang w:val="en-US"/>
        </w:rPr>
        <w:t>In this contribution, w</w:t>
      </w:r>
      <w:r w:rsidR="0085390B">
        <w:rPr>
          <w:lang w:val="en-US"/>
        </w:rPr>
        <w:t>e introduce some guidelines on the specification of new SR profiles</w:t>
      </w:r>
      <w:r w:rsidR="00B20D7B">
        <w:rPr>
          <w:lang w:val="en-US"/>
        </w:rPr>
        <w:t>.</w:t>
      </w:r>
    </w:p>
    <w:p w14:paraId="3551B604" w14:textId="57C40C14" w:rsidR="00F108B7" w:rsidRDefault="0085390B" w:rsidP="00F108B7">
      <w:pPr>
        <w:pStyle w:val="Heading1"/>
        <w:numPr>
          <w:ilvl w:val="0"/>
          <w:numId w:val="3"/>
        </w:numPr>
      </w:pPr>
      <w:r>
        <w:t>Guidelines</w:t>
      </w:r>
    </w:p>
    <w:p w14:paraId="244C167F" w14:textId="559CE81E" w:rsidR="0085390B" w:rsidRDefault="0085390B" w:rsidP="0085390B">
      <w:r>
        <w:t xml:space="preserve">A split rendering profile should </w:t>
      </w:r>
      <w:proofErr w:type="gramStart"/>
      <w:r>
        <w:t>be a reflection of</w:t>
      </w:r>
      <w:proofErr w:type="gramEnd"/>
      <w:r>
        <w:t xml:space="preserve"> a split rendering approach that is either already deployed by the industry or at least for which implementations exist in the market. The purpose of the profile is to standardize the integration of such an implementation over the 5G system. An example of such profile is the Pixel Streaming profile, for which implementations exist in proprietary services. </w:t>
      </w:r>
    </w:p>
    <w:p w14:paraId="7016D4EF" w14:textId="0E9605FB" w:rsidR="00C11DAB" w:rsidRDefault="00C11DAB" w:rsidP="0085390B">
      <w:r>
        <w:t>Split Rendering is a Media Service Enabler, which we sometimes refer to as a stage 4 activity. This is indicative of the fact that it is a collection stage 3 functionalities with some additional application-level “glue”, such as definition of an API or some application metadata as well restricting the media formats for the profile. The profile should by no means</w:t>
      </w:r>
      <w:r w:rsidR="003E5900">
        <w:t xml:space="preserve"> define new stage 2 or stage 3 functionality.</w:t>
      </w:r>
    </w:p>
    <w:p w14:paraId="35B34A4C" w14:textId="1A837B65" w:rsidR="003E5900" w:rsidRDefault="003E5900" w:rsidP="0085390B">
      <w:r>
        <w:t>The split rendering profile should include the following:</w:t>
      </w:r>
    </w:p>
    <w:p w14:paraId="1C599D56" w14:textId="358C3945" w:rsidR="003E5900" w:rsidRDefault="003E5900" w:rsidP="003E5900">
      <w:pPr>
        <w:pStyle w:val="ListParagraph"/>
        <w:numPr>
          <w:ilvl w:val="0"/>
          <w:numId w:val="27"/>
        </w:numPr>
      </w:pPr>
      <w:r>
        <w:t>Media capabilities for the SRC</w:t>
      </w:r>
    </w:p>
    <w:p w14:paraId="52453D36" w14:textId="56E59C0D" w:rsidR="003E5900" w:rsidRDefault="003E5900" w:rsidP="003E5900">
      <w:pPr>
        <w:pStyle w:val="ListParagraph"/>
        <w:numPr>
          <w:ilvl w:val="0"/>
          <w:numId w:val="27"/>
        </w:numPr>
      </w:pPr>
      <w:r>
        <w:t>Media capabilities for the SRS</w:t>
      </w:r>
    </w:p>
    <w:p w14:paraId="07B7B4FC" w14:textId="1EEC2771" w:rsidR="003E5900" w:rsidRDefault="003E5900" w:rsidP="003E5900">
      <w:pPr>
        <w:pStyle w:val="ListParagraph"/>
        <w:numPr>
          <w:ilvl w:val="0"/>
          <w:numId w:val="27"/>
        </w:numPr>
      </w:pPr>
      <w:r>
        <w:t>Metadata formats</w:t>
      </w:r>
      <w:r w:rsidR="00E600EE">
        <w:t xml:space="preserve"> for </w:t>
      </w:r>
      <w:r w:rsidR="00B15B83">
        <w:t xml:space="preserve">configuration and uplink that are profile </w:t>
      </w:r>
      <w:proofErr w:type="gramStart"/>
      <w:r w:rsidR="00B15B83">
        <w:t>specific</w:t>
      </w:r>
      <w:proofErr w:type="gramEnd"/>
    </w:p>
    <w:p w14:paraId="7397E355" w14:textId="2505D967" w:rsidR="003E5900" w:rsidRDefault="003E5900" w:rsidP="003E5900">
      <w:pPr>
        <w:pStyle w:val="ListParagraph"/>
        <w:numPr>
          <w:ilvl w:val="0"/>
          <w:numId w:val="27"/>
        </w:numPr>
      </w:pPr>
      <w:r>
        <w:t>Description format for the output data</w:t>
      </w:r>
    </w:p>
    <w:p w14:paraId="75FCEB0D" w14:textId="623626C2" w:rsidR="003E5900" w:rsidRDefault="003E5900" w:rsidP="003E5900">
      <w:pPr>
        <w:pStyle w:val="ListParagraph"/>
        <w:numPr>
          <w:ilvl w:val="0"/>
          <w:numId w:val="27"/>
        </w:numPr>
      </w:pPr>
      <w:r>
        <w:t xml:space="preserve">Restrictions and requirements on the 5G Media functionality, such as the edge resources, the dynamic QoS, </w:t>
      </w:r>
      <w:r w:rsidR="00E600EE">
        <w:t>…</w:t>
      </w:r>
    </w:p>
    <w:p w14:paraId="508401E7" w14:textId="1764ED5B" w:rsidR="00E600EE" w:rsidRDefault="00E600EE" w:rsidP="003E5900">
      <w:pPr>
        <w:pStyle w:val="ListParagraph"/>
        <w:numPr>
          <w:ilvl w:val="0"/>
          <w:numId w:val="27"/>
        </w:numPr>
      </w:pPr>
      <w:r>
        <w:t>Extensions to the client API, if needed</w:t>
      </w:r>
    </w:p>
    <w:p w14:paraId="61BF6E8C" w14:textId="77777777" w:rsidR="00E600EE" w:rsidRDefault="00E600EE" w:rsidP="00E600EE"/>
    <w:p w14:paraId="329ABF08" w14:textId="28CEB13D" w:rsidR="00C11DAB" w:rsidRPr="007740CD" w:rsidRDefault="00E600EE" w:rsidP="0085390B">
      <w:r>
        <w:t xml:space="preserve">In addition, some guidelines for the rendering process on the SRC and how it would fit with APIs like </w:t>
      </w:r>
      <w:proofErr w:type="spellStart"/>
      <w:r>
        <w:t>OpenXR</w:t>
      </w:r>
      <w:proofErr w:type="spellEnd"/>
      <w:r>
        <w:t xml:space="preserve"> would be beneficial. Similar guidelines for the SRS that are profile-specific are also encouraged.</w:t>
      </w:r>
    </w:p>
    <w:p w14:paraId="613FE5E7" w14:textId="779255CF" w:rsidR="00090904" w:rsidRDefault="00090904" w:rsidP="00090904">
      <w:pPr>
        <w:pStyle w:val="Heading1"/>
        <w:numPr>
          <w:ilvl w:val="0"/>
          <w:numId w:val="3"/>
        </w:numPr>
      </w:pPr>
      <w:r>
        <w:t>Proposal</w:t>
      </w:r>
    </w:p>
    <w:p w14:paraId="43F2D1A6" w14:textId="541C1EB4" w:rsidR="00090904" w:rsidRDefault="00090904" w:rsidP="007F6DA5">
      <w:pPr>
        <w:rPr>
          <w:lang w:val="en-US"/>
        </w:rPr>
      </w:pPr>
      <w:r>
        <w:rPr>
          <w:lang w:val="en-US"/>
        </w:rPr>
        <w:t>We propose</w:t>
      </w:r>
      <w:bookmarkEnd w:id="0"/>
      <w:r w:rsidR="00B03ACC">
        <w:rPr>
          <w:lang w:val="en-US"/>
        </w:rPr>
        <w:t xml:space="preserve"> to </w:t>
      </w:r>
      <w:r w:rsidR="00E600EE">
        <w:rPr>
          <w:lang w:val="en-US"/>
        </w:rPr>
        <w:t>take the guidelines for the creation of a new split rendering profile into account when proposing a new profile</w:t>
      </w:r>
      <w:r w:rsidR="00B03ACC">
        <w:rPr>
          <w:lang w:val="en-US"/>
        </w:rPr>
        <w:t>.</w:t>
      </w:r>
      <w:r w:rsidR="00B15B83">
        <w:rPr>
          <w:lang w:val="en-US"/>
        </w:rPr>
        <w:t xml:space="preserve"> </w:t>
      </w:r>
      <w:proofErr w:type="gramStart"/>
      <w:r w:rsidR="00B15B83">
        <w:rPr>
          <w:lang w:val="en-US"/>
        </w:rPr>
        <w:t>In particular, no</w:t>
      </w:r>
      <w:proofErr w:type="gramEnd"/>
      <w:r w:rsidR="00B15B83">
        <w:rPr>
          <w:lang w:val="en-US"/>
        </w:rPr>
        <w:t xml:space="preserve"> stage 2 or 3 functionality can be defined in a profile. All needed functionality, including the media capabilities and metadata formats shall be defined in the respective specifications.</w:t>
      </w:r>
    </w:p>
    <w:sectPr w:rsidR="00090904" w:rsidSect="00EA5F3C">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35006" w14:textId="77777777" w:rsidR="00EA5F3C" w:rsidRDefault="00EA5F3C">
      <w:r>
        <w:separator/>
      </w:r>
    </w:p>
  </w:endnote>
  <w:endnote w:type="continuationSeparator" w:id="0">
    <w:p w14:paraId="42821759" w14:textId="77777777" w:rsidR="00EA5F3C" w:rsidRDefault="00EA5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A934F" w14:textId="77777777" w:rsidR="00EA5F3C" w:rsidRDefault="00EA5F3C">
      <w:r>
        <w:separator/>
      </w:r>
    </w:p>
  </w:footnote>
  <w:footnote w:type="continuationSeparator" w:id="0">
    <w:p w14:paraId="6B99BBB5" w14:textId="77777777" w:rsidR="00EA5F3C" w:rsidRDefault="00EA5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1C7A0B39"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 xml:space="preserve">SWG </w:t>
    </w:r>
    <w:r w:rsidR="00987E12">
      <w:rPr>
        <w:rFonts w:ascii="Arial" w:eastAsia="SimSun" w:hAnsi="Arial" w:cs="Arial"/>
        <w:sz w:val="22"/>
        <w:lang w:val="en-US"/>
      </w:rPr>
      <w:t xml:space="preserve">Post </w:t>
    </w:r>
    <w:r w:rsidR="00DF7631" w:rsidRPr="009A3DA7">
      <w:rPr>
        <w:rFonts w:ascii="Arial" w:eastAsia="SimSun" w:hAnsi="Arial" w:cs="Arial"/>
        <w:sz w:val="22"/>
        <w:lang w:val="en-US"/>
      </w:rPr>
      <w:t>#12</w:t>
    </w:r>
    <w:r w:rsidR="00402997">
      <w:rPr>
        <w:rFonts w:ascii="Arial" w:eastAsia="SimSun" w:hAnsi="Arial" w:cs="Arial"/>
        <w:sz w:val="22"/>
        <w:lang w:val="en-US"/>
      </w:rPr>
      <w:t>7</w:t>
    </w:r>
    <w:r w:rsidR="00DF7631" w:rsidRPr="009A3DA7">
      <w:rPr>
        <w:rFonts w:ascii="Arial" w:eastAsia="SimSun" w:hAnsi="Arial" w:cs="Arial"/>
        <w:sz w:val="22"/>
        <w:lang w:val="en-US"/>
      </w:rPr>
      <w:t xml:space="preserve"> </w:t>
    </w:r>
    <w:r w:rsidR="00987E12">
      <w:rPr>
        <w:rFonts w:ascii="Arial" w:eastAsia="SimSun" w:hAnsi="Arial" w:cs="Arial"/>
        <w:sz w:val="22"/>
        <w:lang w:val="en-US"/>
      </w:rPr>
      <w:t>MBS Call</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sidR="00987E12">
      <w:rPr>
        <w:rFonts w:ascii="Arial" w:eastAsia="SimSun" w:hAnsi="Arial" w:cs="Arial"/>
        <w:b/>
        <w:i/>
        <w:sz w:val="28"/>
        <w:szCs w:val="28"/>
        <w:lang w:val="en-US"/>
      </w:rPr>
      <w:t>aI</w:t>
    </w:r>
    <w:r w:rsidR="00B955C1">
      <w:rPr>
        <w:rFonts w:ascii="Arial" w:eastAsia="SimSun" w:hAnsi="Arial" w:cs="Arial"/>
        <w:b/>
        <w:i/>
        <w:sz w:val="28"/>
        <w:szCs w:val="28"/>
        <w:lang w:val="en-US"/>
      </w:rPr>
      <w:t>2</w:t>
    </w:r>
    <w:r w:rsidR="00402997">
      <w:rPr>
        <w:rFonts w:ascii="Arial" w:eastAsia="SimSun" w:hAnsi="Arial" w:cs="Arial"/>
        <w:b/>
        <w:i/>
        <w:sz w:val="28"/>
        <w:szCs w:val="28"/>
        <w:lang w:val="en-US"/>
      </w:rPr>
      <w:t>4000</w:t>
    </w:r>
    <w:r w:rsidR="00987E12">
      <w:rPr>
        <w:rFonts w:ascii="Arial" w:eastAsia="SimSun" w:hAnsi="Arial" w:cs="Arial"/>
        <w:b/>
        <w:i/>
        <w:sz w:val="28"/>
        <w:szCs w:val="28"/>
        <w:lang w:val="en-US"/>
      </w:rPr>
      <w:t>3</w:t>
    </w:r>
  </w:p>
  <w:p w14:paraId="3B56539F" w14:textId="0FEFABA7" w:rsidR="008075BF" w:rsidRPr="00DA292D" w:rsidRDefault="00987E12"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val="en-US" w:eastAsia="zh-CN"/>
      </w:rPr>
      <w:t>22</w:t>
    </w:r>
    <w:r w:rsidRPr="00987E12">
      <w:rPr>
        <w:rFonts w:ascii="Arial" w:eastAsia="SimSun" w:hAnsi="Arial" w:cs="Arial"/>
        <w:sz w:val="22"/>
        <w:vertAlign w:val="superscript"/>
        <w:lang w:val="en-US" w:eastAsia="zh-CN"/>
      </w:rPr>
      <w:t>nd</w:t>
    </w:r>
    <w:r>
      <w:rPr>
        <w:rFonts w:ascii="Arial" w:eastAsia="SimSun" w:hAnsi="Arial" w:cs="Arial"/>
        <w:sz w:val="22"/>
        <w:lang w:val="en-US" w:eastAsia="zh-CN"/>
      </w:rPr>
      <w:t xml:space="preserve"> </w:t>
    </w:r>
    <w:r w:rsidR="00402997">
      <w:rPr>
        <w:rFonts w:ascii="Arial" w:eastAsia="SimSun" w:hAnsi="Arial" w:cs="Arial"/>
        <w:sz w:val="22"/>
        <w:lang w:eastAsia="zh-CN"/>
      </w:rPr>
      <w:t>February</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402997">
      <w:rPr>
        <w:rFonts w:ascii="Arial" w:eastAsia="SimSun" w:hAnsi="Arial" w:cs="Arial"/>
        <w:sz w:val="22"/>
        <w:lang w:eastAsia="zh-C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913C9"/>
    <w:multiLevelType w:val="hybridMultilevel"/>
    <w:tmpl w:val="593A9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5"/>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2"/>
  </w:num>
  <w:num w:numId="6" w16cid:durableId="735123984">
    <w:abstractNumId w:val="4"/>
  </w:num>
  <w:num w:numId="7" w16cid:durableId="788552162">
    <w:abstractNumId w:val="7"/>
  </w:num>
  <w:num w:numId="8" w16cid:durableId="283195772">
    <w:abstractNumId w:val="0"/>
  </w:num>
  <w:num w:numId="9" w16cid:durableId="1031805320">
    <w:abstractNumId w:val="1"/>
  </w:num>
  <w:num w:numId="10" w16cid:durableId="169148494">
    <w:abstractNumId w:val="15"/>
  </w:num>
  <w:num w:numId="11" w16cid:durableId="1525971380">
    <w:abstractNumId w:val="13"/>
  </w:num>
  <w:num w:numId="12" w16cid:durableId="1511218414">
    <w:abstractNumId w:val="14"/>
  </w:num>
  <w:num w:numId="13" w16cid:durableId="815728443">
    <w:abstractNumId w:val="15"/>
  </w:num>
  <w:num w:numId="14" w16cid:durableId="910039807">
    <w:abstractNumId w:val="16"/>
  </w:num>
  <w:num w:numId="15" w16cid:durableId="1975134722">
    <w:abstractNumId w:val="12"/>
  </w:num>
  <w:num w:numId="16" w16cid:durableId="1712026302">
    <w:abstractNumId w:val="9"/>
  </w:num>
  <w:num w:numId="17" w16cid:durableId="2046057848">
    <w:abstractNumId w:val="15"/>
  </w:num>
  <w:num w:numId="18" w16cid:durableId="989986992">
    <w:abstractNumId w:val="15"/>
  </w:num>
  <w:num w:numId="19" w16cid:durableId="1419518851">
    <w:abstractNumId w:val="3"/>
  </w:num>
  <w:num w:numId="20" w16cid:durableId="69009680">
    <w:abstractNumId w:val="15"/>
  </w:num>
  <w:num w:numId="21" w16cid:durableId="1903441439">
    <w:abstractNumId w:val="15"/>
  </w:num>
  <w:num w:numId="22" w16cid:durableId="168373479">
    <w:abstractNumId w:val="15"/>
  </w:num>
  <w:num w:numId="23" w16cid:durableId="1493834802">
    <w:abstractNumId w:val="15"/>
  </w:num>
  <w:num w:numId="24" w16cid:durableId="1755974918">
    <w:abstractNumId w:val="15"/>
  </w:num>
  <w:num w:numId="25" w16cid:durableId="829950102">
    <w:abstractNumId w:val="5"/>
  </w:num>
  <w:num w:numId="26" w16cid:durableId="406459072">
    <w:abstractNumId w:val="17"/>
  </w:num>
  <w:num w:numId="27" w16cid:durableId="172394260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90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390B"/>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87E1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5B83"/>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1DAB"/>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00EE"/>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5F3C"/>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299</Words>
  <Characters>1705</Characters>
  <Application>Microsoft Office Word</Application>
  <DocSecurity>0</DocSecurity>
  <Lines>14</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2024-02-21T05:18:00Z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