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100</w:t>
        </w:r>
      </w:fldSimple>
      <w:fldSimple w:instr=" DOCPROPERTY  MtgTitle  \* MERGEFORMAT ">
        <w:r>
          <w:rPr>
            <w:b/>
            <w:noProof/>
            <w:sz w:val="24"/>
          </w:rPr>
          <w:t>-LI</w:t>
        </w:r>
      </w:fldSimple>
      <w:r>
        <w:rPr>
          <w:b/>
          <w:i/>
          <w:noProof/>
          <w:sz w:val="28"/>
        </w:rPr>
        <w:tab/>
      </w:r>
      <w:fldSimple w:instr=" DOCPROPERTY  Tdoc#  \* MERGEFORMAT ">
        <w:r>
          <w:rPr>
            <w:b/>
            <w:i/>
            <w:noProof/>
            <w:sz w:val="28"/>
          </w:rPr>
          <w:t>s3i260009</w:t>
        </w:r>
      </w:fldSimple>
    </w:p>
    <w:p>
      <w:pPr>
        <w:pStyle w:val="CRCoverPage"/>
        <w:outlineLvl w:val="0"/>
        <w:rPr>
          <w:b/>
          <w:noProof/>
          <w:sz w:val="24"/>
        </w:rPr>
      </w:pPr>
      <w:fldSimple w:instr=" DOCPROPERTY  Location  \* MERGEFORMAT ">
        <w:r>
          <w:rPr>
            <w:b/>
            <w:noProof/>
            <w:sz w:val="24"/>
          </w:rPr>
          <w:t>Sophia-Antipolis</w:t>
        </w:r>
      </w:fldSimple>
      <w:r>
        <w:rPr>
          <w:b/>
          <w:noProof/>
          <w:sz w:val="24"/>
        </w:rPr>
        <w:t xml:space="preserve">, </w:t>
      </w:r>
      <w:fldSimple w:instr=" DOCPROPERTY  Country  \* MERGEFORMAT ">
        <w:r>
          <w:rPr>
            <w:b/>
            <w:noProof/>
            <w:sz w:val="24"/>
          </w:rPr>
          <w:t>France</w:t>
        </w:r>
      </w:fldSimple>
      <w:r>
        <w:rPr>
          <w:b/>
          <w:noProof/>
          <w:sz w:val="24"/>
        </w:rPr>
        <w:t xml:space="preserve">, </w:t>
      </w:r>
      <w:fldSimple w:instr=" DOCPROPERTY  StartDate  \* MERGEFORMAT ">
        <w:r>
          <w:rPr>
            <w:b/>
            <w:noProof/>
            <w:sz w:val="24"/>
          </w:rPr>
          <w:t>27th Jan 2026</w:t>
        </w:r>
      </w:fldSimple>
      <w:r>
        <w:rPr>
          <w:b/>
          <w:noProof/>
          <w:sz w:val="24"/>
        </w:rPr>
        <w:t xml:space="preserve"> - </w:t>
      </w:r>
      <w:fldSimple w:instr=" DOCPROPERTY  EndDate  \* MERGEFORMAT ">
        <w:r>
          <w:rPr>
            <w:b/>
            <w:noProof/>
            <w:sz w:val="24"/>
          </w:rPr>
          <w:t>30th Jan 2026</w:t>
        </w:r>
      </w:fldSimple>
    </w:p>
    <w:p>
      <w:pPr>
        <w:keepNext/>
        <w:pBdr>
          <w:bottom w:val="single" w:sz="4" w:space="1" w:color="auto"/>
        </w:pBdr>
        <w:tabs>
          <w:tab w:val="right" w:pos="9639"/>
        </w:tabs>
        <w:spacing w:after="0"/>
        <w:outlineLvl w:val="0"/>
        <w:rPr>
          <w:rFonts w:ascii="Arial" w:hAnsi="Arial"/>
          <w:b/>
          <w:lang w:val="en-US"/>
        </w:rPr>
      </w:pPr>
      <w:r>
        <w:rPr>
          <w:rFonts w:ascii="Arial" w:hAnsi="Arial" w:cs="Arial"/>
          <w:b/>
          <w:lang w:val="en-US"/>
        </w:rPr>
        <w:tab/>
      </w:r>
    </w:p>
    <w:p>
      <w:pPr>
        <w:rPr>
          <w:rFonts w:ascii="Arial" w:eastAsia="MS Mincho" w:hAnsi="Arial"/>
          <w:b/>
          <w:lang w:eastAsia="ja-JP"/>
        </w:rPr>
      </w:pPr>
      <w:proofErr w:type="gramStart"/>
      <w:r>
        <w:rPr>
          <w:rFonts w:ascii="Arial" w:eastAsia="MS Mincho" w:hAnsi="Arial"/>
          <w:b/>
          <w:lang w:eastAsia="ja-JP"/>
        </w:rPr>
        <w:t>Source:</w:t>
      </w:r>
      <w:proofErr w:type="gramEnd"/>
      <w:r>
        <w:rPr>
          <w:rFonts w:ascii="Arial" w:eastAsia="MS Mincho" w:hAnsi="Arial"/>
          <w:b/>
          <w:lang w:eastAsia="ja-JP"/>
        </w:rPr>
        <w:tab/>
        <w:t>Ministère Economie et Finances</w:t>
      </w:r>
    </w:p>
    <w:p>
      <w:pPr>
        <w:spacing w:before="120" w:after="0"/>
        <w:ind w:left="2127" w:hanging="2127"/>
        <w:rPr>
          <w:rFonts w:ascii="Arial" w:eastAsia="MS Mincho" w:hAnsi="Arial"/>
          <w:b/>
          <w:lang w:val="en-US" w:eastAsia="ja-JP"/>
        </w:rPr>
      </w:pPr>
      <w:r>
        <w:rPr>
          <w:rFonts w:ascii="Arial" w:eastAsia="MS Mincho" w:hAnsi="Arial"/>
          <w:b/>
          <w:lang w:val="en-US" w:eastAsia="ja-JP"/>
        </w:rPr>
        <w:t>Title:</w:t>
      </w:r>
      <w:r>
        <w:rPr>
          <w:rFonts w:ascii="Arial" w:eastAsia="MS Mincho" w:hAnsi="Arial"/>
          <w:b/>
          <w:lang w:val="en-US" w:eastAsia="ja-JP"/>
        </w:rPr>
        <w:tab/>
        <w:t>Addition of LI for Indirect Network Sharing</w:t>
      </w:r>
    </w:p>
    <w:p>
      <w:pPr>
        <w:spacing w:before="120" w:after="0"/>
        <w:ind w:left="2127" w:hanging="2127"/>
        <w:rPr>
          <w:rFonts w:ascii="Arial" w:eastAsia="MS Mincho" w:hAnsi="Arial"/>
          <w:b/>
          <w:lang w:val="en-US" w:eastAsia="ja-JP"/>
        </w:rPr>
      </w:pPr>
      <w:r>
        <w:rPr>
          <w:rFonts w:ascii="Arial" w:eastAsia="MS Mincho" w:hAnsi="Arial"/>
          <w:b/>
          <w:lang w:val="en-US" w:eastAsia="ja-JP"/>
        </w:rPr>
        <w:t>Document for:</w:t>
      </w:r>
      <w:r>
        <w:rPr>
          <w:rFonts w:ascii="Arial" w:eastAsia="MS Mincho" w:hAnsi="Arial"/>
          <w:b/>
          <w:lang w:val="en-US" w:eastAsia="ja-JP"/>
        </w:rPr>
        <w:tab/>
        <w:t>Discussion</w:t>
      </w:r>
    </w:p>
    <w:p>
      <w:pPr>
        <w:spacing w:before="120" w:after="0"/>
        <w:ind w:left="2127" w:hanging="2127"/>
        <w:rPr>
          <w:rFonts w:ascii="Arial" w:eastAsia="MS Mincho" w:hAnsi="Arial"/>
          <w:b/>
          <w:lang w:val="en-US" w:eastAsia="ja-JP"/>
        </w:rPr>
      </w:pPr>
      <w:r>
        <w:rPr>
          <w:rFonts w:ascii="Arial" w:eastAsia="MS Mincho" w:hAnsi="Arial"/>
          <w:b/>
          <w:lang w:val="en-US" w:eastAsia="ja-JP"/>
        </w:rPr>
        <w:t>Agenda Item:</w:t>
      </w:r>
      <w:r>
        <w:rPr>
          <w:rFonts w:ascii="Arial" w:eastAsia="MS Mincho" w:hAnsi="Arial"/>
          <w:b/>
          <w:lang w:val="en-US" w:eastAsia="ja-JP"/>
        </w:rPr>
        <w:tab/>
      </w:r>
      <w:r>
        <w:rPr>
          <w:rFonts w:ascii="Arial" w:eastAsia="MS Mincho" w:hAnsi="Arial"/>
          <w:b/>
          <w:lang w:val="en-US" w:eastAsia="ja-JP"/>
        </w:rPr>
        <w:t>7.2 - Release 19 onwards</w:t>
      </w:r>
    </w:p>
    <w:p>
      <w:pPr>
        <w:spacing w:before="120" w:after="0"/>
        <w:ind w:left="2127" w:hanging="2127"/>
        <w:rPr>
          <w:rFonts w:ascii="Arial" w:eastAsia="MS Mincho" w:hAnsi="Arial"/>
          <w:b/>
          <w:lang w:val="en-US" w:eastAsia="ja-JP"/>
        </w:rPr>
      </w:pPr>
      <w:r>
        <w:rPr>
          <w:rFonts w:ascii="Arial" w:eastAsia="MS Mincho" w:hAnsi="Arial"/>
          <w:b/>
          <w:lang w:val="en-US" w:eastAsia="ja-JP"/>
        </w:rPr>
        <w:t>Work Item / Release:</w:t>
      </w:r>
      <w:r>
        <w:rPr>
          <w:rFonts w:ascii="Arial" w:eastAsia="MS Mincho" w:hAnsi="Arial"/>
          <w:b/>
          <w:lang w:val="en-US" w:eastAsia="ja-JP"/>
        </w:rPr>
        <w:tab/>
        <w:t>R20</w:t>
      </w:r>
    </w:p>
    <w:p>
      <w:pPr>
        <w:spacing w:before="120" w:after="0"/>
        <w:ind w:left="2127" w:hanging="2127"/>
        <w:rPr>
          <w:rFonts w:ascii="Arial" w:eastAsia="MS Mincho" w:hAnsi="Arial"/>
          <w:i/>
          <w:lang w:val="en-US" w:eastAsia="ja-JP"/>
        </w:rPr>
      </w:pPr>
      <w:r>
        <w:rPr>
          <w:rFonts w:ascii="Arial" w:eastAsia="MS Mincho" w:hAnsi="Arial"/>
          <w:i/>
          <w:lang w:val="en-US" w:eastAsia="ja-JP"/>
        </w:rPr>
        <w:t xml:space="preserve">Abstract of the contribution: </w:t>
      </w:r>
    </w:p>
    <w:p>
      <w:pPr>
        <w:rPr>
          <w:lang w:val="en-US" w:eastAsia="ja-JP"/>
        </w:rPr>
      </w:pPr>
      <w:r>
        <w:rPr>
          <w:lang w:val="en-US" w:eastAsia="ja-JP"/>
        </w:rPr>
        <w:t xml:space="preserve">Reasons not to push a CR </w:t>
      </w:r>
      <w:r>
        <w:rPr>
          <w:lang w:val="en-US" w:eastAsia="ja-JP"/>
        </w:rPr>
        <w:t>on TS 33.128</w:t>
      </w:r>
      <w:r>
        <w:rPr>
          <w:lang w:val="en-US" w:eastAsia="ja-JP"/>
        </w:rPr>
        <w:t xml:space="preserve">, and to propose to SA3LI, only one </w:t>
      </w:r>
      <w:proofErr w:type="gramStart"/>
      <w:r>
        <w:rPr>
          <w:lang w:val="en-US" w:eastAsia="ja-JP"/>
        </w:rPr>
        <w:t>CR  on</w:t>
      </w:r>
      <w:proofErr w:type="gramEnd"/>
      <w:r>
        <w:rPr>
          <w:lang w:val="en-US" w:eastAsia="ja-JP"/>
        </w:rPr>
        <w:t xml:space="preserve"> TS 33.127 to</w:t>
      </w:r>
      <w:r>
        <w:rPr>
          <w:lang w:val="en-US" w:eastAsia="ja-JP"/>
        </w:rPr>
        <w:t xml:space="preserve"> </w:t>
      </w:r>
      <w:r>
        <w:rPr>
          <w:lang w:val="en-US" w:eastAsia="ja-JP"/>
        </w:rPr>
        <w:t>cover the need of LI for</w:t>
      </w:r>
      <w:r>
        <w:rPr>
          <w:lang w:val="en-US" w:eastAsia="ja-JP"/>
        </w:rPr>
        <w:t xml:space="preserve"> Indirect Network Sharing</w:t>
      </w:r>
      <w:r>
        <w:rPr>
          <w:lang w:val="en-US" w:eastAsia="ja-JP"/>
        </w:rPr>
        <w:t xml:space="preserve"> </w:t>
      </w:r>
    </w:p>
    <w:p>
      <w:pPr>
        <w:pBdr>
          <w:bottom w:val="single" w:sz="6" w:space="1" w:color="auto"/>
        </w:pBdr>
        <w:rPr>
          <w:rFonts w:ascii="Arial" w:hAnsi="Arial"/>
          <w:b/>
          <w:lang w:val="en-US"/>
        </w:rPr>
      </w:pPr>
    </w:p>
    <w:p>
      <w:pPr>
        <w:rPr>
          <w:b/>
          <w:bCs/>
          <w:lang w:val="en-US"/>
        </w:rPr>
      </w:pPr>
    </w:p>
    <w:p>
      <w:pPr>
        <w:rPr>
          <w:b/>
          <w:bCs/>
          <w:lang w:val="en-US"/>
        </w:rPr>
      </w:pPr>
      <w:r>
        <w:rPr>
          <w:b/>
          <w:bCs/>
          <w:lang w:val="en-US"/>
        </w:rPr>
        <w:t>Lawful Interception and Indirect Network Sharing</w:t>
      </w:r>
    </w:p>
    <w:p>
      <w:pPr>
        <w:rPr>
          <w:rFonts w:ascii="Arial" w:hAnsi="Arial" w:cs="Arial"/>
          <w:lang w:val="en-US"/>
        </w:rPr>
      </w:pPr>
      <w:r>
        <w:rPr>
          <w:rFonts w:ascii="Arial" w:hAnsi="Arial" w:cs="Arial"/>
          <w:lang w:val="en-US"/>
        </w:rPr>
        <w:t xml:space="preserve">1. Introduction </w:t>
      </w:r>
    </w:p>
    <w:p>
      <w:pPr>
        <w:rPr>
          <w:rFonts w:ascii="Times New Roman" w:hAnsi="Times New Roman" w:cs="Times New Roman"/>
          <w:sz w:val="20"/>
          <w:szCs w:val="20"/>
          <w:lang w:val="en-US"/>
        </w:rPr>
      </w:pPr>
      <w:r>
        <w:rPr>
          <w:rFonts w:ascii="Times New Roman" w:hAnsi="Times New Roman" w:cs="Times New Roman"/>
          <w:sz w:val="20"/>
          <w:szCs w:val="20"/>
          <w:lang w:val="en-US"/>
        </w:rPr>
        <w:t>Indirect Network Sharing (INS) is a deployment model where one operator (Hosting Operator) operates network functions on behalf of another operator (Participating Operator), while the subscription remains with the Participating Operator.</w:t>
      </w:r>
      <w:r>
        <w:rPr>
          <w:rFonts w:ascii="Times New Roman" w:hAnsi="Times New Roman" w:cs="Times New Roman"/>
          <w:sz w:val="20"/>
          <w:szCs w:val="20"/>
          <w:lang w:val="en-US"/>
        </w:rPr>
        <w:br/>
        <w:t>This deployment model is specified in the 3GPP TS 23.501.</w:t>
      </w:r>
    </w:p>
    <w:p>
      <w:pPr>
        <w:rPr>
          <w:rFonts w:ascii="Times New Roman" w:hAnsi="Times New Roman" w:cs="Times New Roman"/>
          <w:sz w:val="20"/>
          <w:szCs w:val="20"/>
          <w:lang w:val="en-US"/>
        </w:rPr>
      </w:pPr>
      <w:r>
        <w:rPr>
          <w:rFonts w:ascii="Times New Roman" w:hAnsi="Times New Roman" w:cs="Times New Roman"/>
          <w:sz w:val="20"/>
          <w:szCs w:val="20"/>
          <w:lang w:val="en-US"/>
        </w:rPr>
        <w:t xml:space="preserve">In the INS scenario shown in figure 1: </w:t>
      </w:r>
    </w:p>
    <w:p>
      <w:pPr>
        <w:pStyle w:val="Paragraphedeliste"/>
        <w:numPr>
          <w:ilvl w:val="0"/>
          <w:numId w:val="6"/>
        </w:numPr>
        <w:ind w:left="357" w:hanging="357"/>
        <w:rPr>
          <w:rFonts w:ascii="Times New Roman" w:hAnsi="Times New Roman" w:cs="Times New Roman"/>
          <w:sz w:val="20"/>
          <w:szCs w:val="20"/>
          <w:lang w:val="en-US"/>
        </w:rPr>
      </w:pPr>
      <w:r>
        <w:rPr>
          <w:rFonts w:ascii="Times New Roman" w:hAnsi="Times New Roman" w:cs="Times New Roman"/>
          <w:sz w:val="20"/>
          <w:szCs w:val="20"/>
          <w:lang w:val="en-US"/>
        </w:rPr>
        <w:t xml:space="preserve">OP1 owns the NG-RAN to be shared with two other operators; OP2 and OP3. </w:t>
      </w:r>
    </w:p>
    <w:p>
      <w:pPr>
        <w:pStyle w:val="Paragraphedeliste"/>
        <w:numPr>
          <w:ilvl w:val="0"/>
          <w:numId w:val="6"/>
        </w:numPr>
        <w:ind w:left="357" w:hanging="357"/>
        <w:rPr>
          <w:rFonts w:ascii="Times New Roman" w:hAnsi="Times New Roman" w:cs="Times New Roman"/>
          <w:sz w:val="20"/>
          <w:szCs w:val="20"/>
          <w:lang w:val="en-US"/>
        </w:rPr>
      </w:pPr>
      <w:r>
        <w:rPr>
          <w:rFonts w:ascii="Times New Roman" w:hAnsi="Times New Roman" w:cs="Times New Roman"/>
          <w:sz w:val="20"/>
          <w:szCs w:val="20"/>
          <w:lang w:val="en-US"/>
        </w:rPr>
        <w:t>NG-RAN is shared with certain conditions, e.g., within a specific 5G frequency band or within a specific area.</w:t>
      </w:r>
    </w:p>
    <w:p>
      <w:pPr>
        <w:pStyle w:val="Paragraphedeliste"/>
        <w:numPr>
          <w:ilvl w:val="0"/>
          <w:numId w:val="6"/>
        </w:numPr>
        <w:ind w:left="357" w:hanging="357"/>
        <w:rPr>
          <w:rFonts w:ascii="Times New Roman" w:hAnsi="Times New Roman" w:cs="Times New Roman"/>
          <w:sz w:val="20"/>
          <w:szCs w:val="20"/>
          <w:lang w:val="en-US"/>
        </w:rPr>
      </w:pPr>
      <w:r>
        <w:rPr>
          <w:rFonts w:ascii="Times New Roman" w:hAnsi="Times New Roman" w:cs="Times New Roman"/>
          <w:sz w:val="20"/>
          <w:szCs w:val="20"/>
          <w:lang w:val="en-US"/>
        </w:rPr>
        <w:t>NG-RAN does not have direct connections between the shared access and the core networks of the participating operators OP2 and OP3.</w:t>
      </w:r>
    </w:p>
    <w:p>
      <w:pPr>
        <w:pStyle w:val="Paragraphedeliste"/>
        <w:numPr>
          <w:ilvl w:val="0"/>
          <w:numId w:val="6"/>
        </w:numPr>
        <w:rPr>
          <w:rFonts w:ascii="Times New Roman" w:hAnsi="Times New Roman" w:cs="Times New Roman"/>
          <w:sz w:val="20"/>
          <w:szCs w:val="20"/>
          <w:lang w:val="en-US"/>
        </w:rPr>
      </w:pPr>
      <w:r>
        <w:rPr>
          <w:rFonts w:ascii="Times New Roman" w:hAnsi="Times New Roman" w:cs="Times New Roman"/>
          <w:sz w:val="20"/>
          <w:szCs w:val="20"/>
          <w:lang w:val="en-US"/>
        </w:rPr>
        <w:t>UE 2 is subscribed to OP2 and UE3 is subscribed to OP3.</w:t>
      </w:r>
    </w:p>
    <w:p>
      <w:pPr>
        <w:rPr>
          <w:rFonts w:ascii="Times New Roman" w:hAnsi="Times New Roman" w:cs="Times New Roman"/>
          <w:sz w:val="20"/>
          <w:szCs w:val="20"/>
          <w:lang w:val="en-US"/>
        </w:rPr>
      </w:pPr>
      <w:r>
        <w:rPr>
          <w:rFonts w:ascii="Times New Roman" w:hAnsi="Times New Roman" w:cs="Times New Roman"/>
          <w:sz w:val="20"/>
          <w:szCs w:val="20"/>
          <w:lang w:val="en-US"/>
        </w:rPr>
        <w:t>INS scenario involves the core network of hosting operator</w:t>
      </w:r>
      <w:r>
        <w:rPr>
          <w:rFonts w:ascii="Times New Roman" w:hAnsi="Times New Roman" w:cs="Times New Roman"/>
          <w:sz w:val="20"/>
          <w:szCs w:val="20"/>
          <w:lang w:val="en-GB"/>
        </w:rPr>
        <w:t xml:space="preserve"> between the shared access and the core networks of the participating operators.</w:t>
      </w:r>
    </w:p>
    <w:p>
      <w:pP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For INS, each cell in shared NG-RAN shall in the broadcast system information include the PLMN IDs concerning available core network operators in the shared network. UE2 from the participating operator OP2 </w:t>
      </w:r>
      <w:r>
        <w:rPr>
          <w:rFonts w:ascii="Times New Roman" w:eastAsia="MS Mincho" w:hAnsi="Times New Roman" w:cs="Times New Roman"/>
          <w:sz w:val="20"/>
          <w:szCs w:val="20"/>
          <w:lang w:val="en-US"/>
        </w:rPr>
        <w:lastRenderedPageBreak/>
        <w:t>selects the PLMN ID of OP2.</w:t>
      </w:r>
      <w:r>
        <w:rPr>
          <w:noProof/>
          <w:lang w:val="en-US"/>
        </w:rPr>
        <w:drawing>
          <wp:inline distT="0" distB="0" distL="0" distR="0">
            <wp:extent cx="5327650" cy="2308648"/>
            <wp:effectExtent l="0" t="0" r="6350" b="0"/>
            <wp:docPr id="155472267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43509" cy="2315520"/>
                    </a:xfrm>
                    <a:prstGeom prst="rect">
                      <a:avLst/>
                    </a:prstGeom>
                    <a:noFill/>
                  </pic:spPr>
                </pic:pic>
              </a:graphicData>
            </a:graphic>
          </wp:inline>
        </w:drawing>
      </w:r>
    </w:p>
    <w:p>
      <w:pPr>
        <w:jc w:val="center"/>
        <w:rPr>
          <w:rFonts w:ascii="Times New Roman" w:eastAsia="MS Mincho" w:hAnsi="Times New Roman" w:cs="Times New Roman"/>
          <w:sz w:val="20"/>
          <w:szCs w:val="20"/>
          <w:lang w:val="en-US"/>
        </w:rPr>
      </w:pPr>
      <w:r>
        <w:rPr>
          <w:rFonts w:ascii="Arial" w:hAnsi="Arial" w:cs="Arial"/>
          <w:sz w:val="20"/>
          <w:szCs w:val="20"/>
          <w:lang w:val="en-US"/>
        </w:rPr>
        <w:t>Figure 1: Indirect network sharing scenario</w:t>
      </w:r>
    </w:p>
    <w:p>
      <w:pPr>
        <w:rPr>
          <w:rFonts w:ascii="Times New Roman" w:hAnsi="Times New Roman" w:cs="Times New Roman"/>
          <w:sz w:val="20"/>
          <w:szCs w:val="20"/>
          <w:lang w:val="en-US"/>
        </w:rPr>
      </w:pPr>
      <w:r>
        <w:rPr>
          <w:rFonts w:ascii="Times New Roman" w:hAnsi="Times New Roman" w:cs="Times New Roman"/>
          <w:sz w:val="20"/>
          <w:szCs w:val="20"/>
          <w:lang w:val="en-US"/>
        </w:rPr>
        <w:t>In INS scenarios, some network functions are operated by the Hosting Operator and some by the Participating Operator, while regulatory obligations, including lawful interception (LI), remain associated with the Participating Operator’s subscription.</w:t>
      </w:r>
    </w:p>
    <w:p>
      <w:pPr>
        <w:rPr>
          <w:rFonts w:ascii="Times New Roman" w:hAnsi="Times New Roman" w:cs="Times New Roman"/>
          <w:sz w:val="20"/>
          <w:szCs w:val="20"/>
          <w:lang w:val="en-GB"/>
        </w:rPr>
      </w:pPr>
      <w:r>
        <w:rPr>
          <w:rFonts w:ascii="Times New Roman" w:hAnsi="Times New Roman" w:cs="Times New Roman"/>
          <w:sz w:val="20"/>
          <w:szCs w:val="20"/>
          <w:lang w:val="en-GB"/>
        </w:rPr>
        <w:t>In figure 2, the serving AMF belongs to the Hosting Operator. The Serving AMF selects the SMF of Participating Operator possibly considering UE location information and also selects a SMF in its own network during the PDU session establishment procedure initiated by UE2.</w:t>
      </w:r>
    </w:p>
    <w:p>
      <w:pPr>
        <w:rPr>
          <w:rFonts w:ascii="Times New Roman" w:hAnsi="Times New Roman" w:cs="Times New Roman"/>
          <w:sz w:val="20"/>
          <w:szCs w:val="20"/>
          <w:lang w:val="en-US"/>
        </w:rPr>
      </w:pPr>
    </w:p>
    <w:p>
      <w:pPr>
        <w:rPr>
          <w:rFonts w:ascii="Times New Roman" w:hAnsi="Times New Roman" w:cs="Times New Roman"/>
          <w:sz w:val="20"/>
          <w:szCs w:val="20"/>
          <w:lang w:val="en-US"/>
        </w:rPr>
      </w:pPr>
      <w:r>
        <w:rPr>
          <w:rFonts w:ascii="Times New Roman" w:hAnsi="Times New Roman" w:cs="Times New Roman"/>
          <w:noProof/>
          <w:sz w:val="20"/>
          <w:szCs w:val="20"/>
          <w:lang w:val="en-US"/>
        </w:rPr>
        <w:drawing>
          <wp:inline distT="0" distB="0" distL="0" distR="0">
            <wp:extent cx="5758180" cy="1168212"/>
            <wp:effectExtent l="0" t="0" r="0" b="0"/>
            <wp:docPr id="5973500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3998" cy="1199824"/>
                    </a:xfrm>
                    <a:prstGeom prst="rect">
                      <a:avLst/>
                    </a:prstGeom>
                    <a:noFill/>
                  </pic:spPr>
                </pic:pic>
              </a:graphicData>
            </a:graphic>
          </wp:inline>
        </w:drawing>
      </w:r>
    </w:p>
    <w:p>
      <w:pPr>
        <w:jc w:val="center"/>
        <w:rPr>
          <w:rFonts w:ascii="Arial" w:hAnsi="Arial" w:cs="Arial"/>
          <w:sz w:val="20"/>
          <w:szCs w:val="20"/>
          <w:lang w:val="en-US"/>
        </w:rPr>
      </w:pPr>
      <w:r>
        <w:rPr>
          <w:rFonts w:ascii="Arial" w:hAnsi="Arial" w:cs="Arial"/>
          <w:sz w:val="20"/>
          <w:szCs w:val="20"/>
          <w:lang w:val="en-US"/>
        </w:rPr>
        <w:t>Figure 2: Architecture of indirect network sharing</w:t>
      </w:r>
    </w:p>
    <w:p>
      <w:pPr>
        <w:rPr>
          <w:rFonts w:ascii="Arial" w:hAnsi="Arial" w:cs="Arial"/>
          <w:lang w:val="en-US"/>
        </w:rPr>
      </w:pPr>
      <w:r>
        <w:rPr>
          <w:rFonts w:ascii="Arial" w:hAnsi="Arial" w:cs="Arial"/>
          <w:lang w:val="en-US"/>
        </w:rPr>
        <w:t>2. Impact of INS on Lawful Interception</w:t>
      </w:r>
    </w:p>
    <w:p>
      <w:pPr>
        <w:rPr>
          <w:rFonts w:ascii="Times New Roman" w:hAnsi="Times New Roman" w:cs="Times New Roman"/>
          <w:sz w:val="20"/>
          <w:szCs w:val="20"/>
          <w:lang w:val="en-US"/>
        </w:rPr>
      </w:pPr>
      <w:r>
        <w:rPr>
          <w:rFonts w:ascii="Times New Roman" w:hAnsi="Times New Roman" w:cs="Times New Roman"/>
          <w:sz w:val="20"/>
          <w:szCs w:val="20"/>
          <w:lang w:val="en-US"/>
        </w:rPr>
        <w:t>From a lawful interception perspective, INS introduces a dissociation between:</w:t>
      </w:r>
    </w:p>
    <w:p>
      <w:pPr>
        <w:pStyle w:val="Paragraphedeliste"/>
        <w:numPr>
          <w:ilvl w:val="0"/>
          <w:numId w:val="9"/>
        </w:numPr>
        <w:rPr>
          <w:rFonts w:ascii="Times New Roman" w:hAnsi="Times New Roman" w:cs="Times New Roman"/>
          <w:sz w:val="20"/>
          <w:szCs w:val="20"/>
          <w:lang w:val="en-US"/>
        </w:rPr>
      </w:pPr>
      <w:r>
        <w:rPr>
          <w:rFonts w:ascii="Times New Roman" w:hAnsi="Times New Roman" w:cs="Times New Roman"/>
          <w:sz w:val="20"/>
          <w:szCs w:val="20"/>
          <w:lang w:val="en-US"/>
        </w:rPr>
        <w:t>the operator owning the subscription (Participating Operator), and</w:t>
      </w:r>
    </w:p>
    <w:p>
      <w:pPr>
        <w:pStyle w:val="Paragraphedeliste"/>
        <w:numPr>
          <w:ilvl w:val="0"/>
          <w:numId w:val="9"/>
        </w:numPr>
        <w:rPr>
          <w:rFonts w:ascii="Times New Roman" w:hAnsi="Times New Roman" w:cs="Times New Roman"/>
          <w:sz w:val="20"/>
          <w:szCs w:val="20"/>
          <w:lang w:val="en-US"/>
        </w:rPr>
      </w:pPr>
      <w:r>
        <w:rPr>
          <w:rFonts w:ascii="Times New Roman" w:hAnsi="Times New Roman" w:cs="Times New Roman"/>
          <w:sz w:val="20"/>
          <w:szCs w:val="20"/>
          <w:lang w:val="en-US"/>
        </w:rPr>
        <w:t>the operator operating the network functions generating LI information (Hosting Operator).</w:t>
      </w:r>
    </w:p>
    <w:p>
      <w:pPr>
        <w:rPr>
          <w:rFonts w:ascii="Times New Roman" w:hAnsi="Times New Roman" w:cs="Times New Roman"/>
          <w:sz w:val="20"/>
          <w:szCs w:val="20"/>
        </w:rPr>
      </w:pPr>
      <w:r>
        <w:rPr>
          <w:rFonts w:ascii="Times New Roman" w:hAnsi="Times New Roman" w:cs="Times New Roman"/>
          <w:sz w:val="20"/>
          <w:szCs w:val="20"/>
        </w:rPr>
        <w:t xml:space="preserve">This dissociation </w:t>
      </w:r>
      <w:proofErr w:type="gramStart"/>
      <w:r>
        <w:rPr>
          <w:rFonts w:ascii="Times New Roman" w:hAnsi="Times New Roman" w:cs="Times New Roman"/>
          <w:sz w:val="20"/>
          <w:szCs w:val="20"/>
        </w:rPr>
        <w:t>impacts:</w:t>
      </w:r>
      <w:proofErr w:type="gramEnd"/>
    </w:p>
    <w:p>
      <w:pPr>
        <w:pStyle w:val="Paragraphedeliste"/>
        <w:numPr>
          <w:ilvl w:val="0"/>
          <w:numId w:val="10"/>
        </w:numPr>
        <w:rPr>
          <w:rFonts w:ascii="Times New Roman" w:hAnsi="Times New Roman" w:cs="Times New Roman"/>
          <w:sz w:val="20"/>
          <w:szCs w:val="20"/>
          <w:lang w:val="en-US"/>
        </w:rPr>
      </w:pPr>
      <w:r>
        <w:rPr>
          <w:rFonts w:ascii="Times New Roman" w:hAnsi="Times New Roman" w:cs="Times New Roman"/>
          <w:sz w:val="20"/>
          <w:szCs w:val="20"/>
          <w:lang w:val="en-US"/>
        </w:rPr>
        <w:t>the identification of the applicable network topology for LI,</w:t>
      </w:r>
    </w:p>
    <w:p>
      <w:pPr>
        <w:pStyle w:val="Paragraphedeliste"/>
        <w:numPr>
          <w:ilvl w:val="0"/>
          <w:numId w:val="1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determination of which network function instance provides </w:t>
      </w:r>
      <w:proofErr w:type="spellStart"/>
      <w:r>
        <w:rPr>
          <w:rFonts w:ascii="Times New Roman" w:hAnsi="Times New Roman" w:cs="Times New Roman"/>
          <w:sz w:val="20"/>
          <w:szCs w:val="20"/>
          <w:lang w:val="en-US"/>
        </w:rPr>
        <w:t>xIRI</w:t>
      </w:r>
      <w:proofErr w:type="spellEnd"/>
      <w:r>
        <w:rPr>
          <w:rFonts w:ascii="Times New Roman" w:hAnsi="Times New Roman" w:cs="Times New Roman"/>
          <w:sz w:val="20"/>
          <w:szCs w:val="20"/>
          <w:lang w:val="en-US"/>
        </w:rPr>
        <w:t xml:space="preserve"> and/or </w:t>
      </w:r>
      <w:proofErr w:type="spellStart"/>
      <w:r>
        <w:rPr>
          <w:rFonts w:ascii="Times New Roman" w:hAnsi="Times New Roman" w:cs="Times New Roman"/>
          <w:sz w:val="20"/>
          <w:szCs w:val="20"/>
          <w:lang w:val="en-US"/>
        </w:rPr>
        <w:t>xCC</w:t>
      </w:r>
      <w:proofErr w:type="spellEnd"/>
      <w:r>
        <w:rPr>
          <w:rFonts w:ascii="Times New Roman" w:hAnsi="Times New Roman" w:cs="Times New Roman"/>
          <w:sz w:val="20"/>
          <w:szCs w:val="20"/>
          <w:lang w:val="en-US"/>
        </w:rPr>
        <w:t>,</w:t>
      </w:r>
    </w:p>
    <w:p>
      <w:pPr>
        <w:pStyle w:val="Paragraphedeliste"/>
        <w:numPr>
          <w:ilvl w:val="0"/>
          <w:numId w:val="10"/>
        </w:numPr>
        <w:rPr>
          <w:rFonts w:ascii="Times New Roman" w:hAnsi="Times New Roman" w:cs="Times New Roman"/>
          <w:sz w:val="20"/>
          <w:szCs w:val="20"/>
          <w:lang w:val="en-US"/>
        </w:rPr>
      </w:pPr>
      <w:r>
        <w:rPr>
          <w:rFonts w:ascii="Times New Roman" w:hAnsi="Times New Roman" w:cs="Times New Roman"/>
          <w:sz w:val="20"/>
          <w:szCs w:val="20"/>
          <w:lang w:val="en-US"/>
        </w:rPr>
        <w:t>the interpretation of the serving network from a regulatory perspective.</w:t>
      </w:r>
    </w:p>
    <w:p>
      <w:pPr>
        <w:rPr>
          <w:rFonts w:ascii="Times New Roman" w:hAnsi="Times New Roman" w:cs="Times New Roman"/>
          <w:sz w:val="20"/>
          <w:szCs w:val="20"/>
          <w:lang w:val="en-US"/>
        </w:rPr>
      </w:pPr>
      <w:r>
        <w:rPr>
          <w:rFonts w:ascii="Times New Roman" w:hAnsi="Times New Roman" w:cs="Times New Roman"/>
          <w:sz w:val="20"/>
          <w:szCs w:val="20"/>
          <w:lang w:val="en-US"/>
        </w:rPr>
        <w:t xml:space="preserve">However, INS </w:t>
      </w:r>
      <w:proofErr w:type="gramStart"/>
      <w:r>
        <w:rPr>
          <w:rFonts w:ascii="Times New Roman" w:hAnsi="Times New Roman" w:cs="Times New Roman"/>
          <w:sz w:val="20"/>
          <w:szCs w:val="20"/>
          <w:lang w:val="en-US"/>
        </w:rPr>
        <w:t>does</w:t>
      </w:r>
      <w:proofErr w:type="gramEnd"/>
      <w:r>
        <w:rPr>
          <w:rFonts w:ascii="Times New Roman" w:hAnsi="Times New Roman" w:cs="Times New Roman"/>
          <w:sz w:val="20"/>
          <w:szCs w:val="20"/>
          <w:lang w:val="en-US"/>
        </w:rPr>
        <w:t xml:space="preserve"> not introduce new interception events, does not change existing LI procedures, and does not require additional LI parameters at protocol level.</w:t>
      </w:r>
    </w:p>
    <w:p>
      <w:pPr>
        <w:rPr>
          <w:rFonts w:ascii="Arial" w:hAnsi="Arial" w:cs="Arial"/>
          <w:lang w:val="en-US"/>
        </w:rPr>
      </w:pPr>
      <w:r>
        <w:rPr>
          <w:rFonts w:ascii="Arial" w:hAnsi="Arial" w:cs="Arial"/>
          <w:lang w:val="en-US"/>
        </w:rPr>
        <w:t>3. Changes introduced in TS 33.127</w:t>
      </w:r>
    </w:p>
    <w:p>
      <w:pPr>
        <w:rPr>
          <w:rFonts w:ascii="Times New Roman" w:hAnsi="Times New Roman" w:cs="Times New Roman"/>
          <w:sz w:val="20"/>
          <w:szCs w:val="20"/>
          <w:lang w:val="en-US"/>
        </w:rPr>
      </w:pPr>
      <w:r>
        <w:rPr>
          <w:rFonts w:ascii="Times New Roman" w:hAnsi="Times New Roman" w:cs="Times New Roman"/>
          <w:sz w:val="20"/>
          <w:szCs w:val="20"/>
          <w:lang w:val="en-US"/>
        </w:rPr>
        <w:t>TS 33.127 (Stage 2) has been updated to explicitly include Indirect Network Sharing scenarios in the description of lawful interception responsibilities and network topologies.</w:t>
      </w:r>
    </w:p>
    <w:p>
      <w:pPr>
        <w:rPr>
          <w:rFonts w:ascii="Times New Roman" w:hAnsi="Times New Roman" w:cs="Times New Roman"/>
          <w:sz w:val="20"/>
          <w:szCs w:val="20"/>
          <w:lang w:val="en-US"/>
        </w:rPr>
      </w:pPr>
      <w:r>
        <w:rPr>
          <w:rFonts w:ascii="Times New Roman" w:hAnsi="Times New Roman" w:cs="Times New Roman"/>
          <w:sz w:val="20"/>
          <w:szCs w:val="20"/>
          <w:lang w:val="en-US"/>
        </w:rPr>
        <w:t>In particular:</w:t>
      </w:r>
    </w:p>
    <w:p>
      <w:pPr>
        <w:pStyle w:val="Paragraphedeliste"/>
        <w:numPr>
          <w:ilvl w:val="0"/>
          <w:numId w:val="11"/>
        </w:numPr>
        <w:rPr>
          <w:rFonts w:ascii="Times New Roman" w:hAnsi="Times New Roman" w:cs="Times New Roman"/>
          <w:sz w:val="20"/>
          <w:szCs w:val="20"/>
          <w:lang w:val="en-US"/>
        </w:rPr>
      </w:pPr>
      <w:r>
        <w:rPr>
          <w:rFonts w:ascii="Times New Roman" w:hAnsi="Times New Roman" w:cs="Times New Roman"/>
          <w:sz w:val="20"/>
          <w:szCs w:val="20"/>
          <w:lang w:val="en-US"/>
        </w:rPr>
        <w:t>INS has been added as an explicit network topology case for AMF and SMF interception in clauses 6.2.2.7 and 6.2.3.6.</w:t>
      </w:r>
    </w:p>
    <w:p>
      <w:pPr>
        <w:pStyle w:val="Paragraphedeliste"/>
        <w:numPr>
          <w:ilvl w:val="0"/>
          <w:numId w:val="11"/>
        </w:numPr>
        <w:rPr>
          <w:rFonts w:ascii="Times New Roman" w:hAnsi="Times New Roman" w:cs="Times New Roman"/>
          <w:sz w:val="20"/>
          <w:szCs w:val="20"/>
          <w:lang w:val="en-US"/>
        </w:rPr>
      </w:pPr>
      <w:r>
        <w:rPr>
          <w:rFonts w:ascii="Times New Roman" w:hAnsi="Times New Roman" w:cs="Times New Roman"/>
          <w:sz w:val="20"/>
          <w:szCs w:val="20"/>
          <w:lang w:val="en-US"/>
        </w:rPr>
        <w:t>The specification clarifies whether the Hosting Operator or the Participating Operator network function is responsible for providing IRI and/or CC, depending on the deployment scenario (e.g. AMF operated by the Hosting Operator, SMF operated by either operator).</w:t>
      </w:r>
    </w:p>
    <w:p>
      <w:pPr>
        <w:pStyle w:val="Paragraphedeliste"/>
        <w:numPr>
          <w:ilvl w:val="0"/>
          <w:numId w:val="11"/>
        </w:numPr>
        <w:rPr>
          <w:rFonts w:ascii="Times New Roman" w:hAnsi="Times New Roman" w:cs="Times New Roman"/>
          <w:sz w:val="20"/>
          <w:szCs w:val="20"/>
          <w:lang w:val="en-US"/>
        </w:rPr>
      </w:pPr>
      <w:r>
        <w:rPr>
          <w:rFonts w:ascii="Times New Roman" w:hAnsi="Times New Roman" w:cs="Times New Roman"/>
          <w:sz w:val="20"/>
          <w:szCs w:val="20"/>
          <w:lang w:val="en-US"/>
        </w:rPr>
        <w:t>These changes ensure that lawful interception obligations are correctly applied in INS deployments, without altering the fundamental LI architecture.</w:t>
      </w:r>
    </w:p>
    <w:p>
      <w:pPr>
        <w:rPr>
          <w:rFonts w:ascii="Arial" w:hAnsi="Arial" w:cs="Arial"/>
          <w:lang w:val="en-US"/>
        </w:rPr>
      </w:pPr>
      <w:r>
        <w:rPr>
          <w:rFonts w:ascii="Arial" w:hAnsi="Arial" w:cs="Arial"/>
          <w:lang w:val="en-US"/>
        </w:rPr>
        <w:t>4. No changes to TS 33.128</w:t>
      </w:r>
    </w:p>
    <w:p>
      <w:pPr>
        <w:rPr>
          <w:rFonts w:ascii="Times New Roman" w:hAnsi="Times New Roman" w:cs="Times New Roman"/>
          <w:sz w:val="20"/>
          <w:szCs w:val="20"/>
          <w:lang w:val="en-US"/>
        </w:rPr>
      </w:pPr>
      <w:r>
        <w:rPr>
          <w:rFonts w:ascii="Times New Roman" w:hAnsi="Times New Roman" w:cs="Times New Roman"/>
          <w:sz w:val="20"/>
          <w:szCs w:val="20"/>
          <w:lang w:val="en-US"/>
        </w:rPr>
        <w:t>No changes have been introduced in TS 33.128.</w:t>
      </w:r>
    </w:p>
    <w:p>
      <w:pPr>
        <w:rPr>
          <w:rFonts w:ascii="Times New Roman" w:hAnsi="Times New Roman" w:cs="Times New Roman"/>
          <w:sz w:val="20"/>
          <w:szCs w:val="20"/>
          <w:lang w:val="en-US"/>
        </w:rPr>
      </w:pPr>
      <w:r>
        <w:rPr>
          <w:rFonts w:ascii="Times New Roman" w:hAnsi="Times New Roman" w:cs="Times New Roman"/>
          <w:sz w:val="20"/>
          <w:szCs w:val="20"/>
          <w:lang w:val="en-US"/>
        </w:rPr>
        <w:t>This is intentional and justified because:</w:t>
      </w:r>
    </w:p>
    <w:p>
      <w:pPr>
        <w:pStyle w:val="Paragraphedeliste"/>
        <w:numPr>
          <w:ilvl w:val="0"/>
          <w:numId w:val="12"/>
        </w:numPr>
        <w:rPr>
          <w:rFonts w:ascii="Times New Roman" w:hAnsi="Times New Roman" w:cs="Times New Roman"/>
          <w:sz w:val="20"/>
          <w:szCs w:val="20"/>
          <w:lang w:val="en-US"/>
        </w:rPr>
      </w:pPr>
      <w:r>
        <w:rPr>
          <w:rFonts w:ascii="Times New Roman" w:hAnsi="Times New Roman" w:cs="Times New Roman"/>
          <w:sz w:val="20"/>
          <w:szCs w:val="20"/>
          <w:lang w:val="en-US"/>
        </w:rPr>
        <w:t xml:space="preserve">Existing </w:t>
      </w:r>
      <w:proofErr w:type="spellStart"/>
      <w:r>
        <w:rPr>
          <w:rFonts w:ascii="Times New Roman" w:hAnsi="Times New Roman" w:cs="Times New Roman"/>
          <w:sz w:val="20"/>
          <w:szCs w:val="20"/>
          <w:lang w:val="en-US"/>
        </w:rPr>
        <w:t>xIRI</w:t>
      </w:r>
      <w:proofErr w:type="spellEnd"/>
      <w:r>
        <w:rPr>
          <w:rFonts w:ascii="Times New Roman" w:hAnsi="Times New Roman" w:cs="Times New Roman"/>
          <w:sz w:val="20"/>
          <w:szCs w:val="20"/>
          <w:lang w:val="en-US"/>
        </w:rPr>
        <w:t xml:space="preserve"> and </w:t>
      </w:r>
      <w:proofErr w:type="spellStart"/>
      <w:r>
        <w:rPr>
          <w:rFonts w:ascii="Times New Roman" w:hAnsi="Times New Roman" w:cs="Times New Roman"/>
          <w:sz w:val="20"/>
          <w:szCs w:val="20"/>
          <w:lang w:val="en-US"/>
        </w:rPr>
        <w:t>xCC</w:t>
      </w:r>
      <w:proofErr w:type="spellEnd"/>
      <w:r>
        <w:rPr>
          <w:rFonts w:ascii="Times New Roman" w:hAnsi="Times New Roman" w:cs="Times New Roman"/>
          <w:sz w:val="20"/>
          <w:szCs w:val="20"/>
          <w:lang w:val="en-US"/>
        </w:rPr>
        <w:t xml:space="preserve"> definitions for AMF and SMF already convey all information available natively to the intercepting network functions.</w:t>
      </w:r>
    </w:p>
    <w:p>
      <w:pPr>
        <w:pStyle w:val="Paragraphedeliste"/>
        <w:numPr>
          <w:ilvl w:val="0"/>
          <w:numId w:val="12"/>
        </w:numPr>
        <w:rPr>
          <w:rFonts w:ascii="Times New Roman" w:hAnsi="Times New Roman" w:cs="Times New Roman"/>
          <w:sz w:val="20"/>
          <w:szCs w:val="20"/>
          <w:lang w:val="en-US"/>
        </w:rPr>
      </w:pPr>
      <w:r>
        <w:rPr>
          <w:rFonts w:ascii="Times New Roman" w:hAnsi="Times New Roman" w:cs="Times New Roman"/>
          <w:sz w:val="20"/>
          <w:szCs w:val="20"/>
          <w:lang w:val="en-US"/>
        </w:rPr>
        <w:t xml:space="preserve">Neither NAS </w:t>
      </w:r>
      <w:proofErr w:type="spellStart"/>
      <w:r>
        <w:rPr>
          <w:rFonts w:ascii="Times New Roman" w:hAnsi="Times New Roman" w:cs="Times New Roman"/>
          <w:sz w:val="20"/>
          <w:szCs w:val="20"/>
          <w:lang w:val="en-US"/>
        </w:rPr>
        <w:t>signalling</w:t>
      </w:r>
      <w:proofErr w:type="spellEnd"/>
      <w:r>
        <w:rPr>
          <w:rFonts w:ascii="Times New Roman" w:hAnsi="Times New Roman" w:cs="Times New Roman"/>
          <w:sz w:val="20"/>
          <w:szCs w:val="20"/>
          <w:lang w:val="en-US"/>
        </w:rPr>
        <w:t xml:space="preserve"> nor existing LI interfaces provide an explicit “Serving PLMN ID” parameter that could distinguish between Hosting and Participating Operator in INS scenarios.</w:t>
      </w:r>
    </w:p>
    <w:p>
      <w:pPr>
        <w:pStyle w:val="Paragraphedeliste"/>
        <w:numPr>
          <w:ilvl w:val="0"/>
          <w:numId w:val="12"/>
        </w:numPr>
        <w:rPr>
          <w:rFonts w:ascii="Times New Roman" w:hAnsi="Times New Roman" w:cs="Times New Roman"/>
          <w:sz w:val="20"/>
          <w:szCs w:val="20"/>
          <w:lang w:val="en-US"/>
        </w:rPr>
      </w:pPr>
      <w:r>
        <w:rPr>
          <w:rFonts w:ascii="Times New Roman" w:hAnsi="Times New Roman" w:cs="Times New Roman"/>
          <w:sz w:val="20"/>
          <w:szCs w:val="20"/>
          <w:lang w:val="en-US"/>
        </w:rPr>
        <w:t>The notion of “serving PLMN” in INS is a regulatory and architectural interpretation, which is specified at Stage 2 in TS 33.127 and is outside the scope of TS 33.128.</w:t>
      </w:r>
    </w:p>
    <w:p>
      <w:pPr>
        <w:rPr>
          <w:rFonts w:ascii="Times New Roman" w:hAnsi="Times New Roman" w:cs="Times New Roman"/>
          <w:sz w:val="20"/>
          <w:szCs w:val="20"/>
          <w:lang w:val="en-US"/>
        </w:rPr>
      </w:pPr>
      <w:r>
        <w:rPr>
          <w:rFonts w:ascii="Times New Roman" w:hAnsi="Times New Roman" w:cs="Times New Roman"/>
          <w:sz w:val="20"/>
          <w:szCs w:val="20"/>
          <w:lang w:val="en-US"/>
        </w:rPr>
        <w:t xml:space="preserve">Therefore, INS support is achieved without any modification to </w:t>
      </w:r>
      <w:proofErr w:type="spellStart"/>
      <w:r>
        <w:rPr>
          <w:rFonts w:ascii="Times New Roman" w:hAnsi="Times New Roman" w:cs="Times New Roman"/>
          <w:sz w:val="20"/>
          <w:szCs w:val="20"/>
          <w:lang w:val="en-US"/>
        </w:rPr>
        <w:t>xIRI</w:t>
      </w:r>
      <w:proofErr w:type="spellEnd"/>
      <w:r>
        <w:rPr>
          <w:rFonts w:ascii="Times New Roman" w:hAnsi="Times New Roman" w:cs="Times New Roman"/>
          <w:sz w:val="20"/>
          <w:szCs w:val="20"/>
          <w:lang w:val="en-US"/>
        </w:rPr>
        <w:t xml:space="preserve"> structures, LI procedures, or protocols defined in TS 33.128.</w:t>
      </w:r>
    </w:p>
    <w:p>
      <w:pPr>
        <w:rPr>
          <w:rFonts w:ascii="Arial)" w:hAnsi="Arial)"/>
          <w:lang w:val="en-US"/>
        </w:rPr>
      </w:pPr>
      <w:r>
        <w:rPr>
          <w:rFonts w:ascii="Arial)" w:hAnsi="Arial)"/>
          <w:lang w:val="en-US"/>
        </w:rPr>
        <w:t>5. Conclusion</w:t>
      </w:r>
    </w:p>
    <w:p>
      <w:pPr>
        <w:rPr>
          <w:rFonts w:ascii="Times New Roman" w:hAnsi="Times New Roman" w:cs="Times New Roman"/>
          <w:sz w:val="20"/>
          <w:szCs w:val="20"/>
          <w:lang w:val="en-US"/>
        </w:rPr>
      </w:pPr>
      <w:r>
        <w:rPr>
          <w:rFonts w:ascii="Times New Roman" w:hAnsi="Times New Roman" w:cs="Times New Roman"/>
          <w:sz w:val="20"/>
          <w:szCs w:val="20"/>
          <w:lang w:val="en-US"/>
        </w:rPr>
        <w:t>This CR ensures that Indirect Network Sharing scenarios are properly covered for lawful interception at the architectural level, while preserving full backward compatibility and protocol stability.</w:t>
      </w:r>
    </w:p>
    <w:p>
      <w:pPr>
        <w:rPr>
          <w:lang w:val="en-US"/>
        </w:rPr>
      </w:pPr>
    </w:p>
    <w:sectPr>
      <w:headerReference w:type="even"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75C9A"/>
    <w:multiLevelType w:val="hybridMultilevel"/>
    <w:tmpl w:val="B85C5AA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3BF52A1"/>
    <w:multiLevelType w:val="hybridMultilevel"/>
    <w:tmpl w:val="5AA60D0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3C84FF9"/>
    <w:multiLevelType w:val="hybridMultilevel"/>
    <w:tmpl w:val="7A98911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5EE1C1D"/>
    <w:multiLevelType w:val="hybridMultilevel"/>
    <w:tmpl w:val="7B46C6E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1D200AA9"/>
    <w:multiLevelType w:val="multilevel"/>
    <w:tmpl w:val="50648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AD3492"/>
    <w:multiLevelType w:val="multilevel"/>
    <w:tmpl w:val="18A00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4903BF"/>
    <w:multiLevelType w:val="multilevel"/>
    <w:tmpl w:val="D546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0B4356"/>
    <w:multiLevelType w:val="hybridMultilevel"/>
    <w:tmpl w:val="159C524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346C621D"/>
    <w:multiLevelType w:val="multilevel"/>
    <w:tmpl w:val="59884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385770"/>
    <w:multiLevelType w:val="hybridMultilevel"/>
    <w:tmpl w:val="ECF881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E582702"/>
    <w:multiLevelType w:val="hybridMultilevel"/>
    <w:tmpl w:val="5688248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777C24DF"/>
    <w:multiLevelType w:val="hybridMultilevel"/>
    <w:tmpl w:val="66EE1E7E"/>
    <w:lvl w:ilvl="0" w:tplc="41EC8EDE">
      <w:start w:val="1"/>
      <w:numFmt w:val="bullet"/>
      <w:lvlText w:val="•"/>
      <w:lvlJc w:val="left"/>
      <w:pPr>
        <w:tabs>
          <w:tab w:val="num" w:pos="720"/>
        </w:tabs>
        <w:ind w:left="720" w:hanging="360"/>
      </w:pPr>
      <w:rPr>
        <w:rFonts w:ascii="Arial" w:hAnsi="Arial" w:hint="default"/>
      </w:rPr>
    </w:lvl>
    <w:lvl w:ilvl="1" w:tplc="76A64A04" w:tentative="1">
      <w:start w:val="1"/>
      <w:numFmt w:val="bullet"/>
      <w:lvlText w:val="•"/>
      <w:lvlJc w:val="left"/>
      <w:pPr>
        <w:tabs>
          <w:tab w:val="num" w:pos="1440"/>
        </w:tabs>
        <w:ind w:left="1440" w:hanging="360"/>
      </w:pPr>
      <w:rPr>
        <w:rFonts w:ascii="Arial" w:hAnsi="Arial" w:hint="default"/>
      </w:rPr>
    </w:lvl>
    <w:lvl w:ilvl="2" w:tplc="DA380EEA" w:tentative="1">
      <w:start w:val="1"/>
      <w:numFmt w:val="bullet"/>
      <w:lvlText w:val="•"/>
      <w:lvlJc w:val="left"/>
      <w:pPr>
        <w:tabs>
          <w:tab w:val="num" w:pos="2160"/>
        </w:tabs>
        <w:ind w:left="2160" w:hanging="360"/>
      </w:pPr>
      <w:rPr>
        <w:rFonts w:ascii="Arial" w:hAnsi="Arial" w:hint="default"/>
      </w:rPr>
    </w:lvl>
    <w:lvl w:ilvl="3" w:tplc="61DCC064" w:tentative="1">
      <w:start w:val="1"/>
      <w:numFmt w:val="bullet"/>
      <w:lvlText w:val="•"/>
      <w:lvlJc w:val="left"/>
      <w:pPr>
        <w:tabs>
          <w:tab w:val="num" w:pos="2880"/>
        </w:tabs>
        <w:ind w:left="2880" w:hanging="360"/>
      </w:pPr>
      <w:rPr>
        <w:rFonts w:ascii="Arial" w:hAnsi="Arial" w:hint="default"/>
      </w:rPr>
    </w:lvl>
    <w:lvl w:ilvl="4" w:tplc="2ED4D1F8" w:tentative="1">
      <w:start w:val="1"/>
      <w:numFmt w:val="bullet"/>
      <w:lvlText w:val="•"/>
      <w:lvlJc w:val="left"/>
      <w:pPr>
        <w:tabs>
          <w:tab w:val="num" w:pos="3600"/>
        </w:tabs>
        <w:ind w:left="3600" w:hanging="360"/>
      </w:pPr>
      <w:rPr>
        <w:rFonts w:ascii="Arial" w:hAnsi="Arial" w:hint="default"/>
      </w:rPr>
    </w:lvl>
    <w:lvl w:ilvl="5" w:tplc="BCBC0808" w:tentative="1">
      <w:start w:val="1"/>
      <w:numFmt w:val="bullet"/>
      <w:lvlText w:val="•"/>
      <w:lvlJc w:val="left"/>
      <w:pPr>
        <w:tabs>
          <w:tab w:val="num" w:pos="4320"/>
        </w:tabs>
        <w:ind w:left="4320" w:hanging="360"/>
      </w:pPr>
      <w:rPr>
        <w:rFonts w:ascii="Arial" w:hAnsi="Arial" w:hint="default"/>
      </w:rPr>
    </w:lvl>
    <w:lvl w:ilvl="6" w:tplc="7C123B96" w:tentative="1">
      <w:start w:val="1"/>
      <w:numFmt w:val="bullet"/>
      <w:lvlText w:val="•"/>
      <w:lvlJc w:val="left"/>
      <w:pPr>
        <w:tabs>
          <w:tab w:val="num" w:pos="5040"/>
        </w:tabs>
        <w:ind w:left="5040" w:hanging="360"/>
      </w:pPr>
      <w:rPr>
        <w:rFonts w:ascii="Arial" w:hAnsi="Arial" w:hint="default"/>
      </w:rPr>
    </w:lvl>
    <w:lvl w:ilvl="7" w:tplc="727EEA2A" w:tentative="1">
      <w:start w:val="1"/>
      <w:numFmt w:val="bullet"/>
      <w:lvlText w:val="•"/>
      <w:lvlJc w:val="left"/>
      <w:pPr>
        <w:tabs>
          <w:tab w:val="num" w:pos="5760"/>
        </w:tabs>
        <w:ind w:left="5760" w:hanging="360"/>
      </w:pPr>
      <w:rPr>
        <w:rFonts w:ascii="Arial" w:hAnsi="Arial" w:hint="default"/>
      </w:rPr>
    </w:lvl>
    <w:lvl w:ilvl="8" w:tplc="E1C01CD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F2A33C4"/>
    <w:multiLevelType w:val="multilevel"/>
    <w:tmpl w:val="5636B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2"/>
  </w:num>
  <w:num w:numId="3">
    <w:abstractNumId w:val="6"/>
  </w:num>
  <w:num w:numId="4">
    <w:abstractNumId w:val="8"/>
  </w:num>
  <w:num w:numId="5">
    <w:abstractNumId w:val="4"/>
  </w:num>
  <w:num w:numId="6">
    <w:abstractNumId w:val="2"/>
  </w:num>
  <w:num w:numId="7">
    <w:abstractNumId w:val="9"/>
  </w:num>
  <w:num w:numId="8">
    <w:abstractNumId w:val="11"/>
  </w:num>
  <w:num w:numId="9">
    <w:abstractNumId w:val="0"/>
  </w:num>
  <w:num w:numId="10">
    <w:abstractNumId w:val="7"/>
  </w:num>
  <w:num w:numId="11">
    <w:abstractNumId w:val="1"/>
  </w:num>
  <w:num w:numId="12">
    <w:abstractNumId w:val="3"/>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338681-B029-4551-A44E-0B3BF6367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Pr>
      <w:rFonts w:eastAsiaTheme="majorEastAsia" w:cstheme="majorBidi"/>
      <w:color w:val="0F4761" w:themeColor="accent1" w:themeShade="BF"/>
    </w:rPr>
  </w:style>
  <w:style w:type="character" w:customStyle="1" w:styleId="Titre6Car">
    <w:name w:val="Titre 6 Car"/>
    <w:basedOn w:val="Policepardfaut"/>
    <w:link w:val="Titre6"/>
    <w:uiPriority w:val="9"/>
    <w:semiHidden/>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Pr>
      <w:rFonts w:eastAsiaTheme="majorEastAsia" w:cstheme="majorBidi"/>
      <w:color w:val="595959" w:themeColor="text1" w:themeTint="A6"/>
    </w:rPr>
  </w:style>
  <w:style w:type="character" w:customStyle="1" w:styleId="Titre8Car">
    <w:name w:val="Titre 8 Car"/>
    <w:basedOn w:val="Policepardfaut"/>
    <w:link w:val="Titre8"/>
    <w:uiPriority w:val="9"/>
    <w:semiHidden/>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Pr>
      <w:rFonts w:eastAsiaTheme="majorEastAsia" w:cstheme="majorBidi"/>
      <w:color w:val="272727" w:themeColor="text1" w:themeTint="D8"/>
    </w:rPr>
  </w:style>
  <w:style w:type="paragraph" w:styleId="Titre">
    <w:name w:val="Title"/>
    <w:basedOn w:val="Normal"/>
    <w:next w:val="Normal"/>
    <w:link w:val="TitreC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paragraph" w:styleId="Paragraphedeliste">
    <w:name w:val="List Paragraph"/>
    <w:basedOn w:val="Normal"/>
    <w:uiPriority w:val="34"/>
    <w:qFormat/>
    <w:pPr>
      <w:ind w:left="720"/>
      <w:contextualSpacing/>
    </w:pPr>
  </w:style>
  <w:style w:type="character" w:styleId="Accentuationintense">
    <w:name w:val="Intense Emphasis"/>
    <w:basedOn w:val="Policepardfaut"/>
    <w:uiPriority w:val="21"/>
    <w:qFormat/>
    <w:rPr>
      <w:i/>
      <w:iCs/>
      <w:color w:val="0F4761" w:themeColor="accent1" w:themeShade="BF"/>
    </w:rPr>
  </w:style>
  <w:style w:type="paragraph" w:styleId="Citationintense">
    <w:name w:val="Intense Quote"/>
    <w:basedOn w:val="Normal"/>
    <w:next w:val="Normal"/>
    <w:link w:val="CitationintenseC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Pr>
      <w:i/>
      <w:iCs/>
      <w:color w:val="0F4761" w:themeColor="accent1" w:themeShade="BF"/>
    </w:rPr>
  </w:style>
  <w:style w:type="character" w:styleId="Rfrenceintense">
    <w:name w:val="Intense Reference"/>
    <w:basedOn w:val="Policepardfaut"/>
    <w:uiPriority w:val="32"/>
    <w:qFormat/>
    <w:rPr>
      <w:b/>
      <w:bCs/>
      <w:smallCaps/>
      <w:color w:val="0F4761" w:themeColor="accent1" w:themeShade="BF"/>
      <w:spacing w:val="5"/>
    </w:rPr>
  </w:style>
  <w:style w:type="character" w:styleId="Lienhypertexte">
    <w:name w:val="Hyperlink"/>
    <w:basedOn w:val="Policepardfaut"/>
    <w:unhideWhenUsed/>
    <w:rPr>
      <w:color w:val="467886" w:themeColor="hyperlink"/>
      <w:u w:val="single"/>
    </w:rPr>
  </w:style>
  <w:style w:type="paragraph" w:customStyle="1" w:styleId="CRCoverPage">
    <w:name w:val="CR Cover Page"/>
    <w:pPr>
      <w:spacing w:after="120" w:line="240" w:lineRule="auto"/>
    </w:pPr>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736</Words>
  <Characters>4200</Characters>
  <Application>Microsoft Office Word</Application>
  <DocSecurity>0</DocSecurity>
  <Lines>35</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Znaty</dc:creator>
  <cp:keywords/>
  <dc:description/>
  <cp:lastModifiedBy>COURBON Pierre</cp:lastModifiedBy>
  <cp:revision>2</cp:revision>
  <dcterms:created xsi:type="dcterms:W3CDTF">2026-01-12T18:15:00Z</dcterms:created>
  <dcterms:modified xsi:type="dcterms:W3CDTF">2026-01-12T18:15:00Z</dcterms:modified>
</cp:coreProperties>
</file>