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284"/>
          <w:tab w:val="right" w:pos="9639" w:leader="none"/>
        </w:tabs>
        <w:spacing w:before="0" w:after="0"/>
        <w:rPr>
          <w:rFonts w:ascii="Arial" w:hAnsi="Arial" w:cs="Arial"/>
          <w:b/>
          <w:b/>
          <w:sz w:val="22"/>
          <w:szCs w:val="22"/>
          <w:lang w:eastAsia="en-GB"/>
        </w:rPr>
      </w:pPr>
      <w:r>
        <w:rPr>
          <w:rFonts w:cs="Arial" w:ascii="Arial" w:hAnsi="Arial"/>
          <w:b/>
          <w:sz w:val="22"/>
          <w:szCs w:val="22"/>
        </w:rPr>
        <w:t>3GPP TSG-SA3 Meeting #120</w:t>
        <w:tab/>
        <w:t>S3-25</w:t>
      </w:r>
      <w:r>
        <w:rPr>
          <w:rFonts w:eastAsia="Times New Roman" w:cs="Arial" w:ascii="Arial" w:hAnsi="Arial"/>
          <w:b/>
          <w:sz w:val="22"/>
          <w:szCs w:val="22"/>
          <w:lang w:val="en-GB" w:eastAsia="en-US"/>
        </w:rPr>
        <w:t>1064</w:t>
      </w:r>
    </w:p>
    <w:p>
      <w:pPr>
        <w:pStyle w:val="Header"/>
        <w:rPr>
          <w:sz w:val="22"/>
          <w:szCs w:val="22"/>
        </w:rPr>
      </w:pPr>
      <w:r>
        <w:rPr>
          <w:rFonts w:cs="Arial"/>
          <w:sz w:val="22"/>
          <w:szCs w:val="22"/>
        </w:rPr>
        <w:t>Athens, Greece, 17 - 21 February 2025</w:t>
      </w:r>
    </w:p>
    <w:p>
      <w:pPr>
        <w:pStyle w:val="CRCoverPage"/>
        <w:numPr>
          <w:ilvl w:val="0"/>
          <w:numId w:val="0"/>
        </w:numPr>
        <w:outlineLvl w:val="0"/>
        <w:rPr>
          <w:b/>
          <w:b/>
          <w:bCs/>
          <w:sz w:val="24"/>
        </w:rPr>
      </w:pPr>
      <w:r>
        <w:rPr>
          <w:b/>
          <w:bCs/>
          <w:sz w:val="24"/>
        </w:rPr>
      </w:r>
    </w:p>
    <w:tbl>
      <w:tblPr>
        <w:tblW w:w="9641" w:type="dxa"/>
        <w:jc w:val="left"/>
        <w:tblInd w:w="42" w:type="dxa"/>
        <w:tblCellMar>
          <w:top w:w="0" w:type="dxa"/>
          <w:left w:w="42" w:type="dxa"/>
          <w:bottom w:w="0" w:type="dxa"/>
          <w:right w:w="42" w:type="dxa"/>
        </w:tblCellMar>
        <w:tblLook w:val="0000" w:noHBand="0" w:noVBand="0" w:firstColumn="0" w:lastRow="0" w:lastColumn="0" w:firstRow="0"/>
      </w:tblPr>
      <w:tblGrid>
        <w:gridCol w:w="139"/>
        <w:gridCol w:w="1561"/>
        <w:gridCol w:w="712"/>
        <w:gridCol w:w="1274"/>
        <w:gridCol w:w="711"/>
        <w:gridCol w:w="992"/>
        <w:gridCol w:w="2408"/>
        <w:gridCol w:w="1705"/>
        <w:gridCol w:w="138"/>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9" w:type="dxa"/>
            <w:tcBorders>
              <w:left w:val="single" w:sz="4" w:space="0" w:color="000000"/>
            </w:tcBorders>
          </w:tcPr>
          <w:p>
            <w:pPr>
              <w:pStyle w:val="CRCoverPage"/>
              <w:widowControl w:val="false"/>
              <w:spacing w:before="0" w:after="0"/>
              <w:jc w:val="right"/>
              <w:rPr/>
            </w:pPr>
            <w:r>
              <w:rPr/>
            </w:r>
          </w:p>
        </w:tc>
        <w:tc>
          <w:tcPr>
            <w:tcW w:w="1561" w:type="dxa"/>
            <w:tcBorders/>
            <w:shd w:color="FFFF00" w:fill="auto" w:val="pct30"/>
          </w:tcPr>
          <w:p>
            <w:pPr>
              <w:pStyle w:val="CRCoverPage"/>
              <w:widowControl w:val="false"/>
              <w:spacing w:before="0" w:after="0"/>
              <w:jc w:val="right"/>
              <w:rPr>
                <w:b/>
                <w:b/>
                <w:sz w:val="28"/>
              </w:rPr>
            </w:pPr>
            <w:r>
              <w:rPr>
                <w:b/>
                <w:sz w:val="28"/>
              </w:rPr>
              <w:t>33.501</w:t>
            </w:r>
          </w:p>
        </w:tc>
        <w:tc>
          <w:tcPr>
            <w:tcW w:w="712"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pPr>
            <w:r>
              <w:rPr>
                <w:b/>
                <w:sz w:val="28"/>
              </w:rPr>
              <w:t>2090</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3</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5" w:type="dxa"/>
            <w:tcBorders/>
            <w:shd w:color="FFFF00" w:fill="auto" w:val="pct30"/>
          </w:tcPr>
          <w:p>
            <w:pPr>
              <w:pStyle w:val="CRCoverPage"/>
              <w:widowControl w:val="false"/>
              <w:spacing w:before="0" w:after="0"/>
              <w:jc w:val="center"/>
              <w:rPr>
                <w:sz w:val="28"/>
              </w:rPr>
            </w:pPr>
            <w:r>
              <w:rPr>
                <w:b/>
                <w:sz w:val="28"/>
              </w:rPr>
              <w:t>19.1.0</w:t>
            </w:r>
          </w:p>
        </w:tc>
        <w:tc>
          <w:tcPr>
            <w:tcW w:w="138"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0" w:name="_Hlt497126619"/>
            <w:r>
              <w:rPr>
                <w:rStyle w:val="InternetLink"/>
                <w:rFonts w:cs="Arial"/>
                <w:b/>
                <w:i/>
                <w:color w:val="FF0000"/>
              </w:rPr>
              <w:t>L</w:t>
            </w:r>
            <w:bookmarkEnd w:id="0"/>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CellMar>
          <w:top w:w="0" w:type="dxa"/>
          <w:left w:w="42" w:type="dxa"/>
          <w:bottom w:w="0" w:type="dxa"/>
          <w:right w:w="42" w:type="dxa"/>
        </w:tblCellMar>
        <w:tblLook w:val="0000" w:noHBand="0" w:noVBand="0" w:firstColumn="0" w:lastRow="0" w:lastColumn="0" w:firstRow="0"/>
      </w:tblPr>
      <w:tblGrid>
        <w:gridCol w:w="2832"/>
        <w:gridCol w:w="1420"/>
        <w:gridCol w:w="286"/>
        <w:gridCol w:w="708"/>
        <w:gridCol w:w="282"/>
        <w:gridCol w:w="2131"/>
        <w:gridCol w:w="280"/>
        <w:gridCol w:w="1418"/>
        <w:gridCol w:w="281"/>
      </w:tblGrid>
      <w:tr>
        <w:trPr/>
        <w:tc>
          <w:tcPr>
            <w:tcW w:w="2832"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0" w:type="dxa"/>
            <w:tcBorders/>
          </w:tcPr>
          <w:p>
            <w:pPr>
              <w:pStyle w:val="CRCoverPage"/>
              <w:widowControl w:val="false"/>
              <w:spacing w:before="0" w:after="0"/>
              <w:jc w:val="right"/>
              <w:rPr/>
            </w:pPr>
            <w:r>
              <w:rPr/>
              <w:t>UICC apps</w:t>
            </w:r>
          </w:p>
        </w:tc>
        <w:tc>
          <w:tcPr>
            <w:tcW w:w="286"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31" w:type="dxa"/>
            <w:tcBorders/>
          </w:tcPr>
          <w:p>
            <w:pPr>
              <w:pStyle w:val="CRCoverPage"/>
              <w:widowControl w:val="false"/>
              <w:spacing w:before="0" w:after="0"/>
              <w:jc w:val="right"/>
              <w:rPr>
                <w:u w:val="single"/>
              </w:rPr>
            </w:pPr>
            <w:r>
              <w:rPr/>
              <w:t>Radio Access Network</w:t>
            </w:r>
          </w:p>
        </w:tc>
        <w:tc>
          <w:tcPr>
            <w:tcW w:w="280"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r>
          </w:p>
        </w:tc>
        <w:tc>
          <w:tcPr>
            <w:tcW w:w="1418" w:type="dxa"/>
            <w:tcBorders/>
          </w:tcPr>
          <w:p>
            <w:pPr>
              <w:pStyle w:val="CRCoverPage"/>
              <w:widowControl w:val="false"/>
              <w:spacing w:before="0" w:after="0"/>
              <w:jc w:val="right"/>
              <w:rPr/>
            </w:pPr>
            <w:r>
              <w:rPr/>
              <w:t>Core Network</w:t>
            </w:r>
          </w:p>
        </w:tc>
        <w:tc>
          <w:tcPr>
            <w:tcW w:w="281"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CellMar>
          <w:top w:w="0" w:type="dxa"/>
          <w:left w:w="42" w:type="dxa"/>
          <w:bottom w:w="0" w:type="dxa"/>
          <w:right w:w="42" w:type="dxa"/>
        </w:tblCellMar>
        <w:tblLook w:val="0000" w:noHBand="0" w:noVBand="0" w:firstColumn="0" w:lastRow="0" w:lastColumn="0" w:firstRow="0"/>
      </w:tblPr>
      <w:tblGrid>
        <w:gridCol w:w="1843"/>
        <w:gridCol w:w="851"/>
        <w:gridCol w:w="281"/>
        <w:gridCol w:w="287"/>
        <w:gridCol w:w="567"/>
        <w:gridCol w:w="1697"/>
        <w:gridCol w:w="570"/>
        <w:gridCol w:w="143"/>
        <w:gridCol w:w="276"/>
        <w:gridCol w:w="996"/>
        <w:gridCol w:w="2129"/>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N32 consistency checks </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BSI, Nokia</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83" w:type="dxa"/>
            <w:gridSpan w:val="5"/>
            <w:tcBorders/>
            <w:shd w:color="FFFF00" w:fill="auto" w:val="pct30"/>
          </w:tcPr>
          <w:p>
            <w:pPr>
              <w:pStyle w:val="CRCoverPage"/>
              <w:widowControl w:val="false"/>
              <w:spacing w:before="0" w:after="0"/>
              <w:ind w:left="100" w:hanging="0"/>
              <w:rPr/>
            </w:pPr>
            <w:r>
              <w:rPr/>
              <w:t>TEI19, Roaming5G</w:t>
            </w:r>
          </w:p>
        </w:tc>
        <w:tc>
          <w:tcPr>
            <w:tcW w:w="570" w:type="dxa"/>
            <w:tcBorders/>
          </w:tcPr>
          <w:p>
            <w:pPr>
              <w:pStyle w:val="CRCoverPage"/>
              <w:widowControl w:val="false"/>
              <w:spacing w:before="0" w:after="0"/>
              <w:ind w:right="100" w:hanging="0"/>
              <w:rPr/>
            </w:pPr>
            <w:r>
              <w:rPr/>
            </w:r>
          </w:p>
        </w:tc>
        <w:tc>
          <w:tcPr>
            <w:tcW w:w="1415" w:type="dxa"/>
            <w:gridSpan w:val="3"/>
            <w:tcBorders/>
          </w:tcPr>
          <w:p>
            <w:pPr>
              <w:pStyle w:val="CRCoverPage"/>
              <w:widowControl w:val="false"/>
              <w:spacing w:before="0" w:after="0"/>
              <w:jc w:val="right"/>
              <w:rPr/>
            </w:pPr>
            <w:commentRangeStart w:id="0"/>
            <w:r>
              <w:rPr>
                <w:b/>
                <w:i/>
              </w:rPr>
              <w:t>Date:</w:t>
            </w:r>
            <w:commentRangeEnd w:id="0"/>
            <w:r>
              <w:commentReference w:id="0"/>
            </w:r>
            <w:r>
              <w:rPr>
                <w:b/>
                <w:i/>
              </w:rPr>
            </w:r>
          </w:p>
        </w:tc>
        <w:tc>
          <w:tcPr>
            <w:tcW w:w="2129" w:type="dxa"/>
            <w:tcBorders>
              <w:right w:val="single" w:sz="4" w:space="0" w:color="000000"/>
            </w:tcBorders>
            <w:shd w:color="FFFF00" w:fill="auto" w:val="pct30"/>
          </w:tcPr>
          <w:p>
            <w:pPr>
              <w:pStyle w:val="CRCoverPage"/>
              <w:widowControl w:val="false"/>
              <w:spacing w:before="0" w:after="0"/>
              <w:ind w:left="100" w:hanging="0"/>
              <w:rPr/>
            </w:pPr>
            <w:r>
              <w:rPr/>
              <w:t>2025-02-21</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5" w:type="dxa"/>
            <w:gridSpan w:val="3"/>
            <w:tcBorders/>
          </w:tcPr>
          <w:p>
            <w:pPr>
              <w:pStyle w:val="CRCoverPage"/>
              <w:widowControl w:val="false"/>
              <w:spacing w:before="0" w:after="0"/>
              <w:rPr>
                <w:sz w:val="8"/>
                <w:szCs w:val="8"/>
              </w:rPr>
            </w:pPr>
            <w:r>
              <w:rPr>
                <w:sz w:val="8"/>
                <w:szCs w:val="8"/>
              </w:rPr>
            </w:r>
          </w:p>
        </w:tc>
        <w:tc>
          <w:tcPr>
            <w:tcW w:w="2129" w:type="dxa"/>
            <w:tcBorders>
              <w:right w:val="single" w:sz="4" w:space="0" w:color="000000"/>
            </w:tcBorders>
          </w:tcPr>
          <w:p>
            <w:pPr>
              <w:pStyle w:val="CRCoverPage"/>
              <w:widowControl w:val="false"/>
              <w:spacing w:before="0" w:after="0"/>
              <w:rPr>
                <w:sz w:val="8"/>
                <w:szCs w:val="8"/>
              </w:rPr>
            </w:pPr>
            <w:r>
              <w:rPr>
                <w:sz w:val="8"/>
                <w:szCs w:val="8"/>
              </w:rPr>
              <w:t>F</w:t>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5" w:type="dxa"/>
            <w:gridSpan w:val="3"/>
            <w:tcBorders/>
          </w:tcPr>
          <w:p>
            <w:pPr>
              <w:pStyle w:val="CRCoverPage"/>
              <w:widowControl w:val="false"/>
              <w:spacing w:before="0" w:after="0"/>
              <w:jc w:val="right"/>
              <w:rPr>
                <w:b/>
                <w:b/>
                <w:i/>
                <w:i/>
              </w:rPr>
            </w:pPr>
            <w:r>
              <w:rPr>
                <w:b/>
                <w:i/>
              </w:rPr>
              <w:t>Release:</w:t>
            </w:r>
          </w:p>
        </w:tc>
        <w:tc>
          <w:tcPr>
            <w:tcW w:w="2129" w:type="dxa"/>
            <w:tcBorders>
              <w:right w:val="single" w:sz="4" w:space="0" w:color="000000"/>
            </w:tcBorders>
            <w:shd w:color="FFFF00" w:fill="auto" w:val="pct30"/>
          </w:tcPr>
          <w:p>
            <w:pPr>
              <w:pStyle w:val="CRCoverPage"/>
              <w:widowControl w:val="false"/>
              <w:spacing w:before="0" w:after="0"/>
              <w:ind w:left="100" w:hanging="0"/>
              <w:rPr/>
            </w:pPr>
            <w:r>
              <w:rPr/>
              <w:t>Rel-19</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72"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Link"/>
                  <w:sz w:val="18"/>
                </w:rPr>
                <w:t>TR 21.900</w:t>
              </w:r>
            </w:hyperlink>
            <w:r>
              <w:rPr>
                <w:sz w:val="18"/>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PRINS clarifications on trust anchoring in the context of PRINS, and on crosslayer checks for N32-f traffic are provided</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This CR provides clarifications on (a) trust anchoring in the context of PRINS, and (b) cross-layer check for N32-f traffic.</w:t>
            </w:r>
          </w:p>
          <w:p>
            <w:pPr>
              <w:pStyle w:val="CRCoverPage"/>
              <w:widowControl w:val="false"/>
              <w:spacing w:before="0" w:after="0"/>
              <w:ind w:left="100" w:hanging="0"/>
              <w:rPr/>
            </w:pPr>
            <w:r>
              <w:rPr/>
            </w:r>
          </w:p>
          <w:p>
            <w:pPr>
              <w:pStyle w:val="CRCoverPage"/>
              <w:widowControl w:val="false"/>
              <w:spacing w:before="0" w:after="0"/>
              <w:ind w:left="100" w:hanging="0"/>
              <w:rPr/>
            </w:pPr>
            <w:r>
              <w:rPr/>
              <w:t xml:space="preserve">For (a): changes trust anchoring “should” into “shall” for trust anchoring for NDS/IP or TLS VPN. </w:t>
            </w:r>
          </w:p>
          <w:p>
            <w:pPr>
              <w:pStyle w:val="CRCoverPage"/>
              <w:widowControl w:val="false"/>
              <w:spacing w:before="0" w:after="0"/>
              <w:ind w:left="100" w:hanging="0"/>
              <w:rPr/>
            </w:pPr>
            <w:r>
              <w:rPr/>
              <w:t>For (b): explains in more detail what should be compared and that logging mismatches is for the purposes of anomaly detection.</w:t>
            </w:r>
          </w:p>
          <w:p>
            <w:pPr>
              <w:pStyle w:val="CRCoverPage"/>
              <w:widowControl w:val="false"/>
              <w:spacing w:before="0" w:after="0"/>
              <w:ind w:left="100" w:hanging="0"/>
              <w:rPr/>
            </w:pPr>
            <w:r>
              <w:rPr/>
            </w:r>
          </w:p>
          <w:p>
            <w:pPr>
              <w:pStyle w:val="CRCoverPage"/>
              <w:widowControl w:val="false"/>
              <w:spacing w:before="0" w:after="0"/>
              <w:ind w:left="100" w:hanging="0"/>
              <w:rPr/>
            </w:pPr>
            <w:r>
              <w:rPr/>
              <w:t>The CR also fixes a typo (DNS vs. NDS).</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The trust anchoring and logging capabilities regarding cross-layer checks supported by SEPPs may differ significantly; this is detrimental to the security evolution of the overall system.</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13.1.2, 13.2.4.7</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81"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8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8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8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sectPr>
          <w:type w:val="nextPage"/>
          <w:pgSz w:w="11906" w:h="16838"/>
          <w:pgMar w:left="1134" w:right="1134" w:header="0" w:top="1418" w:footer="0" w:bottom="1134" w:gutter="0"/>
          <w:pgNumType w:fmt="decimal"/>
          <w:formProt w:val="false"/>
          <w:textDirection w:val="lrTb"/>
          <w:docGrid w:type="default" w:linePitch="100" w:charSpace="24576"/>
        </w:sectPr>
      </w:pPr>
    </w:p>
    <w:p>
      <w:pPr>
        <w:pStyle w:val="Normal"/>
        <w:jc w:val="center"/>
        <w:rPr>
          <w:b/>
          <w:b/>
          <w:bCs/>
          <w:color w:val="C9211E"/>
        </w:rPr>
      </w:pPr>
      <w:r>
        <w:rPr>
          <w:b/>
          <w:bCs/>
          <w:color w:val="C9211E"/>
        </w:rPr>
        <w:t>***************** START OF CHANGES ******************************</w:t>
      </w:r>
    </w:p>
    <w:p>
      <w:pPr>
        <w:pStyle w:val="Normal"/>
        <w:rPr/>
      </w:pPr>
      <w:r>
        <w:rPr/>
      </w:r>
    </w:p>
    <w:p>
      <w:pPr>
        <w:pStyle w:val="Heading3"/>
        <w:rPr>
          <w:iCs/>
        </w:rPr>
      </w:pPr>
      <w:bookmarkStart w:id="1" w:name="__RefHeading___Toc187237118"/>
      <w:bookmarkEnd w:id="1"/>
      <w:r>
        <w:rPr/>
        <w:t>13.1.2</w:t>
        <w:tab/>
        <w:t>Protection between SEPPs</w:t>
      </w:r>
    </w:p>
    <w:p>
      <w:pPr>
        <w:pStyle w:val="Normal"/>
        <w:rPr>
          <w:iCs/>
        </w:rPr>
      </w:pPr>
      <w:r>
        <w:rPr/>
        <w:t>TLS shall be used for N32-c connections between the SEPPs.</w:t>
      </w:r>
    </w:p>
    <w:p>
      <w:pPr>
        <w:pStyle w:val="Normal"/>
        <w:rPr>
          <w:iCs/>
        </w:rPr>
      </w:pPr>
      <w:r>
        <w:rPr>
          <w:lang w:val="en-US"/>
        </w:rPr>
        <w:t xml:space="preserve">The SEPP shall maintain a set of trust anchors. </w:t>
      </w:r>
      <w:r>
        <w:rPr>
          <w:lang w:eastAsia="el-GR"/>
        </w:rPr>
        <w:t>For N32-c and N32-f when the selected security method is "TLS"</w:t>
      </w:r>
      <w:r>
        <w:rPr>
          <w:lang w:val="el-GR" w:eastAsia="el-GR"/>
        </w:rPr>
        <w:t xml:space="preserve">, each </w:t>
      </w:r>
      <w:r>
        <w:rPr>
          <w:lang w:eastAsia="el-GR"/>
        </w:rPr>
        <w:t xml:space="preserve">trust anchor </w:t>
      </w:r>
      <w:r>
        <w:rPr>
          <w:lang w:val="el-GR" w:eastAsia="el-GR"/>
        </w:rPr>
        <w:t>consist</w:t>
      </w:r>
      <w:r>
        <w:rPr>
          <w:lang w:eastAsia="el-GR"/>
        </w:rPr>
        <w:t>s</w:t>
      </w:r>
      <w:r>
        <w:rPr>
          <w:lang w:val="el-GR" w:eastAsia="el-GR"/>
        </w:rPr>
        <w:t xml:space="preserve"> of a list of trusted root certificates and a list of corresponding PLMN-IDs.</w:t>
      </w:r>
      <w:r>
        <w:rPr>
          <w:lang w:eastAsia="el-GR"/>
        </w:rPr>
        <w:t xml:space="preserve"> For NDS/IP or TLS VPN used for N32-f when the selected security method is "PRINS"</w:t>
      </w:r>
      <w:r>
        <w:rPr>
          <w:lang w:val="el-GR" w:eastAsia="el-GR"/>
        </w:rPr>
        <w:t xml:space="preserve">, </w:t>
      </w:r>
      <w:r>
        <w:rPr>
          <w:lang w:eastAsia="el-GR"/>
        </w:rPr>
        <w:t xml:space="preserve">each trust anchor may also include a list of unique identifiers for a given Roaming Intermediary (RI). </w:t>
      </w:r>
      <w:r>
        <w:rPr>
          <w:lang w:val="el-GR" w:eastAsia="el-GR"/>
        </w:rPr>
        <w:t xml:space="preserve">Any given PLMN-ID </w:t>
      </w:r>
      <w:r>
        <w:rPr>
          <w:lang w:eastAsia="el-GR"/>
        </w:rPr>
        <w:t xml:space="preserve">and any given RI identifier </w:t>
      </w:r>
      <w:r>
        <w:rPr>
          <w:lang w:val="el-GR" w:eastAsia="el-GR"/>
        </w:rPr>
        <w:t>shall appear in at most one trust anchor</w:t>
      </w:r>
      <w:r>
        <w:rPr>
          <w:lang w:val="en-US"/>
        </w:rPr>
        <w:t xml:space="preserve">. </w:t>
      </w:r>
    </w:p>
    <w:p>
      <w:pPr>
        <w:pStyle w:val="NO"/>
        <w:rPr>
          <w:iCs/>
        </w:rPr>
      </w:pPr>
      <w:r>
        <w:rPr>
          <w:lang w:eastAsia="el-GR"/>
        </w:rPr>
        <w:t>NOTE 3:</w:t>
      </w:r>
      <w:r>
        <w:rPr>
          <w:lang w:val="el-GR" w:eastAsia="el-GR"/>
        </w:rPr>
        <w:t xml:space="preserve"> </w:t>
      </w:r>
      <w:r>
        <w:rPr>
          <w:lang w:eastAsia="el-GR"/>
        </w:rPr>
        <w:t xml:space="preserve">The </w:t>
      </w:r>
      <w:r>
        <w:rPr>
          <w:lang w:val="el-GR" w:eastAsia="el-GR"/>
        </w:rPr>
        <w:t>PLMN-I</w:t>
      </w:r>
      <w:r>
        <w:rPr>
          <w:lang w:eastAsia="el-GR"/>
        </w:rPr>
        <w:t>D</w:t>
      </w:r>
      <w:r>
        <w:rPr>
          <w:lang w:val="el-GR" w:eastAsia="el-GR"/>
        </w:rPr>
        <w:t xml:space="preserve">s </w:t>
      </w:r>
      <w:r>
        <w:rPr>
          <w:lang w:eastAsia="el-GR"/>
        </w:rPr>
        <w:t xml:space="preserve">in a given trust anchor for N32-c represent a particular PLMNThe </w:t>
      </w:r>
      <w:r>
        <w:rPr>
          <w:lang w:val="el-GR" w:eastAsia="el-GR"/>
        </w:rPr>
        <w:t>PLMN-I</w:t>
      </w:r>
      <w:r>
        <w:rPr>
          <w:lang w:eastAsia="el-GR"/>
        </w:rPr>
        <w:t>D</w:t>
      </w:r>
      <w:r>
        <w:rPr>
          <w:lang w:val="el-GR" w:eastAsia="el-GR"/>
        </w:rPr>
        <w:t xml:space="preserve">s </w:t>
      </w:r>
      <w:r>
        <w:rPr>
          <w:lang w:eastAsia="el-GR"/>
        </w:rPr>
        <w:t xml:space="preserve">in a given trust anchor for N32-f when the selected security method is PRINS represent the PLMNs that are reachable via a particular RI. </w:t>
      </w:r>
    </w:p>
    <w:p>
      <w:pPr>
        <w:pStyle w:val="Normal"/>
        <w:rPr>
          <w:iCs/>
        </w:rPr>
      </w:pPr>
      <w:r>
        <w:rPr>
          <w:lang w:val="en-US"/>
        </w:rPr>
        <w:t>During N32-c connection setup, the SEPP shall map the PLMN-ID of the remote SEPP end entity 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pPr>
        <w:pStyle w:val="Normal"/>
        <w:rPr>
          <w:iCs/>
        </w:rPr>
      </w:pPr>
      <w:r>
        <w:rP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pPr>
        <w:pStyle w:val="Normal"/>
        <w:rPr>
          <w:iCs/>
        </w:rPr>
      </w:pPr>
      <w:r>
        <w:rP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pPr>
        <w:pStyle w:val="Normal"/>
        <w:tabs>
          <w:tab w:val="clear" w:pos="284"/>
          <w:tab w:val="left" w:pos="1006" w:leader="none"/>
        </w:tabs>
        <w:rPr>
          <w:iCs/>
          <w:ins w:id="0" w:author="Unknown Author" w:date="2025-01-31T14:50:00Z"/>
        </w:rPr>
      </w:pPr>
      <w:r>
        <w:rP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lang w:val="en-US"/>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pPr>
        <w:pStyle w:val="Normal"/>
        <w:tabs>
          <w:tab w:val="clear" w:pos="284"/>
          <w:tab w:val="left" w:pos="1006" w:leader="none"/>
        </w:tabs>
        <w:jc w:val="both"/>
        <w:rPr>
          <w:iCs/>
          <w:del w:id="30" w:author="Huawei" w:date="2025-02-18T11:08:00Z"/>
        </w:rPr>
      </w:pPr>
      <w:ins w:id="1" w:author="Unknown Author" w:date="2025-01-31T14:50:00Z">
        <w:r>
          <w:rPr>
            <w:rFonts w:eastAsia="Calibri"/>
          </w:rPr>
          <w:t>The SEPP shall check whether the PLMN-ID</w:t>
        </w:r>
      </w:ins>
      <w:ins w:id="2" w:author="Unknown Author" w:date="2025-01-31T14:50:00Z">
        <w:r>
          <w:rPr>
            <w:rFonts w:eastAsia="Calibri"/>
          </w:rPr>
          <w:t>s</w:t>
        </w:r>
      </w:ins>
      <w:ins w:id="3" w:author="Unknown Author" w:date="2025-01-31T14:50:00Z">
        <w:r>
          <w:rPr>
            <w:rFonts w:eastAsia="Calibri"/>
          </w:rPr>
          <w:t xml:space="preserve"> in the header and JSON fields, if any, of incoming N32-f </w:t>
        </w:r>
      </w:ins>
      <w:ins w:id="4" w:author="Huawei" w:date="2025-02-18T11:13:00Z">
        <w:r>
          <w:rPr>
            <w:rFonts w:eastAsia="Calibri"/>
          </w:rPr>
          <w:t>message</w:t>
        </w:r>
      </w:ins>
      <w:ins w:id="5" w:author="Unknown Author" w:date="2025-02-18T13:27:00Z">
        <w:r>
          <w:rPr>
            <w:rFonts w:eastAsia="Calibri"/>
          </w:rPr>
          <w:t>s</w:t>
        </w:r>
      </w:ins>
      <w:ins w:id="6" w:author="Huawei-r2" w:date="2025-02-18T17:09:00Z">
        <w:r>
          <w:rPr>
            <w:rFonts w:eastAsia="Calibri"/>
          </w:rPr>
          <w:t>, are abnormal by</w:t>
        </w:r>
      </w:ins>
      <w:r>
        <w:rPr>
          <w:rFonts w:eastAsia="Calibri"/>
        </w:rPr>
        <w:t xml:space="preserve"> </w:t>
      </w:r>
      <w:ins w:id="7" w:author="Huawei" w:date="2025-02-18T11:13:00Z">
        <w:r>
          <w:rPr>
            <w:rFonts w:eastAsia="Calibri"/>
          </w:rPr>
          <w:t>match</w:t>
        </w:r>
      </w:ins>
      <w:ins w:id="8" w:author="Huawei-r2" w:date="2025-02-18T17:09:00Z">
        <w:r>
          <w:rPr>
            <w:rFonts w:eastAsia="Calibri"/>
          </w:rPr>
          <w:t>ing</w:t>
        </w:r>
      </w:ins>
      <w:ins w:id="9" w:author="Unknown Author" w:date="2025-01-31T14:50:00Z">
        <w:r>
          <w:rPr>
            <w:rFonts w:eastAsia="Calibri"/>
          </w:rPr>
          <w:t xml:space="preserve"> the PLMN-ID</w:t>
        </w:r>
      </w:ins>
      <w:ins w:id="10" w:author="Huawei" w:date="2025-02-18T11:08:00Z">
        <w:r>
          <w:rPr>
            <w:rFonts w:eastAsia="Calibri"/>
          </w:rPr>
          <w:t>(</w:t>
        </w:r>
      </w:ins>
      <w:ins w:id="11" w:author="Unknown Author" w:date="2025-01-31T14:50:00Z">
        <w:r>
          <w:rPr>
            <w:rFonts w:eastAsia="Calibri"/>
          </w:rPr>
          <w:t>s</w:t>
        </w:r>
      </w:ins>
      <w:ins w:id="12" w:author="Huawei" w:date="2025-02-18T11:08:00Z">
        <w:r>
          <w:rPr>
            <w:rFonts w:eastAsia="Calibri"/>
          </w:rPr>
          <w:t>)</w:t>
        </w:r>
      </w:ins>
      <w:ins w:id="13" w:author="Unknown Author" w:date="2025-01-31T14:50:00Z">
        <w:r>
          <w:rPr>
            <w:rFonts w:eastAsia="Calibri"/>
          </w:rPr>
          <w:t xml:space="preserve"> </w:t>
        </w:r>
      </w:ins>
      <w:ins w:id="14" w:author="Huawei" w:date="2025-02-18T11:08:00Z">
        <w:r>
          <w:rPr>
            <w:rFonts w:eastAsia="Calibri"/>
          </w:rPr>
          <w:t>in</w:t>
        </w:r>
      </w:ins>
      <w:ins w:id="15" w:author="Unknown Author" w:date="2025-01-31T14:50:00Z">
        <w:r>
          <w:rPr>
            <w:rFonts w:eastAsia="Calibri"/>
          </w:rPr>
          <w:t xml:space="preserve"> the relevant trust anchor</w:t>
        </w:r>
      </w:ins>
      <w:ins w:id="16" w:author="Huawei" w:date="2025-02-18T11:08:00Z">
        <w:r>
          <w:rPr>
            <w:rFonts w:eastAsia="Calibri"/>
          </w:rPr>
          <w:t xml:space="preserve"> </w:t>
        </w:r>
      </w:ins>
      <w:ins w:id="17" w:author="Huawei" w:date="2025-02-18T11:25:00Z">
        <w:r>
          <w:rPr>
            <w:rFonts w:eastAsia="Calibri"/>
          </w:rPr>
          <w:t>or</w:t>
        </w:r>
      </w:ins>
      <w:ins w:id="18" w:author="Huawei" w:date="2025-02-18T11:08:00Z">
        <w:r>
          <w:rPr>
            <w:rFonts w:eastAsia="Calibri"/>
          </w:rPr>
          <w:t xml:space="preserve"> remote PL</w:t>
        </w:r>
      </w:ins>
      <w:ins w:id="19" w:author="Unknown Author" w:date="2025-02-19T15:35:40Z">
        <w:r>
          <w:rPr>
            <w:rFonts w:eastAsia="Calibri"/>
          </w:rPr>
          <w:t>M</w:t>
        </w:r>
      </w:ins>
      <w:ins w:id="20" w:author="Huawei" w:date="2025-02-18T11:08:00Z">
        <w:r>
          <w:rPr>
            <w:rFonts w:eastAsia="Calibri"/>
          </w:rPr>
          <w:t>N-ID</w:t>
        </w:r>
      </w:ins>
      <w:ins w:id="21" w:author="Huawei" w:date="2025-02-18T11:09:00Z">
        <w:r>
          <w:rPr>
            <w:rFonts w:eastAsia="Calibri"/>
          </w:rPr>
          <w:t>(s) in the N32-f context</w:t>
        </w:r>
      </w:ins>
      <w:ins w:id="22" w:author="Huawei" w:date="2025-02-18T11:15:00Z">
        <w:r>
          <w:rPr>
            <w:rFonts w:eastAsia="Calibri"/>
          </w:rPr>
          <w:t>.</w:t>
        </w:r>
      </w:ins>
      <w:ins w:id="23" w:author="Unknown Author" w:date="2025-01-31T14:50:00Z">
        <w:r>
          <w:rPr>
            <w:rFonts w:eastAsia="Calibri"/>
          </w:rPr>
          <w:t xml:space="preserve"> </w:t>
        </w:r>
      </w:ins>
      <w:ins w:id="24" w:author="Huawei" w:date="2025-02-18T11:15:00Z">
        <w:r>
          <w:rPr>
            <w:rFonts w:eastAsia="Calibri"/>
          </w:rPr>
          <w:t>I</w:t>
        </w:r>
      </w:ins>
      <w:ins w:id="25" w:author="Unknown Author" w:date="2025-01-31T14:50:00Z">
        <w:r>
          <w:rPr>
            <w:rFonts w:eastAsia="Calibri"/>
          </w:rPr>
          <w:t>f TLS is used for N32-f, then the relevant trust anchor is the one selected during the setup of the correlated N32-c connection</w:t>
        </w:r>
      </w:ins>
      <w:ins w:id="26" w:author="Unknown Author" w:date="2025-02-18T13:33:00Z">
        <w:r>
          <w:rPr>
            <w:rFonts w:eastAsia="Calibri"/>
          </w:rPr>
          <w:t xml:space="preserve"> and, if</w:t>
        </w:r>
      </w:ins>
      <w:ins w:id="27" w:author="Unknown Author" w:date="2025-01-31T14:50:00Z">
        <w:r>
          <w:rPr>
            <w:rFonts w:eastAsia="Calibri"/>
          </w:rPr>
          <w:t xml:space="preserve"> PRINS is used, it is the trust anchor selected during the setup of the NDS/IP or TLS VPN. The SEPP </w:t>
        </w:r>
      </w:ins>
      <w:ins w:id="28" w:author="Huawei" w:date="2025-02-18T11:09:00Z">
        <w:r>
          <w:rPr>
            <w:rFonts w:eastAsia="Calibri"/>
          </w:rPr>
          <w:t>should</w:t>
        </w:r>
      </w:ins>
      <w:ins w:id="29" w:author="Unknown Author" w:date="2025-01-31T14:50:00Z">
        <w:r>
          <w:rPr>
            <w:rFonts w:eastAsia="Calibri"/>
          </w:rPr>
          <w:t xml:space="preserve"> support a mode of logging where mismatches are logged. </w:t>
        </w:r>
      </w:ins>
    </w:p>
    <w:p>
      <w:pPr>
        <w:pStyle w:val="Normal"/>
        <w:tabs>
          <w:tab w:val="clear" w:pos="284"/>
          <w:tab w:val="left" w:pos="1006" w:leader="none"/>
        </w:tabs>
        <w:jc w:val="both"/>
        <w:rPr>
          <w:iCs/>
        </w:rPr>
      </w:pPr>
      <w:del w:id="31" w:author="Huawei" w:date="2025-02-18T11:08:00Z">
        <w:r>
          <w:rPr>
            <w:rFonts w:eastAsia="Calibri"/>
          </w:rPr>
          <w:delText xml:space="preserve"> </w:delText>
        </w:r>
      </w:del>
      <w:r>
        <w:rP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pPr>
        <w:pStyle w:val="NO"/>
        <w:rPr>
          <w:iCs/>
        </w:rPr>
      </w:pPr>
      <w:r>
        <w:rPr/>
        <w:t>NOTE 1a:</w:t>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pPr>
        <w:pStyle w:val="Normal"/>
        <w:rPr>
          <w:iCs/>
        </w:rPr>
      </w:pPr>
      <w:r>
        <w:rPr/>
        <w:t xml:space="preserve">If PRINS is the selected security method for N32-f interface, one of the following additional transport protection methods shall be applied between SEPP and Roaming Intermediary for confidentiality and integrity protection: </w:t>
      </w:r>
    </w:p>
    <w:p>
      <w:pPr>
        <w:pStyle w:val="B1"/>
        <w:rPr>
          <w:iCs/>
        </w:rPr>
      </w:pPr>
      <w:r>
        <w:rPr/>
        <w:t>-</w:t>
        <w:tab/>
        <w:t xml:space="preserve">NDS/IP as specified in </w:t>
      </w:r>
      <w:r>
        <w:rPr>
          <w:lang w:val="en-US"/>
        </w:rPr>
        <w:t>TS 33.210 [3] and TS 33.310 [5], or</w:t>
      </w:r>
    </w:p>
    <w:p>
      <w:pPr>
        <w:pStyle w:val="B1"/>
        <w:rPr>
          <w:iCs/>
        </w:rPr>
      </w:pPr>
      <w:r>
        <w:rPr>
          <w:lang w:val="en-US"/>
        </w:rPr>
        <w:t>-</w:t>
        <w:tab/>
        <w:t xml:space="preserve">TLS VPN with mutual authentication following the profile given in clause 6.2 of TS 33.210 [3] and clause </w:t>
      </w:r>
      <w:r>
        <w:rPr/>
        <w:t>clause 6.1.3a of TS 33.310 [5]</w:t>
      </w:r>
      <w:r>
        <w:rPr>
          <w:lang w:eastAsia="zh-CN"/>
        </w:rPr>
        <w:t>. The identities in the end entity certificates shall be used for authentication and policy checks</w:t>
      </w:r>
      <w:r>
        <w:rPr>
          <w:lang w:val="en-US"/>
        </w:rPr>
        <w:t>, with the</w:t>
      </w:r>
      <w:r>
        <w:rPr/>
        <w:t xml:space="preserve"> restriction that it shall be compliant with the profile given by HTTP/2 as defined in RFC 9113 [47].</w:t>
      </w:r>
    </w:p>
    <w:p>
      <w:pPr>
        <w:pStyle w:val="Normal"/>
        <w:rPr>
          <w:iCs/>
        </w:rPr>
      </w:pPr>
      <w:r>
        <w:rPr>
          <w:lang w:val="el-GR"/>
        </w:rPr>
        <w:t xml:space="preserve">During </w:t>
      </w:r>
      <w:r>
        <w:rPr/>
        <w:t xml:space="preserve">NDS/IP or TLS VPN </w:t>
      </w:r>
      <w:r>
        <w:rPr>
          <w:lang w:val="el-GR"/>
        </w:rPr>
        <w:t xml:space="preserve">connection setup, the SEPP  map the </w:t>
      </w:r>
      <w:r>
        <w:rPr/>
        <w:t xml:space="preserve">RI identifier as extracted from its end entity (i.e., RI) certificate </w:t>
      </w:r>
      <w:r>
        <w:rPr>
          <w:lang w:val="el-GR"/>
        </w:rPr>
        <w:t xml:space="preserve">to the associated N32-f/PRINS trust anchor for the purposes of certificate chain verification. Only the root certificates in the associated list </w:t>
      </w:r>
      <w:del w:id="32" w:author="Unknown Author" w:date="2025-01-31T16:10:00Z">
        <w:r>
          <w:rPr>
            <w:lang w:val="de-DE"/>
          </w:rPr>
          <w:delText xml:space="preserve">may be </w:delText>
        </w:r>
      </w:del>
      <w:ins w:id="33" w:author="Unknown Author" w:date="2025-01-31T16:10:00Z">
        <w:r>
          <w:rPr>
            <w:lang w:val="de-DE"/>
          </w:rPr>
          <w:t xml:space="preserve">are </w:t>
        </w:r>
      </w:ins>
      <w:r>
        <w:rPr>
          <w:lang w:val="el-GR"/>
        </w:rPr>
        <w:t xml:space="preserve">treated as trusted during certificate chain verification. If the </w:t>
      </w:r>
      <w:r>
        <w:rPr/>
        <w:t xml:space="preserve">end entity </w:t>
      </w:r>
      <w:r>
        <w:rPr>
          <w:lang w:val="el-GR"/>
        </w:rPr>
        <w:t xml:space="preserve">certificate contains multiple </w:t>
      </w:r>
      <w:r>
        <w:rPr/>
        <w:t xml:space="preserve">RI identifiers </w:t>
      </w:r>
      <w:r>
        <w:rPr>
          <w:lang w:val="el-GR"/>
        </w:rPr>
        <w:t xml:space="preserve">that are mapped to different trust anchors, then that certificate </w:t>
      </w:r>
      <w:r>
        <w:rPr>
          <w:lang w:val="de-DE"/>
        </w:rPr>
        <w:t xml:space="preserve">should </w:t>
      </w:r>
      <w:r>
        <w:rPr>
          <w:lang w:val="el-GR"/>
        </w:rPr>
        <w:t>be rejected.</w:t>
      </w:r>
      <w:r>
        <w:rPr/>
        <w:t xml:space="preserve"> </w:t>
      </w:r>
    </w:p>
    <w:p>
      <w:pPr>
        <w:pStyle w:val="NO"/>
        <w:rPr>
          <w:iCs/>
        </w:rPr>
      </w:pPr>
      <w:r>
        <w:rPr/>
        <w:t>NOTE 1:</w:t>
        <w:tab/>
        <w:t>Void</w:t>
      </w:r>
    </w:p>
    <w:p>
      <w:pPr>
        <w:pStyle w:val="NO"/>
        <w:rPr>
          <w:iCs/>
        </w:rPr>
      </w:pPr>
      <w:r>
        <w:rPr/>
        <w:t>NOTE 2:</w:t>
        <w:tab/>
        <w:t>Void.</w:t>
      </w:r>
    </w:p>
    <w:p>
      <w:pPr>
        <w:pStyle w:val="NO"/>
        <w:rPr>
          <w:iCs/>
        </w:rPr>
      </w:pPr>
      <w:r>
        <w:rPr/>
        <w:t xml:space="preserve">NOTE 4: Whether or not a given </w:t>
      </w:r>
      <w:r>
        <w:rPr>
          <w:iCs/>
        </w:rPr>
        <w:t>RI identifier includes the PLMN-IDs that correspond to the roaming partners that are reachable via that RI, is not specified in 3GPP.</w:t>
      </w:r>
    </w:p>
    <w:p>
      <w:pPr>
        <w:pStyle w:val="NO"/>
        <w:rPr>
          <w:iCs/>
        </w:rPr>
      </w:pPr>
      <w:r>
        <w:rPr>
          <w:iCs/>
        </w:rPr>
      </w:r>
    </w:p>
    <w:p>
      <w:pPr>
        <w:pStyle w:val="NO"/>
        <w:rPr>
          <w:b/>
          <w:b/>
          <w:bCs/>
          <w:color w:val="C9211E"/>
        </w:rPr>
      </w:pPr>
      <w:r>
        <w:rPr>
          <w:b/>
          <w:bCs/>
          <w:color w:val="C9211E"/>
        </w:rPr>
        <w:t>*************************** NEXT CHANGE ************************************</w:t>
      </w:r>
    </w:p>
    <w:p>
      <w:pPr>
        <w:pStyle w:val="Heading4"/>
        <w:rPr>
          <w:iCs/>
        </w:rPr>
      </w:pPr>
      <w:bookmarkStart w:id="2" w:name="__RefHeading___Toc187237154"/>
      <w:bookmarkEnd w:id="2"/>
      <w:r>
        <w:rPr/>
        <w:t>13.2.4.7</w:t>
        <w:tab/>
        <w:t>Message verification by the receiving SEPP</w:t>
      </w:r>
    </w:p>
    <w:p>
      <w:pPr>
        <w:pStyle w:val="Normal"/>
        <w:rPr>
          <w:iCs/>
        </w:rPr>
      </w:pPr>
      <w:r>
        <w:rPr/>
        <w:t xml:space="preserve">The receiving SEPP determines that the received message is an error message generated by the Roaming Hub as Roaming Intermediary based on the reformattedData IE. </w:t>
      </w:r>
    </w:p>
    <w:p>
      <w:pPr>
        <w:pStyle w:val="Normal"/>
        <w:rPr>
          <w:iCs/>
        </w:rPr>
      </w:pPr>
      <w:r>
        <w:rPr/>
        <w:t>If the received messages is not generated by a Roaming Hub :</w:t>
      </w:r>
    </w:p>
    <w:p>
      <w:pPr>
        <w:pStyle w:val="B1"/>
        <w:rPr>
          <w:iCs/>
        </w:rPr>
      </w:pPr>
      <w:r>
        <w:rPr/>
        <w:t>-</w:t>
        <w:tab/>
        <w:t>The receiving SEPP shall decrypt the JWE ciphertext using the shared session key and the following parameters obtained from the JWE object – Initialization Vector, Additional Authenticated Data value (clearTextEncapsulatedMessage in "aad") and JWE Authentication Tag ("tag").</w:t>
      </w:r>
    </w:p>
    <w:p>
      <w:pPr>
        <w:pStyle w:val="B1"/>
        <w:rPr>
          <w:iCs/>
        </w:rPr>
      </w:pPr>
      <w:r>
        <w:rPr/>
        <w:t>-</w:t>
        <w:tab/>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pPr>
        <w:pStyle w:val="B1"/>
        <w:rPr>
          <w:iCs/>
        </w:rPr>
      </w:pPr>
      <w:r>
        <w:rPr/>
        <w:t>-</w:t>
        <w:tab/>
        <w:t>The receiving SEPP refers to the NF API in clearTextEncapsulatedMessage with values in the dataToIntegrityProtectAndCipher array.</w:t>
      </w:r>
    </w:p>
    <w:p>
      <w:pPr>
        <w:pStyle w:val="B1"/>
        <w:rPr>
          <w:iCs/>
        </w:rPr>
      </w:pPr>
      <w:r>
        <w:rPr/>
        <w:t>-</w:t>
        <w:tab/>
        <w:t xml:space="preserve">The receiving SEPP shall next verify RI provider updates, if included, by verifying the JWS signatures added by the Roaming Intermediaries. The SEPP shall verify the JWS signature, using the corresponding raw public key or certificate that is contained in the Roaming Intermediary’s security information list obtained during parameter exchange in the related N32-c connection setup or, alternatively, has been configured for the particular peer SEPP. </w:t>
      </w:r>
    </w:p>
    <w:p>
      <w:pPr>
        <w:pStyle w:val="B1"/>
        <w:rPr>
          <w:iCs/>
        </w:rPr>
      </w:pPr>
      <w:r>
        <w:rPr/>
        <w:t>-</w:t>
        <w:tab/>
        <w:t xml:space="preserve">The receiving SEPP shall then check that the raw public key or certificate of the JWS signature RI's Identity in the modifiedDataToIntegrity block matches to the RI provider referred to in the "authorizedIPX ID" field added by the sending SEPP, based on the information given in the RI provider security information list. </w:t>
      </w:r>
    </w:p>
    <w:p>
      <w:pPr>
        <w:pStyle w:val="B1"/>
        <w:rPr>
          <w:iCs/>
        </w:rPr>
      </w:pPr>
      <w:r>
        <w:rPr/>
        <w:t>-</w:t>
        <w:tab/>
        <w:t xml:space="preserve">The receiving SEPP shall check whether the modifications performed by the Roaming Intermediaries, i.e. cRI and pRI, were permitted by the respective modification policies. </w:t>
      </w:r>
      <w:r>
        <w:rPr>
          <w:lang w:eastAsia="zh-CN"/>
        </w:rPr>
        <w:t>T</w:t>
      </w:r>
      <w:r>
        <w:rPr/>
        <w:t>he receiving SEPP shall use the modification policy of the cRI obtained during parameter exchange in the related N32-c connection setup, and use the modification policy of pRI configured within the receiving SEPP.</w:t>
      </w:r>
    </w:p>
    <w:p>
      <w:pPr>
        <w:pStyle w:val="B1"/>
        <w:rPr>
          <w:iCs/>
        </w:rPr>
      </w:pPr>
      <w:r>
        <w:rPr/>
        <w:t>-</w:t>
        <w:tab/>
        <w:t>If this is the case, the receiving SEPP shall apply the patches in the Operations field in order, perform plausibility checks, and create a new HTTP request according to the "patched" clearTextEncapsulatedMessage.</w:t>
      </w:r>
    </w:p>
    <w:p>
      <w:pPr>
        <w:pStyle w:val="B1"/>
        <w:rPr>
          <w:iCs/>
        </w:rPr>
      </w:pPr>
      <w:r>
        <w:rPr/>
        <w:t>-</w:t>
        <w:tab/>
        <w:t>The receiving SEPP shall verify that the PLMN-ID contained in the</w:t>
      </w:r>
      <w:ins w:id="34" w:author="Unknown Author" w:date="2025-01-31T16:15:00Z">
        <w:r>
          <w:rPr/>
          <w:t xml:space="preserve"> headers and JSON elements of the</w:t>
        </w:r>
      </w:ins>
      <w:r>
        <w:rPr/>
        <w:t xml:space="preserve"> incoming N32-f message</w:t>
      </w:r>
      <w:ins w:id="35" w:author="Unknown Author" w:date="2025-01-31T16:15:00Z">
        <w:r>
          <w:rPr/>
          <w:t>, if any,</w:t>
        </w:r>
      </w:ins>
      <w:r>
        <w:rPr/>
        <w:t xml:space="preserve"> matches the PLMN-ID in the related N32-f context.</w:t>
      </w:r>
      <w:ins w:id="36" w:author="Unknown Author" w:date="2025-01-31T16:15:00Z">
        <w:r>
          <w:rPr/>
          <w:t xml:space="preserve"> </w:t>
        </w:r>
      </w:ins>
      <w:r>
        <w:rPr/>
        <w:t xml:space="preserve">The receiving SEPP </w:t>
      </w:r>
      <w:del w:id="37" w:author="Unknown Author" w:date="2025-01-31T16:17:00Z">
        <w:r>
          <w:rPr/>
          <w:delText xml:space="preserve">may </w:delText>
        </w:r>
      </w:del>
      <w:ins w:id="38" w:author="Unknown Author" w:date="2025-01-31T16:17:00Z">
        <w:r>
          <w:rPr/>
          <w:t xml:space="preserve">should </w:t>
        </w:r>
      </w:ins>
      <w:r>
        <w:rPr/>
        <w:t xml:space="preserve">also verify that the PLMN-ID contained in the incoming N32-f message matches the </w:t>
      </w:r>
      <w:ins w:id="39" w:author="Unknown Author" w:date="2025-01-31T16:17:00Z">
        <w:r>
          <w:rPr/>
          <w:t xml:space="preserve">PLMN-ID </w:t>
        </w:r>
      </w:ins>
      <w:del w:id="40" w:author="Unknown Author" w:date="2025-01-31T16:17:00Z">
        <w:r>
          <w:rPr/>
          <w:delText xml:space="preserve">RI identifier </w:delText>
        </w:r>
      </w:del>
      <w:r>
        <w:rPr/>
        <w:t xml:space="preserve">in the trust anchor </w:t>
      </w:r>
      <w:ins w:id="41" w:author="Unknown Author" w:date="2025-01-31T16:17:00Z">
        <w:r>
          <w:rPr/>
          <w:t xml:space="preserve">selected during the setup of the </w:t>
        </w:r>
      </w:ins>
      <w:del w:id="42" w:author="Unknown Author" w:date="2025-01-31T16:17:00Z">
        <w:r>
          <w:rPr/>
          <w:delText xml:space="preserve">of </w:delText>
        </w:r>
      </w:del>
      <w:r>
        <w:rPr/>
        <w:t>TLS VPN</w:t>
      </w:r>
      <w:ins w:id="43" w:author="Unknown Author" w:date="2025-01-31T16:17:00Z">
        <w:r>
          <w:rPr/>
          <w:t>, if any</w:t>
        </w:r>
      </w:ins>
      <w:r>
        <w:rPr/>
        <w:t>. In case of a mismatch the SEPP should log the event.</w:t>
      </w:r>
    </w:p>
    <w:p>
      <w:pPr>
        <w:pStyle w:val="NO"/>
        <w:rPr>
          <w:iCs/>
        </w:rPr>
      </w:pPr>
      <w:r>
        <w:rPr/>
        <w:t>NOTE 1:</w:t>
        <w:tab/>
        <w:t xml:space="preserve">The above mismatch logging can be seen as an anomaly detection mechanism. It can both miss logging some anomalous events (false negatives) and log events that do not represent anomalies (false positives). False negatives occur, for example, when attack signalling carrying a particular PLMN-ID arrives over the TLS VPN or </w:t>
      </w:r>
      <w:del w:id="44" w:author="Unknown Author" w:date="2025-01-31T16:18:00Z">
        <w:r>
          <w:rPr/>
          <w:delText>DNS</w:delText>
        </w:r>
      </w:del>
      <w:ins w:id="45" w:author="Unknown Author" w:date="2025-01-31T16:18:00Z">
        <w:r>
          <w:rPr/>
          <w:t>NDS</w:t>
        </w:r>
      </w:ins>
      <w:r>
        <w:rPr/>
        <w:t>/IP connection that is indeed associated with that PLMN-ID (e.g. generated by a compromised SEPP or an attacker with a fraudulently issued certificate), and false positives occur if signalling for a given PLMN-ID that previously arrived over a particular TLS VPN or NDS/IP connection starts arriving over a different one without this representing an attack. Such a change could be, for example, a result of contractual changes between PLMNs and RIs that were not configured before coming into effect. Dealing with false negatives and false positives is subject to operator policy</w:t>
      </w:r>
      <w:ins w:id="46" w:author="Unknown Author" w:date="2025-01-31T16:19:00Z">
        <w:r>
          <w:rPr/>
          <w:t xml:space="preserve"> and outside 3GPP scope</w:t>
        </w:r>
      </w:ins>
      <w:r>
        <w:rPr/>
        <w:t xml:space="preserve">. </w:t>
      </w:r>
    </w:p>
    <w:p>
      <w:pPr>
        <w:pStyle w:val="Normal"/>
        <w:rPr>
          <w:iCs/>
        </w:rPr>
      </w:pPr>
      <w:r>
        <w:rPr/>
        <w:t>If the received message is an error message generated by a Roaming Hub:</w:t>
      </w:r>
    </w:p>
    <w:p>
      <w:pPr>
        <w:pStyle w:val="B1"/>
        <w:rPr>
          <w:iCs/>
        </w:rPr>
      </w:pPr>
      <w:r>
        <w:rPr/>
        <w:t>-</w:t>
        <w:tab/>
        <w:t>The receiving SEPP shall check that the raw public key or certificate of the JWS signature RI's identity in the modifiedDataToIntegrityProtect block matches the adjacent Roaming Hub identity.</w:t>
      </w:r>
    </w:p>
    <w:p>
      <w:pPr>
        <w:pStyle w:val="B1"/>
        <w:rPr>
          <w:iCs/>
        </w:rPr>
      </w:pPr>
      <w:r>
        <w:rPr/>
        <w:t>-</w:t>
        <w:tab/>
        <w:t>The receiving SEPP dertermines the message in which the error occurred, based on the N32-f message ID.</w:t>
      </w:r>
    </w:p>
    <w:p>
      <w:pPr>
        <w:pStyle w:val="B1"/>
        <w:rPr>
          <w:iCs/>
        </w:rPr>
      </w:pPr>
      <w:r>
        <w:rPr/>
        <w:t>-</w:t>
        <w:tab/>
        <w:t>If the receiving SEPP determines from the error message that the Roaming Hub requires a modified request message, it can modify if allowed by the MNO's policy, and can resend the modified request message.</w:t>
      </w:r>
    </w:p>
    <w:p>
      <w:pPr>
        <w:pStyle w:val="B1"/>
        <w:rPr>
          <w:iCs/>
        </w:rPr>
      </w:pPr>
      <w:r>
        <w:rPr>
          <w:iCs/>
        </w:rPr>
      </w:r>
    </w:p>
    <w:p>
      <w:pPr>
        <w:pStyle w:val="NO"/>
        <w:spacing w:before="0" w:after="180"/>
        <w:rPr>
          <w:b/>
          <w:b/>
          <w:bCs/>
          <w:color w:val="C9211E"/>
        </w:rPr>
      </w:pPr>
      <w:r>
        <w:rPr>
          <w:b/>
          <w:bCs/>
          <w:color w:val="C9211E"/>
        </w:rPr>
        <w:t>*************************** END OF CHANGES ************************************</w:t>
      </w:r>
    </w:p>
    <w:sectPr>
      <w:headerReference w:type="default" r:id="rId4"/>
      <w:type w:val="nextPage"/>
      <w:pgSz w:w="11906" w:h="16838"/>
      <w:pgMar w:left="1134" w:right="1134" w:header="680" w:top="1418" w:footer="0" w:bottom="1134" w:gutter="0"/>
      <w:pgNumType w:fmt="decimal"/>
      <w:formProt w:val="false"/>
      <w:textDirection w:val="lrTb"/>
      <w:docGrid w:type="default" w:linePitch="100" w:charSpace="24576"/>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John MEREDITH" w:date="2020-02-03T09:35:00Z" w:initials="JMM">
    <w:p>
      <w:r>
        <w:rPr>
          <w:rFonts w:ascii="Liberation Serif" w:hAnsi="Liberation Serif" w:eastAsia="Segoe UI" w:cs="Tahoma"/>
          <w:sz w:val="24"/>
          <w:szCs w:val="24"/>
          <w:lang w:eastAsia="en-US" w:val="en-US" w:bidi="en-US"/>
        </w:rPr>
        <w:t>Format yyyy-MM-dd.</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lear" w:pos="284"/>
        <w:tab w:val="right" w:pos="9639" w:leader="none"/>
      </w:tabs>
      <w:rPr/>
    </w:pPr>
    <w:r>
      <w:rPr/>
      <w:tab/>
    </w:r>
  </w:p>
</w:hdr>
</file>

<file path=word/settings.xml><?xml version="1.0" encoding="utf-8"?>
<w:settings xmlns:w="http://schemas.openxmlformats.org/wordprocessingml/2006/main">
  <w:zoom w:percent="180"/>
  <w:embedSystemFonts/>
  <w:defaultTabStop w:val="284"/>
  <w:autoHyphenation w:val="true"/>
  <w:doNotHyphenateCap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宋体"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sid w:val="000b7fed"/>
    <w:rPr>
      <w:b/>
      <w:sz w:val="16"/>
      <w:vertAlign w:val="superscript"/>
    </w:rPr>
  </w:style>
  <w:style w:type="character" w:styleId="FootnoteCharacters1" w:customStyle="1">
    <w:name w:val="Footnote Characters1"/>
    <w:qFormat/>
    <w:rPr>
      <w:b/>
      <w:sz w:val="16"/>
      <w:vertAlign w:val="superscript"/>
    </w:rPr>
  </w:style>
  <w:style w:type="character" w:styleId="FootnoteAnchor" w:customStyle="1">
    <w:name w:val="Footnote Anchor"/>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Style5" w:customStyle="1">
    <w:name w:val="页眉 字符"/>
    <w:qFormat/>
    <w:rsid w:val="004a52c6"/>
    <w:rPr>
      <w:rFonts w:ascii="Arial" w:hAnsi="Arial"/>
      <w:b/>
      <w:sz w:val="18"/>
      <w:lang w:val="en-GB" w:eastAsia="en-US"/>
    </w:rPr>
  </w:style>
  <w:style w:type="character" w:styleId="Style6" w:customStyle="1">
    <w:name w:val="正文文本 字符"/>
    <w:basedOn w:val="DefaultParagraphFont"/>
    <w:semiHidden/>
    <w:qFormat/>
    <w:rsid w:val="00887da0"/>
    <w:rPr>
      <w:rFonts w:ascii="Times New Roman" w:hAnsi="Times New Roman"/>
      <w:lang w:val="en-GB" w:eastAsia="en-US"/>
    </w:rPr>
  </w:style>
  <w:style w:type="character" w:styleId="2" w:customStyle="1">
    <w:name w:val="正文文本 2 字符"/>
    <w:basedOn w:val="DefaultParagraphFont"/>
    <w:link w:val="21"/>
    <w:semiHidden/>
    <w:qFormat/>
    <w:rsid w:val="00887da0"/>
    <w:rPr>
      <w:rFonts w:ascii="Times New Roman" w:hAnsi="Times New Roman"/>
      <w:lang w:val="en-GB" w:eastAsia="en-US"/>
    </w:rPr>
  </w:style>
  <w:style w:type="character" w:styleId="3" w:customStyle="1">
    <w:name w:val="正文文本 3 字符"/>
    <w:basedOn w:val="DefaultParagraphFont"/>
    <w:link w:val="31"/>
    <w:semiHidden/>
    <w:qFormat/>
    <w:rsid w:val="00887da0"/>
    <w:rPr>
      <w:rFonts w:ascii="Times New Roman" w:hAnsi="Times New Roman"/>
      <w:sz w:val="16"/>
      <w:szCs w:val="16"/>
      <w:lang w:val="en-GB" w:eastAsia="en-US"/>
    </w:rPr>
  </w:style>
  <w:style w:type="character" w:styleId="BodyTextFirstIndentChar" w:customStyle="1">
    <w:name w:val="Body Text First Indent Char"/>
    <w:basedOn w:val="Style6"/>
    <w:qFormat/>
    <w:rsid w:val="00887da0"/>
    <w:rPr>
      <w:rFonts w:ascii="Times New Roman" w:hAnsi="Times New Roman"/>
      <w:lang w:val="en-GB" w:eastAsia="en-US"/>
    </w:rPr>
  </w:style>
  <w:style w:type="character" w:styleId="Style7" w:customStyle="1">
    <w:name w:val="正文文本缩进 字符"/>
    <w:basedOn w:val="DefaultParagraphFont"/>
    <w:semiHidden/>
    <w:qFormat/>
    <w:rsid w:val="00887da0"/>
    <w:rPr>
      <w:rFonts w:ascii="Times New Roman" w:hAnsi="Times New Roman"/>
      <w:lang w:val="en-GB" w:eastAsia="en-US"/>
    </w:rPr>
  </w:style>
  <w:style w:type="character" w:styleId="21" w:customStyle="1">
    <w:name w:val="正文文本首行缩进 2 字符"/>
    <w:basedOn w:val="Style7"/>
    <w:link w:val="20"/>
    <w:semiHidden/>
    <w:qFormat/>
    <w:rsid w:val="00887da0"/>
    <w:rPr>
      <w:rFonts w:ascii="Times New Roman" w:hAnsi="Times New Roman"/>
      <w:lang w:val="en-GB" w:eastAsia="en-US"/>
    </w:rPr>
  </w:style>
  <w:style w:type="character" w:styleId="211" w:customStyle="1">
    <w:name w:val="正文文本首行缩进 2 字符1"/>
    <w:basedOn w:val="DefaultParagraphFont"/>
    <w:link w:val="22"/>
    <w:semiHidden/>
    <w:qFormat/>
    <w:rsid w:val="00887da0"/>
    <w:rPr>
      <w:rFonts w:ascii="Times New Roman" w:hAnsi="Times New Roman"/>
      <w:lang w:val="en-GB" w:eastAsia="en-US"/>
    </w:rPr>
  </w:style>
  <w:style w:type="character" w:styleId="31" w:customStyle="1">
    <w:name w:val="正文文本缩进 3 字符"/>
    <w:basedOn w:val="DefaultParagraphFont"/>
    <w:link w:val="30"/>
    <w:semiHidden/>
    <w:qFormat/>
    <w:rsid w:val="00887da0"/>
    <w:rPr>
      <w:rFonts w:ascii="Times New Roman" w:hAnsi="Times New Roman"/>
      <w:sz w:val="16"/>
      <w:szCs w:val="16"/>
      <w:lang w:val="en-GB" w:eastAsia="en-US"/>
    </w:rPr>
  </w:style>
  <w:style w:type="character" w:styleId="Style8" w:customStyle="1">
    <w:name w:val="结束语 字符"/>
    <w:basedOn w:val="DefaultParagraphFont"/>
    <w:semiHidden/>
    <w:qFormat/>
    <w:rsid w:val="00887da0"/>
    <w:rPr>
      <w:rFonts w:ascii="Times New Roman" w:hAnsi="Times New Roman"/>
      <w:lang w:val="en-GB" w:eastAsia="en-US"/>
    </w:rPr>
  </w:style>
  <w:style w:type="character" w:styleId="Style9" w:customStyle="1">
    <w:name w:val="日期 字符"/>
    <w:basedOn w:val="DefaultParagraphFont"/>
    <w:qFormat/>
    <w:rsid w:val="00887da0"/>
    <w:rPr>
      <w:rFonts w:ascii="Times New Roman" w:hAnsi="Times New Roman"/>
      <w:lang w:val="en-GB" w:eastAsia="en-US"/>
    </w:rPr>
  </w:style>
  <w:style w:type="character" w:styleId="EmailSignatureChar" w:customStyle="1">
    <w:name w:val="E-mail Signature Char"/>
    <w:basedOn w:val="DefaultParagraphFont"/>
    <w:semiHidden/>
    <w:qFormat/>
    <w:rsid w:val="00887da0"/>
    <w:rPr>
      <w:rFonts w:ascii="Times New Roman" w:hAnsi="Times New Roman"/>
      <w:lang w:val="en-GB" w:eastAsia="en-US"/>
    </w:rPr>
  </w:style>
  <w:style w:type="character" w:styleId="Style10" w:customStyle="1">
    <w:name w:val="尾注文本 字符"/>
    <w:basedOn w:val="DefaultParagraphFont"/>
    <w:semiHidden/>
    <w:qFormat/>
    <w:rsid w:val="00887da0"/>
    <w:rPr>
      <w:rFonts w:ascii="Times New Roman" w:hAnsi="Times New Roman"/>
      <w:lang w:val="en-GB" w:eastAsia="en-US"/>
    </w:rPr>
  </w:style>
  <w:style w:type="character" w:styleId="HTML" w:customStyle="1">
    <w:name w:val="HTML 地址 字符"/>
    <w:basedOn w:val="DefaultParagraphFont"/>
    <w:link w:val="HTML0"/>
    <w:semiHidden/>
    <w:qFormat/>
    <w:rsid w:val="00887da0"/>
    <w:rPr>
      <w:rFonts w:ascii="Times New Roman" w:hAnsi="Times New Roman"/>
      <w:i/>
      <w:iCs/>
      <w:lang w:val="en-GB" w:eastAsia="en-US"/>
    </w:rPr>
  </w:style>
  <w:style w:type="character" w:styleId="HTML1" w:customStyle="1">
    <w:name w:val="HTML 预设格式 字符"/>
    <w:basedOn w:val="DefaultParagraphFont"/>
    <w:link w:val="HTML2"/>
    <w:semiHidden/>
    <w:qFormat/>
    <w:rsid w:val="00887da0"/>
    <w:rPr>
      <w:rFonts w:ascii="Consolas" w:hAnsi="Consolas"/>
      <w:lang w:val="en-GB" w:eastAsia="en-US"/>
    </w:rPr>
  </w:style>
  <w:style w:type="character" w:styleId="Style11" w:customStyle="1">
    <w:name w:val="明显引用 字符"/>
    <w:basedOn w:val="DefaultParagraphFont"/>
    <w:uiPriority w:val="30"/>
    <w:qFormat/>
    <w:rsid w:val="00887da0"/>
    <w:rPr>
      <w:rFonts w:ascii="Times New Roman" w:hAnsi="Times New Roman"/>
      <w:i/>
      <w:iCs/>
      <w:color w:val="4F81BD" w:themeColor="accent1"/>
      <w:lang w:val="en-GB" w:eastAsia="en-US"/>
    </w:rPr>
  </w:style>
  <w:style w:type="character" w:styleId="Style12" w:customStyle="1">
    <w:name w:val="宏文本 字符"/>
    <w:basedOn w:val="DefaultParagraphFont"/>
    <w:semiHidden/>
    <w:qFormat/>
    <w:rsid w:val="00887da0"/>
    <w:rPr>
      <w:rFonts w:ascii="Consolas" w:hAnsi="Consolas"/>
      <w:lang w:val="en-GB" w:eastAsia="en-US"/>
    </w:rPr>
  </w:style>
  <w:style w:type="character" w:styleId="Style13" w:customStyle="1">
    <w:name w:val="信息标题 字符"/>
    <w:basedOn w:val="DefaultParagraphFont"/>
    <w:semiHidden/>
    <w:qFormat/>
    <w:rsid w:val="00887da0"/>
    <w:rPr>
      <w:rFonts w:ascii="Cambria" w:hAnsi="Cambria" w:eastAsia="黑体" w:cs="" w:asciiTheme="majorHAnsi" w:cstheme="majorBidi" w:eastAsiaTheme="majorEastAsia" w:hAnsiTheme="majorHAnsi"/>
      <w:sz w:val="24"/>
      <w:szCs w:val="24"/>
      <w:shd w:fill="CCCCCC" w:val="clear"/>
      <w:lang w:val="en-GB" w:eastAsia="en-US"/>
    </w:rPr>
  </w:style>
  <w:style w:type="character" w:styleId="Style14" w:customStyle="1">
    <w:name w:val="注释标题 字符"/>
    <w:basedOn w:val="DefaultParagraphFont"/>
    <w:semiHidden/>
    <w:qFormat/>
    <w:rsid w:val="00887da0"/>
    <w:rPr>
      <w:rFonts w:ascii="Times New Roman" w:hAnsi="Times New Roman"/>
      <w:lang w:val="en-GB" w:eastAsia="en-US"/>
    </w:rPr>
  </w:style>
  <w:style w:type="character" w:styleId="Style15" w:customStyle="1">
    <w:name w:val="纯文本 字符"/>
    <w:basedOn w:val="DefaultParagraphFont"/>
    <w:semiHidden/>
    <w:qFormat/>
    <w:rsid w:val="00887da0"/>
    <w:rPr>
      <w:rFonts w:ascii="Consolas" w:hAnsi="Consolas"/>
      <w:sz w:val="21"/>
      <w:szCs w:val="21"/>
      <w:lang w:val="en-GB" w:eastAsia="en-US"/>
    </w:rPr>
  </w:style>
  <w:style w:type="character" w:styleId="Style16" w:customStyle="1">
    <w:name w:val="引用 字符"/>
    <w:basedOn w:val="DefaultParagraphFont"/>
    <w:uiPriority w:val="29"/>
    <w:qFormat/>
    <w:rsid w:val="00887da0"/>
    <w:rPr>
      <w:rFonts w:ascii="Times New Roman" w:hAnsi="Times New Roman"/>
      <w:i/>
      <w:iCs/>
      <w:color w:val="404040" w:themeColor="text1" w:themeTint="bf"/>
      <w:lang w:val="en-GB" w:eastAsia="en-US"/>
    </w:rPr>
  </w:style>
  <w:style w:type="character" w:styleId="Style17" w:customStyle="1">
    <w:name w:val="称呼 字符"/>
    <w:basedOn w:val="DefaultParagraphFont"/>
    <w:qFormat/>
    <w:rsid w:val="00887da0"/>
    <w:rPr>
      <w:rFonts w:ascii="Times New Roman" w:hAnsi="Times New Roman"/>
      <w:lang w:val="en-GB" w:eastAsia="en-US"/>
    </w:rPr>
  </w:style>
  <w:style w:type="character" w:styleId="Style18" w:customStyle="1">
    <w:name w:val="签名 字符"/>
    <w:basedOn w:val="DefaultParagraphFont"/>
    <w:semiHidden/>
    <w:qFormat/>
    <w:rsid w:val="00887da0"/>
    <w:rPr>
      <w:rFonts w:ascii="Times New Roman" w:hAnsi="Times New Roman"/>
      <w:lang w:val="en-GB" w:eastAsia="en-US"/>
    </w:rPr>
  </w:style>
  <w:style w:type="character" w:styleId="Style19" w:customStyle="1">
    <w:name w:val="副标题 字符"/>
    <w:basedOn w:val="DefaultParagraphFont"/>
    <w:qFormat/>
    <w:rsid w:val="00887da0"/>
    <w:rPr>
      <w:rFonts w:ascii="Calibri" w:hAnsi="Calibri" w:eastAsia="宋体" w:cs="" w:asciiTheme="minorHAnsi" w:cstheme="minorBidi" w:eastAsiaTheme="minorEastAsia" w:hAnsiTheme="minorHAnsi"/>
      <w:color w:val="5A5A5A" w:themeColor="text1" w:themeTint="a5"/>
      <w:spacing w:val="15"/>
      <w:sz w:val="22"/>
      <w:szCs w:val="22"/>
      <w:lang w:val="en-GB" w:eastAsia="en-US"/>
    </w:rPr>
  </w:style>
  <w:style w:type="character" w:styleId="Style20" w:customStyle="1">
    <w:name w:val="标题 字符"/>
    <w:basedOn w:val="DefaultParagraphFont"/>
    <w:qFormat/>
    <w:rsid w:val="00887da0"/>
    <w:rPr>
      <w:rFonts w:ascii="Cambria" w:hAnsi="Cambria" w:eastAsia="黑体" w:cs="" w:asciiTheme="majorHAnsi" w:cstheme="majorBidi" w:eastAsiaTheme="majorEastAsia" w:hAnsiTheme="majorHAnsi"/>
      <w:spacing w:val="-10"/>
      <w:kern w:val="2"/>
      <w:sz w:val="56"/>
      <w:szCs w:val="56"/>
      <w:lang w:val="en-GB" w:eastAsia="en-US"/>
    </w:rPr>
  </w:style>
  <w:style w:type="character" w:styleId="LineNumbering" w:customStyle="1">
    <w:name w:val="Line Numbering"/>
    <w:rPr/>
  </w:style>
  <w:style w:type="paragraph" w:styleId="Heading" w:customStyle="1">
    <w:name w:val="Heading"/>
    <w:basedOn w:val="Normal"/>
    <w:next w:val="TextBody"/>
    <w:qFormat/>
    <w:pPr>
      <w:keepNext w:val="true"/>
      <w:spacing w:before="240" w:after="120"/>
    </w:pPr>
    <w:rPr>
      <w:rFonts w:ascii="Liberation Sans" w:hAnsi="Liberation Sans" w:eastAsia="微软雅黑" w:cs="Lucida Sans"/>
      <w:sz w:val="28"/>
      <w:szCs w:val="28"/>
    </w:rPr>
  </w:style>
  <w:style w:type="paragraph" w:styleId="TextBody">
    <w:name w:val="Body Text"/>
    <w:basedOn w:val="Normal"/>
    <w:semiHidden/>
    <w:unhideWhenUsed/>
    <w:rsid w:val="00887da0"/>
    <w:pPr>
      <w:spacing w:before="0" w:after="12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ucida Sans"/>
    </w:rPr>
  </w:style>
  <w:style w:type="paragraph" w:styleId="Caption1">
    <w:name w:val="caption"/>
    <w:basedOn w:val="Normal"/>
    <w:next w:val="Normal"/>
    <w:semiHidden/>
    <w:unhideWhenUsed/>
    <w:qFormat/>
    <w:rsid w:val="00887da0"/>
    <w:pPr>
      <w:spacing w:before="0" w:after="200"/>
    </w:pPr>
    <w:rPr>
      <w:i/>
      <w:iCs/>
      <w:color w:val="1F497D" w:themeColor="text2"/>
      <w:sz w:val="18"/>
      <w:szCs w:val="18"/>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rPr/>
  </w:style>
  <w:style w:type="paragraph" w:styleId="ListNumber2">
    <w:name w:val="List Number 2"/>
    <w:basedOn w:val="ListNumber"/>
    <w:qFormat/>
    <w:rsid w:val="000b7fed"/>
    <w:pPr>
      <w:ind w:left="851" w:hanging="0"/>
    </w:pPr>
    <w:rPr/>
  </w:style>
  <w:style w:type="paragraph" w:styleId="ListNumber">
    <w:name w:val="List Number"/>
    <w:basedOn w:val="ListBullet5"/>
    <w:qFormat/>
    <w:rsid w:val="000b7fed"/>
    <w:pPr/>
    <w:rPr/>
  </w:style>
  <w:style w:type="paragraph" w:styleId="HeaderandFooter" w:customStyle="1">
    <w:name w:val="Header and Footer"/>
    <w:basedOn w:val="Normal"/>
    <w:qFormat/>
    <w:pPr/>
    <w:rPr/>
  </w:style>
  <w:style w:type="paragraph" w:styleId="Header">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
    <w:name w:val="List Bullet"/>
    <w:basedOn w:val="List"/>
    <w:qFormat/>
    <w:rsid w:val="000b7fed"/>
    <w:pPr/>
    <w:rPr/>
  </w:style>
  <w:style w:type="paragraph" w:styleId="ListBullet3">
    <w:name w:val="List Bullet 3"/>
    <w:basedOn w:val="List"/>
    <w:qFormat/>
    <w:rsid w:val="000b7fed"/>
    <w:pPr>
      <w:ind w:left="851"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B1" w:customStyle="1">
    <w:name w:val="B1"/>
    <w:basedOn w:val="List"/>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宋体" w:cs="" w:asciiTheme="minorHAnsi" w:cstheme="minorBidi" w:eastAsiaTheme="minorEastAsia" w:hAnsiTheme="minorHAnsi"/>
      <w:i/>
      <w:iCs/>
      <w:color w:val="4F81BD" w:themeColor="accent1"/>
    </w:rPr>
  </w:style>
  <w:style w:type="paragraph" w:styleId="BodyText2">
    <w:name w:val="Body Text 2"/>
    <w:basedOn w:val="Normal"/>
    <w:semiHidden/>
    <w:unhideWhenUsed/>
    <w:qFormat/>
    <w:rsid w:val="00887da0"/>
    <w:pPr>
      <w:spacing w:lineRule="auto" w:line="480" w:before="0" w:after="120"/>
    </w:pPr>
    <w:rPr/>
  </w:style>
  <w:style w:type="paragraph" w:styleId="BodyText3">
    <w:name w:val="Body Text 3"/>
    <w:basedOn w:val="Normal"/>
    <w:semiHidden/>
    <w:unhideWhenUsed/>
    <w:qFormat/>
    <w:rsid w:val="00887da0"/>
    <w:pPr>
      <w:spacing w:before="0" w:after="120"/>
    </w:pPr>
    <w:rPr>
      <w:sz w:val="16"/>
      <w:szCs w:val="16"/>
    </w:rPr>
  </w:style>
  <w:style w:type="paragraph" w:styleId="TextBodyIndent">
    <w:name w:val="Body Text Indent"/>
    <w:basedOn w:val="Normal"/>
    <w:semiHidden/>
    <w:unhideWhenUsed/>
    <w:rsid w:val="00887da0"/>
    <w:pPr>
      <w:spacing w:before="0" w:after="120"/>
      <w:ind w:left="283" w:hanging="0"/>
    </w:pPr>
    <w:rPr/>
  </w:style>
  <w:style w:type="paragraph" w:styleId="BodyTextFirstIndent2">
    <w:name w:val="Body Text First Indent 2"/>
    <w:basedOn w:val="TextBodyIndent"/>
    <w:link w:val="210"/>
    <w:semiHidden/>
    <w:unhideWhenUsed/>
    <w:qFormat/>
    <w:rsid w:val="00887da0"/>
    <w:pPr>
      <w:spacing w:before="0" w:after="180"/>
      <w:ind w:left="360" w:firstLine="360"/>
    </w:pPr>
    <w:rPr/>
  </w:style>
  <w:style w:type="paragraph" w:styleId="BodyTextIndent2">
    <w:name w:val="Body Text Indent 2"/>
    <w:basedOn w:val="Normal"/>
    <w:semiHidden/>
    <w:unhideWhenUsed/>
    <w:qFormat/>
    <w:rsid w:val="00887da0"/>
    <w:pPr>
      <w:spacing w:lineRule="auto" w:line="480" w:before="0" w:after="120"/>
      <w:ind w:left="283" w:hanging="0"/>
    </w:pPr>
    <w:rPr/>
  </w:style>
  <w:style w:type="paragraph" w:styleId="BodyTextIndent3">
    <w:name w:val="Body Text Indent 3"/>
    <w:basedOn w:val="Normal"/>
    <w:semiHidden/>
    <w:unhideWhenUsed/>
    <w:qFormat/>
    <w:rsid w:val="00887da0"/>
    <w:pPr>
      <w:spacing w:before="0" w:after="120"/>
      <w:ind w:left="283" w:hanging="0"/>
    </w:pPr>
    <w:rPr>
      <w:sz w:val="16"/>
      <w:szCs w:val="16"/>
    </w:rPr>
  </w:style>
  <w:style w:type="paragraph" w:styleId="Closing">
    <w:name w:val="Closing"/>
    <w:basedOn w:val="Normal"/>
    <w:semiHidden/>
    <w:unhideWhenUsed/>
    <w:qFormat/>
    <w:rsid w:val="00887da0"/>
    <w:pPr>
      <w:spacing w:before="0" w:after="0"/>
      <w:ind w:left="4252" w:hanging="0"/>
    </w:pPr>
    <w:rPr/>
  </w:style>
  <w:style w:type="paragraph" w:styleId="Date">
    <w:name w:val="Date"/>
    <w:basedOn w:val="Normal"/>
    <w:next w:val="Normal"/>
    <w:qFormat/>
    <w:rsid w:val="00887da0"/>
    <w:pPr/>
    <w:rPr/>
  </w:style>
  <w:style w:type="paragraph" w:styleId="EmailSignature">
    <w:name w:val="E-mail Signature"/>
    <w:basedOn w:val="Normal"/>
    <w:semiHidden/>
    <w:unhideWhenUsed/>
    <w:qFormat/>
    <w:rsid w:val="00887da0"/>
    <w:pPr>
      <w:spacing w:before="0" w:after="0"/>
    </w:pPr>
    <w:rPr/>
  </w:style>
  <w:style w:type="paragraph" w:styleId="Endnote">
    <w:name w:val="Endnote Text"/>
    <w:basedOn w:val="Normal"/>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黑体" w:cs=""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黑体" w:cs="" w:asciiTheme="majorHAnsi" w:cstheme="majorBidi" w:eastAsiaTheme="majorEastAsia" w:hAnsiTheme="majorHAnsi"/>
    </w:rPr>
  </w:style>
  <w:style w:type="paragraph" w:styleId="HTMLAddress">
    <w:name w:val="HTML Address"/>
    <w:basedOn w:val="Normal"/>
    <w:link w:val="HTML"/>
    <w:semiHidden/>
    <w:unhideWhenUsed/>
    <w:qFormat/>
    <w:rsid w:val="00887da0"/>
    <w:pPr>
      <w:spacing w:before="0" w:after="0"/>
    </w:pPr>
    <w:rPr>
      <w:i/>
      <w:iCs/>
    </w:rPr>
  </w:style>
  <w:style w:type="paragraph" w:styleId="HTMLPreformatted">
    <w:name w:val="HTML Preformatted"/>
    <w:basedOn w:val="Normal"/>
    <w:link w:val="HTML1"/>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Heading"/>
    <w:next w:val="Index1"/>
    <w:semiHidden/>
    <w:unhideWhenUsed/>
    <w:qFormat/>
    <w:rsid w:val="00887da0"/>
    <w:pPr/>
    <w:rPr/>
  </w:style>
  <w:style w:type="paragraph" w:styleId="IntenseQuote">
    <w:name w:val="Intense Quote"/>
    <w:basedOn w:val="Normal"/>
    <w:next w:val="Normal"/>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spacing w:before="0" w:after="180"/>
      <w:contextualSpacing/>
    </w:pPr>
    <w:rPr/>
  </w:style>
  <w:style w:type="paragraph" w:styleId="ListNumber4">
    <w:name w:val="List Number 4"/>
    <w:basedOn w:val="Normal"/>
    <w:semiHidden/>
    <w:unhideWhenUsed/>
    <w:qFormat/>
    <w:rsid w:val="00887da0"/>
    <w:pPr>
      <w:spacing w:before="0" w:after="180"/>
      <w:contextualSpacing/>
    </w:pPr>
    <w:rPr/>
  </w:style>
  <w:style w:type="paragraph" w:styleId="ListNumber5">
    <w:name w:val="List Number 5"/>
    <w:basedOn w:val="Normal"/>
    <w:semiHidden/>
    <w:unhideWhenUsed/>
    <w:qFormat/>
    <w:rsid w:val="00887da0"/>
    <w:p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黑体" w:cs=""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semiHidden/>
    <w:unhideWhenUsed/>
    <w:qFormat/>
    <w:rsid w:val="00887da0"/>
    <w:pPr>
      <w:spacing w:before="0" w:after="0"/>
    </w:pPr>
    <w:rPr/>
  </w:style>
  <w:style w:type="paragraph" w:styleId="PlainText">
    <w:name w:val="Plain Text"/>
    <w:basedOn w:val="Normal"/>
    <w:semiHidden/>
    <w:unhideWhenUsed/>
    <w:qFormat/>
    <w:rsid w:val="00887da0"/>
    <w:pPr>
      <w:spacing w:before="0" w:after="0"/>
    </w:pPr>
    <w:rPr>
      <w:rFonts w:ascii="Consolas" w:hAnsi="Consolas"/>
      <w:sz w:val="21"/>
      <w:szCs w:val="21"/>
    </w:rPr>
  </w:style>
  <w:style w:type="paragraph" w:styleId="Quote">
    <w:name w:val="Quote"/>
    <w:basedOn w:val="Normal"/>
    <w:next w:val="Normal"/>
    <w:uiPriority w:val="29"/>
    <w:qFormat/>
    <w:rsid w:val="00887da0"/>
    <w:pPr>
      <w:spacing w:before="200" w:after="160"/>
      <w:ind w:left="864" w:right="864" w:hanging="0"/>
      <w:jc w:val="center"/>
    </w:pPr>
    <w:rPr>
      <w:i/>
      <w:iCs/>
      <w:color w:val="404040" w:themeColor="text1" w:themeTint="bf"/>
    </w:rPr>
  </w:style>
  <w:style w:type="paragraph" w:styleId="ComplimentaryClose">
    <w:name w:val="Salutation"/>
    <w:basedOn w:val="Normal"/>
    <w:next w:val="Normal"/>
    <w:rsid w:val="00887da0"/>
    <w:pPr/>
    <w:rPr/>
  </w:style>
  <w:style w:type="paragraph" w:styleId="Signature">
    <w:name w:val="Signature"/>
    <w:basedOn w:val="Normal"/>
    <w:semiHidden/>
    <w:unhideWhenUsed/>
    <w:rsid w:val="00887da0"/>
    <w:pPr>
      <w:spacing w:before="0" w:after="0"/>
      <w:ind w:left="4252" w:hanging="0"/>
    </w:pPr>
    <w:rPr/>
  </w:style>
  <w:style w:type="paragraph" w:styleId="Subtitle">
    <w:name w:val="Subtitle"/>
    <w:basedOn w:val="Normal"/>
    <w:next w:val="Normal"/>
    <w:qFormat/>
    <w:rsid w:val="00887da0"/>
    <w:pPr>
      <w:spacing w:before="0" w:after="160"/>
    </w:pPr>
    <w:rPr>
      <w:rFonts w:ascii="Calibri" w:hAnsi="Calibri" w:eastAsia="宋体" w:cs=""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qFormat/>
    <w:rsid w:val="00887da0"/>
    <w:pPr>
      <w:spacing w:before="0" w:after="0"/>
      <w:contextualSpacing/>
    </w:pPr>
    <w:rPr>
      <w:rFonts w:ascii="Cambria" w:hAnsi="Cambria" w:eastAsia="黑体" w:cs=""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黑体" w:cs=""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887da0"/>
    <w:pPr>
      <w:pBdr>
        <w:top w:val="nil"/>
      </w:pBdr>
      <w:spacing w:before="240" w:after="0"/>
      <w:ind w:left="0" w:hanging="0"/>
    </w:pPr>
    <w:rPr>
      <w:rFonts w:ascii="Cambria" w:hAnsi="Cambria" w:eastAsia="黑体" w:cs="" w:asciiTheme="majorHAnsi" w:cstheme="majorBidi" w:eastAsiaTheme="majorEastAsia" w:hAnsiTheme="majorHAnsi"/>
      <w:color w:val="365F91" w:themeColor="accent1" w:themeShade="bf"/>
      <w:sz w:val="32"/>
      <w:szCs w:val="32"/>
    </w:rPr>
  </w:style>
  <w:style w:type="paragraph" w:styleId="NotDone" w:customStyle="1">
    <w:name w:val="Not Done"/>
    <w:basedOn w:val="Normal"/>
    <w:qFormat/>
    <w:rsid w:val="00921737"/>
    <w:pPr>
      <w:keepNext w:val="true"/>
      <w:keepLines/>
      <w:widowControl w:val="false"/>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spacing w:before="60" w:after="60"/>
      <w:jc w:val="both"/>
      <w:textAlignment w:val="baseline"/>
    </w:pPr>
    <w:rPr>
      <w:rFonts w:ascii="Arial" w:hAnsi="Arial"/>
      <w:b/>
      <w:color w:val="FF0000"/>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comments" Target="comment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majorFont>
      <a:minorFont>
        <a:latin typeface="Calibri"/>
        <a:ea typeface="宋体"/>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Application>LibreOffice/6.4.7.2$Linux_X86_64 LibreOffice_project/40$Build-2</Application>
  <Pages>4</Pages>
  <Words>1818</Words>
  <Characters>9811</Characters>
  <CharactersWithSpaces>11572</CharactersWithSpaces>
  <Paragraphs>101</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en-US</dc:language>
  <cp:lastModifiedBy/>
  <cp:lastPrinted>1899-12-31T23:00:00Z</cp:lastPrinted>
  <dcterms:modified xsi:type="dcterms:W3CDTF">2025-02-19T15:47:38Z</dcterms:modified>
  <cp:revision>48</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0</vt:bool>
  </property>
  <property fmtid="{D5CDD505-2E9C-101B-9397-08002B2CF9AE}" pid="11" name="LinksUpToDate">
    <vt:bool>0</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0</vt:bool>
  </property>
  <property fmtid="{D5CDD505-2E9C-101B-9397-08002B2CF9AE}" pid="20" name="ShareDoc">
    <vt:bool>0</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