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E83C59">
        <w:rPr>
          <w:rFonts w:ascii="Arial" w:hAnsi="Arial" w:cs="Arial"/>
          <w:b/>
        </w:rPr>
        <w:t>1199</w:t>
      </w:r>
      <w:bookmarkStart w:id="0" w:name="_GoBack"/>
      <w:bookmarkEnd w:id="0"/>
    </w:p>
    <w:p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rsidR="00A5272F" w:rsidRPr="00CF68B7" w:rsidRDefault="00A5272F" w:rsidP="00A5272F">
      <w:pPr>
        <w:rPr>
          <w:rFonts w:ascii="Arial" w:hAnsi="Arial"/>
        </w:rPr>
      </w:pP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BA57C2">
        <w:rPr>
          <w:rFonts w:ascii="Arial" w:eastAsia="SimSun" w:hAnsi="Arial"/>
          <w:lang w:eastAsia="en-GB"/>
        </w:rPr>
        <w:t>MINT and CAG</w:t>
      </w:r>
    </w:p>
    <w:p w:rsidR="00A5272F" w:rsidRPr="0093376D" w:rsidRDefault="00A5272F" w:rsidP="00A5272F">
      <w:pPr>
        <w:tabs>
          <w:tab w:val="left" w:pos="1701"/>
        </w:tabs>
        <w:rPr>
          <w:rFonts w:ascii="Arial" w:eastAsia="SimSun" w:hAnsi="Arial"/>
          <w:lang w:val="en-US" w:eastAsia="en-GB"/>
        </w:rPr>
      </w:pPr>
      <w:r w:rsidRPr="0093376D">
        <w:rPr>
          <w:rFonts w:ascii="Arial" w:eastAsia="SimSun" w:hAnsi="Arial"/>
          <w:lang w:val="en-US" w:eastAsia="en-GB"/>
        </w:rPr>
        <w:t>Agenda Item:</w:t>
      </w:r>
      <w:r w:rsidRPr="0093376D">
        <w:rPr>
          <w:rFonts w:ascii="Arial" w:eastAsia="SimSun" w:hAnsi="Arial"/>
          <w:lang w:val="en-US" w:eastAsia="en-GB"/>
        </w:rPr>
        <w:tab/>
      </w:r>
      <w:r w:rsidR="00BA57C2">
        <w:rPr>
          <w:rFonts w:ascii="Arial" w:eastAsia="SimSun" w:hAnsi="Arial"/>
          <w:lang w:val="en-US" w:eastAsia="en-GB"/>
        </w:rPr>
        <w:t>3 (Liaison Statements)</w:t>
      </w:r>
    </w:p>
    <w:p w:rsidR="00A5272F" w:rsidRPr="00DE6F86" w:rsidRDefault="00A5272F" w:rsidP="00A5272F">
      <w:pPr>
        <w:tabs>
          <w:tab w:val="left" w:pos="1701"/>
        </w:tabs>
        <w:rPr>
          <w:rFonts w:ascii="Arial" w:eastAsia="SimSun" w:hAnsi="Arial"/>
          <w:lang w:val="en-US" w:eastAsia="en-GB"/>
        </w:rPr>
      </w:pPr>
      <w:r w:rsidRPr="00DE6F86">
        <w:rPr>
          <w:rFonts w:ascii="Arial" w:eastAsia="SimSun" w:hAnsi="Arial"/>
          <w:lang w:val="en-US" w:eastAsia="en-GB"/>
        </w:rPr>
        <w:t>Source:</w:t>
      </w:r>
      <w:r w:rsidRPr="00DE6F86">
        <w:rPr>
          <w:rFonts w:ascii="Arial" w:eastAsia="SimSun" w:hAnsi="Arial"/>
          <w:lang w:val="en-US" w:eastAsia="en-GB"/>
        </w:rPr>
        <w:tab/>
        <w:t>Samsung</w:t>
      </w:r>
    </w:p>
    <w:p w:rsidR="00A5272F" w:rsidRPr="00DE6F86" w:rsidRDefault="00A5272F" w:rsidP="00A5272F">
      <w:pPr>
        <w:tabs>
          <w:tab w:val="left" w:pos="1701"/>
        </w:tabs>
        <w:rPr>
          <w:rFonts w:ascii="Arial" w:eastAsia="SimSun" w:hAnsi="Arial"/>
          <w:lang w:val="en-US" w:eastAsia="en-GB"/>
        </w:rPr>
      </w:pPr>
      <w:r w:rsidRPr="00DE6F86">
        <w:rPr>
          <w:rFonts w:ascii="Arial" w:eastAsia="SimSun" w:hAnsi="Arial"/>
          <w:lang w:val="en-US" w:eastAsia="en-GB"/>
        </w:rPr>
        <w:t>Contact:</w:t>
      </w:r>
      <w:r w:rsidRPr="00DE6F86">
        <w:rPr>
          <w:rFonts w:ascii="Arial" w:eastAsia="SimSun" w:hAnsi="Arial"/>
          <w:lang w:val="en-US" w:eastAsia="en-GB"/>
        </w:rPr>
        <w:tab/>
        <w:t xml:space="preserve">erik.guttman@samsung.com </w:t>
      </w:r>
    </w:p>
    <w:p w:rsidR="00A5272F" w:rsidRPr="00DE6F86" w:rsidRDefault="00A5272F" w:rsidP="00A5272F">
      <w:pPr>
        <w:pBdr>
          <w:bottom w:val="single" w:sz="6" w:space="1" w:color="auto"/>
        </w:pBdr>
        <w:rPr>
          <w:lang w:val="en-US"/>
        </w:rPr>
      </w:pPr>
    </w:p>
    <w:p w:rsidR="00A5272F" w:rsidRDefault="00A5272F" w:rsidP="00A5272F">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DE6F86">
        <w:rPr>
          <w:rFonts w:ascii="Arial" w:eastAsia="Calibri" w:hAnsi="Arial" w:cs="Arial"/>
          <w:i/>
          <w:sz w:val="22"/>
          <w:szCs w:val="22"/>
          <w:lang w:eastAsia="en-US"/>
        </w:rPr>
        <w:t>This document provides a brief discussion of use of MINT in networks in which CAG cells exist.</w:t>
      </w:r>
    </w:p>
    <w:p w:rsidR="00DE6F86" w:rsidRDefault="00DE6F86" w:rsidP="00A5272F">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rsidR="00D64BED" w:rsidRDefault="00D64BED" w:rsidP="00A5272F">
      <w:pPr>
        <w:spacing w:after="200" w:line="276" w:lineRule="auto"/>
        <w:rPr>
          <w:rFonts w:ascii="Arial" w:eastAsia="Calibri" w:hAnsi="Arial" w:cs="Arial"/>
          <w:sz w:val="21"/>
          <w:szCs w:val="22"/>
          <w:lang w:eastAsia="en-US"/>
        </w:rPr>
      </w:pPr>
      <w:r>
        <w:rPr>
          <w:rFonts w:ascii="Arial" w:eastAsia="Calibri" w:hAnsi="Arial" w:cs="Arial"/>
          <w:sz w:val="21"/>
          <w:szCs w:val="22"/>
          <w:lang w:eastAsia="en-US"/>
        </w:rPr>
        <w:t>CT1 sent an LS on disaster roaming and non-public network hosted by a PLMN which asks the following question:</w:t>
      </w:r>
    </w:p>
    <w:p w:rsidR="00D64BED" w:rsidRPr="00D64BED" w:rsidRDefault="00D64BED" w:rsidP="00D64BED">
      <w:pPr>
        <w:ind w:left="720"/>
      </w:pPr>
      <w:bookmarkStart w:id="1" w:name="_Hlk65498599"/>
      <w:bookmarkStart w:id="2" w:name="_Hlk65528521"/>
      <w:bookmarkStart w:id="3" w:name="_Hlk65528563"/>
      <w:r w:rsidRPr="00FA70D1">
        <w:rPr>
          <w:b/>
          <w:bCs/>
        </w:rPr>
        <w:t>Question:</w:t>
      </w:r>
      <w:r>
        <w:t xml:space="preserve"> </w:t>
      </w:r>
      <w:r w:rsidRPr="00A60048">
        <w:t xml:space="preserve">When a CAG-supporting UE determines that Disaster Condition applies, and a PLMN can provide disaster roaming to the UE, </w:t>
      </w:r>
      <w:r>
        <w:t xml:space="preserve">is </w:t>
      </w:r>
      <w:r w:rsidRPr="00A60048">
        <w:t xml:space="preserve">the UE without CAG configuration for the PLMN </w:t>
      </w:r>
      <w:r>
        <w:t xml:space="preserve">allowed to </w:t>
      </w:r>
      <w:r w:rsidRPr="00A60048">
        <w:t>select and register on a CAG cell of the PLMN?</w:t>
      </w:r>
      <w:bookmarkEnd w:id="1"/>
      <w:bookmarkEnd w:id="2"/>
      <w:bookmarkEnd w:id="3"/>
    </w:p>
    <w:p w:rsidR="00DE6F86" w:rsidRDefault="00B10346" w:rsidP="00A5272F">
      <w:pPr>
        <w:spacing w:after="200" w:line="276" w:lineRule="auto"/>
        <w:rPr>
          <w:rFonts w:ascii="Arial" w:eastAsia="Calibri" w:hAnsi="Arial" w:cs="Arial"/>
          <w:sz w:val="21"/>
          <w:szCs w:val="22"/>
          <w:lang w:eastAsia="en-US"/>
        </w:rPr>
      </w:pPr>
      <w:r w:rsidRPr="00B10346">
        <w:rPr>
          <w:rFonts w:ascii="Arial" w:eastAsia="Calibri" w:hAnsi="Arial" w:cs="Arial"/>
          <w:sz w:val="21"/>
          <w:szCs w:val="22"/>
          <w:lang w:eastAsia="en-US"/>
        </w:rPr>
        <w:t>Non-public networks were</w:t>
      </w:r>
      <w:r>
        <w:rPr>
          <w:rFonts w:ascii="Arial" w:eastAsia="Calibri" w:hAnsi="Arial" w:cs="Arial"/>
          <w:sz w:val="21"/>
          <w:szCs w:val="22"/>
          <w:lang w:eastAsia="en-US"/>
        </w:rPr>
        <w:t xml:space="preserve"> introduced into the 5G system in Rel-16. An important approach to support of non-public networks is through cells that provide Closed Access Group (CAG) controls. This functionality is defined in stage 2 and therefore absent in stage 1 specifications.</w:t>
      </w:r>
    </w:p>
    <w:p w:rsidR="00B10346" w:rsidRDefault="00B10346" w:rsidP="00A5272F">
      <w:pPr>
        <w:spacing w:after="200" w:line="276" w:lineRule="auto"/>
        <w:rPr>
          <w:rFonts w:ascii="Arial" w:eastAsia="Calibri" w:hAnsi="Arial" w:cs="Arial"/>
          <w:sz w:val="21"/>
          <w:szCs w:val="22"/>
          <w:lang w:eastAsia="en-US"/>
        </w:rPr>
      </w:pPr>
      <w:r>
        <w:rPr>
          <w:rFonts w:ascii="Arial" w:eastAsia="Calibri" w:hAnsi="Arial" w:cs="Arial"/>
          <w:sz w:val="21"/>
          <w:szCs w:val="22"/>
          <w:lang w:eastAsia="en-US"/>
        </w:rPr>
        <w:t>From a stage 1 perspective, what is important is that the 5G system supports non-public networks. These networks may serve many purposes – e.g. industry, education, enterprises, etc. The users of these networks may, in the case of a disaster affecting the RAN offering non-public access, lose their ability to communicate.</w:t>
      </w:r>
    </w:p>
    <w:p w:rsidR="00B10346" w:rsidRDefault="00B10346" w:rsidP="00A5272F">
      <w:pPr>
        <w:spacing w:after="200" w:line="276" w:lineRule="auto"/>
        <w:rPr>
          <w:rFonts w:ascii="Arial" w:eastAsia="Calibri" w:hAnsi="Arial" w:cs="Arial"/>
          <w:sz w:val="21"/>
          <w:szCs w:val="22"/>
          <w:lang w:eastAsia="en-US"/>
        </w:rPr>
      </w:pPr>
      <w:r>
        <w:rPr>
          <w:rFonts w:ascii="Arial" w:eastAsia="Calibri" w:hAnsi="Arial" w:cs="Arial"/>
          <w:sz w:val="21"/>
          <w:szCs w:val="22"/>
          <w:lang w:eastAsia="en-US"/>
        </w:rPr>
        <w:t>In Rel-17, Minimization of Service Interruption was introduced to enable the possibility of UEs thus deprived of service to roam, when a Disaster Condition applies, to other PLMNs whose operators offer Disaster Roaming services. The requirements for this service, defined in TS 22.261, clause 6.31, do not include any restrictions on which subscribers can attempt to access PLMN to receive service as a Disaster Inbound Roamer. Since the service is ‘subject to operator’s policy’ the success of the attempt to register as a Disaster Inbound Roamer may be denied. This could be</w:t>
      </w:r>
      <w:r w:rsidR="00A4560B">
        <w:rPr>
          <w:rFonts w:ascii="Arial" w:eastAsia="Calibri" w:hAnsi="Arial" w:cs="Arial"/>
          <w:sz w:val="21"/>
          <w:szCs w:val="22"/>
          <w:lang w:eastAsia="en-US"/>
        </w:rPr>
        <w:t xml:space="preserve"> due to a need to avoid congestion in the operator’s network, or due to a particular restriction applied to the inbound roamer – including the subscription associated with the UE including certain non-public network configuration.</w:t>
      </w:r>
    </w:p>
    <w:p w:rsidR="00A4560B" w:rsidRPr="00B10346" w:rsidRDefault="00A4560B" w:rsidP="00A5272F">
      <w:pPr>
        <w:spacing w:after="200" w:line="276" w:lineRule="auto"/>
        <w:rPr>
          <w:rFonts w:ascii="Arial" w:eastAsia="Calibri" w:hAnsi="Arial" w:cs="Arial"/>
          <w:sz w:val="21"/>
          <w:szCs w:val="22"/>
          <w:lang w:eastAsia="en-US"/>
        </w:rPr>
      </w:pPr>
      <w:r>
        <w:rPr>
          <w:rFonts w:ascii="Arial" w:eastAsia="Calibri" w:hAnsi="Arial" w:cs="Arial"/>
          <w:sz w:val="21"/>
          <w:szCs w:val="22"/>
          <w:lang w:eastAsia="en-US"/>
        </w:rPr>
        <w:t>The UE attempting to register on a network offering Disaster Inbound Roaming will register using the procedures defined for any UE. There is no need to define in stage 1 any spec</w:t>
      </w:r>
      <w:r w:rsidR="00B963F6">
        <w:rPr>
          <w:rFonts w:ascii="Arial" w:eastAsia="Calibri" w:hAnsi="Arial" w:cs="Arial"/>
          <w:sz w:val="21"/>
          <w:szCs w:val="22"/>
          <w:lang w:eastAsia="en-US"/>
        </w:rPr>
        <w:t>ific rest</w:t>
      </w:r>
      <w:r w:rsidR="00C73351">
        <w:rPr>
          <w:rFonts w:ascii="Arial" w:eastAsia="Calibri" w:hAnsi="Arial" w:cs="Arial"/>
          <w:sz w:val="21"/>
          <w:szCs w:val="22"/>
          <w:lang w:eastAsia="en-US"/>
        </w:rPr>
        <w:t>riction to prevent a users auth</w:t>
      </w:r>
      <w:r w:rsidR="00B963F6">
        <w:rPr>
          <w:rFonts w:ascii="Arial" w:eastAsia="Calibri" w:hAnsi="Arial" w:cs="Arial"/>
          <w:sz w:val="21"/>
          <w:szCs w:val="22"/>
          <w:lang w:eastAsia="en-US"/>
        </w:rPr>
        <w:t>o</w:t>
      </w:r>
      <w:r w:rsidR="00C73351">
        <w:rPr>
          <w:rFonts w:ascii="Arial" w:eastAsia="Calibri" w:hAnsi="Arial" w:cs="Arial"/>
          <w:sz w:val="21"/>
          <w:szCs w:val="22"/>
          <w:lang w:eastAsia="en-US"/>
        </w:rPr>
        <w:t>r</w:t>
      </w:r>
      <w:r w:rsidR="00B963F6">
        <w:rPr>
          <w:rFonts w:ascii="Arial" w:eastAsia="Calibri" w:hAnsi="Arial" w:cs="Arial"/>
          <w:sz w:val="21"/>
          <w:szCs w:val="22"/>
          <w:lang w:eastAsia="en-US"/>
        </w:rPr>
        <w:t>ized for use of non-public networks from accessing a public network as a Disaster Inbound Roamer. The PLMN operator can, if this is appropriate, decline to authorize such access.</w:t>
      </w:r>
      <w:r>
        <w:rPr>
          <w:rFonts w:ascii="Arial" w:eastAsia="Calibri" w:hAnsi="Arial" w:cs="Arial"/>
          <w:sz w:val="21"/>
          <w:szCs w:val="22"/>
          <w:lang w:eastAsia="en-US"/>
        </w:rPr>
        <w:t xml:space="preserve"> </w:t>
      </w:r>
    </w:p>
    <w:p w:rsidR="00DE6F86" w:rsidRDefault="00DE6F86" w:rsidP="00A5272F">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Proposal:</w:t>
      </w:r>
    </w:p>
    <w:p w:rsidR="00C17AB8" w:rsidRPr="00D871F6" w:rsidRDefault="00B963F6" w:rsidP="00D871F6">
      <w:pPr>
        <w:spacing w:after="200" w:line="276" w:lineRule="auto"/>
        <w:rPr>
          <w:rFonts w:ascii="Arial" w:eastAsia="Calibri" w:hAnsi="Arial" w:cs="Arial"/>
          <w:sz w:val="21"/>
          <w:szCs w:val="22"/>
          <w:lang w:eastAsia="en-US"/>
        </w:rPr>
      </w:pPr>
      <w:r w:rsidRPr="005738D0">
        <w:rPr>
          <w:rFonts w:ascii="Arial" w:eastAsia="Calibri" w:hAnsi="Arial" w:cs="Arial"/>
          <w:sz w:val="21"/>
          <w:szCs w:val="22"/>
          <w:lang w:eastAsia="en-US"/>
        </w:rPr>
        <w:t xml:space="preserve">The above justification </w:t>
      </w:r>
      <w:r w:rsidR="005738D0">
        <w:rPr>
          <w:rFonts w:ascii="Arial" w:eastAsia="Calibri" w:hAnsi="Arial" w:cs="Arial"/>
          <w:sz w:val="21"/>
          <w:szCs w:val="22"/>
          <w:lang w:eastAsia="en-US"/>
        </w:rPr>
        <w:t>supports and clarifies</w:t>
      </w:r>
      <w:r w:rsidRPr="005738D0">
        <w:rPr>
          <w:rFonts w:ascii="Arial" w:eastAsia="Calibri" w:hAnsi="Arial" w:cs="Arial"/>
          <w:sz w:val="21"/>
          <w:szCs w:val="22"/>
          <w:lang w:eastAsia="en-US"/>
        </w:rPr>
        <w:t xml:space="preserve"> the draft </w:t>
      </w:r>
      <w:r w:rsidR="00C73B67">
        <w:rPr>
          <w:rFonts w:ascii="Arial" w:eastAsia="Calibri" w:hAnsi="Arial" w:cs="Arial"/>
          <w:sz w:val="21"/>
          <w:szCs w:val="22"/>
          <w:lang w:eastAsia="en-US"/>
        </w:rPr>
        <w:t xml:space="preserve">LS </w:t>
      </w:r>
      <w:r w:rsidRPr="005738D0">
        <w:rPr>
          <w:rFonts w:ascii="Arial" w:eastAsia="Calibri" w:hAnsi="Arial" w:cs="Arial"/>
          <w:sz w:val="21"/>
          <w:szCs w:val="22"/>
          <w:lang w:eastAsia="en-US"/>
        </w:rPr>
        <w:t>response in S1-211zzz.</w:t>
      </w:r>
    </w:p>
    <w:sectPr w:rsidR="00C17AB8" w:rsidRPr="00D871F6">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10B" w:rsidRDefault="000F310B">
      <w:r>
        <w:separator/>
      </w:r>
    </w:p>
  </w:endnote>
  <w:endnote w:type="continuationSeparator" w:id="0">
    <w:p w:rsidR="000F310B" w:rsidRDefault="000F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10B" w:rsidRDefault="000F310B">
      <w:r>
        <w:separator/>
      </w:r>
    </w:p>
  </w:footnote>
  <w:footnote w:type="continuationSeparator" w:id="0">
    <w:p w:rsidR="000F310B" w:rsidRDefault="000F3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0F310B"/>
    <w:rsid w:val="002A68C8"/>
    <w:rsid w:val="00435DDE"/>
    <w:rsid w:val="005738D0"/>
    <w:rsid w:val="00706F67"/>
    <w:rsid w:val="00804C4A"/>
    <w:rsid w:val="0093376D"/>
    <w:rsid w:val="00A4560B"/>
    <w:rsid w:val="00A5272F"/>
    <w:rsid w:val="00A9248E"/>
    <w:rsid w:val="00B10346"/>
    <w:rsid w:val="00B20AFD"/>
    <w:rsid w:val="00B963F6"/>
    <w:rsid w:val="00BA57C2"/>
    <w:rsid w:val="00C17AB8"/>
    <w:rsid w:val="00C73351"/>
    <w:rsid w:val="00C73B67"/>
    <w:rsid w:val="00D64BED"/>
    <w:rsid w:val="00D871F6"/>
    <w:rsid w:val="00DE6F86"/>
    <w:rsid w:val="00DF1892"/>
    <w:rsid w:val="00E83C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C5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3C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3C59"/>
    <w:pPr>
      <w:pBdr>
        <w:top w:val="none" w:sz="0" w:space="0" w:color="auto"/>
      </w:pBdr>
      <w:spacing w:before="180"/>
      <w:outlineLvl w:val="1"/>
    </w:pPr>
    <w:rPr>
      <w:sz w:val="32"/>
    </w:rPr>
  </w:style>
  <w:style w:type="paragraph" w:styleId="Heading3">
    <w:name w:val="heading 3"/>
    <w:basedOn w:val="Heading2"/>
    <w:next w:val="Normal"/>
    <w:qFormat/>
    <w:rsid w:val="00E83C59"/>
    <w:pPr>
      <w:spacing w:before="120"/>
      <w:outlineLvl w:val="2"/>
    </w:pPr>
    <w:rPr>
      <w:sz w:val="28"/>
    </w:rPr>
  </w:style>
  <w:style w:type="paragraph" w:styleId="Heading4">
    <w:name w:val="heading 4"/>
    <w:basedOn w:val="Heading3"/>
    <w:next w:val="Normal"/>
    <w:qFormat/>
    <w:rsid w:val="00E83C59"/>
    <w:pPr>
      <w:ind w:left="1418" w:hanging="1418"/>
      <w:outlineLvl w:val="3"/>
    </w:pPr>
    <w:rPr>
      <w:sz w:val="24"/>
    </w:rPr>
  </w:style>
  <w:style w:type="paragraph" w:styleId="Heading5">
    <w:name w:val="heading 5"/>
    <w:basedOn w:val="Heading4"/>
    <w:next w:val="Normal"/>
    <w:qFormat/>
    <w:rsid w:val="00E83C59"/>
    <w:pPr>
      <w:ind w:left="1701" w:hanging="1701"/>
      <w:outlineLvl w:val="4"/>
    </w:pPr>
    <w:rPr>
      <w:sz w:val="22"/>
    </w:rPr>
  </w:style>
  <w:style w:type="paragraph" w:styleId="Heading6">
    <w:name w:val="heading 6"/>
    <w:basedOn w:val="H6"/>
    <w:next w:val="Normal"/>
    <w:qFormat/>
    <w:rsid w:val="00E83C59"/>
    <w:pPr>
      <w:outlineLvl w:val="5"/>
    </w:pPr>
  </w:style>
  <w:style w:type="paragraph" w:styleId="Heading7">
    <w:name w:val="heading 7"/>
    <w:basedOn w:val="H6"/>
    <w:next w:val="Normal"/>
    <w:qFormat/>
    <w:rsid w:val="00E83C59"/>
    <w:pPr>
      <w:outlineLvl w:val="6"/>
    </w:pPr>
  </w:style>
  <w:style w:type="paragraph" w:styleId="Heading8">
    <w:name w:val="heading 8"/>
    <w:basedOn w:val="Heading1"/>
    <w:next w:val="Normal"/>
    <w:qFormat/>
    <w:rsid w:val="00E83C59"/>
    <w:pPr>
      <w:ind w:left="0" w:firstLine="0"/>
      <w:outlineLvl w:val="7"/>
    </w:pPr>
  </w:style>
  <w:style w:type="paragraph" w:styleId="Heading9">
    <w:name w:val="heading 9"/>
    <w:basedOn w:val="Heading8"/>
    <w:next w:val="Normal"/>
    <w:qFormat/>
    <w:rsid w:val="00E83C59"/>
    <w:pPr>
      <w:outlineLvl w:val="8"/>
    </w:pPr>
  </w:style>
  <w:style w:type="character" w:default="1" w:styleId="DefaultParagraphFont">
    <w:name w:val="Default Paragraph Font"/>
    <w:uiPriority w:val="1"/>
    <w:semiHidden/>
    <w:unhideWhenUsed/>
    <w:rsid w:val="00E83C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3C59"/>
  </w:style>
  <w:style w:type="paragraph" w:styleId="TOC8">
    <w:name w:val="toc 8"/>
    <w:basedOn w:val="TOC1"/>
    <w:semiHidden/>
    <w:rsid w:val="00E83C59"/>
    <w:pPr>
      <w:spacing w:before="180"/>
      <w:ind w:left="2693" w:hanging="2693"/>
    </w:pPr>
    <w:rPr>
      <w:b/>
    </w:rPr>
  </w:style>
  <w:style w:type="paragraph" w:styleId="TOC1">
    <w:name w:val="toc 1"/>
    <w:semiHidden/>
    <w:rsid w:val="00E83C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3C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3C59"/>
    <w:pPr>
      <w:ind w:left="1701" w:hanging="1701"/>
    </w:pPr>
  </w:style>
  <w:style w:type="paragraph" w:styleId="TOC4">
    <w:name w:val="toc 4"/>
    <w:basedOn w:val="TOC3"/>
    <w:semiHidden/>
    <w:rsid w:val="00E83C59"/>
    <w:pPr>
      <w:ind w:left="1418" w:hanging="1418"/>
    </w:pPr>
  </w:style>
  <w:style w:type="paragraph" w:styleId="TOC3">
    <w:name w:val="toc 3"/>
    <w:basedOn w:val="TOC2"/>
    <w:semiHidden/>
    <w:rsid w:val="00E83C59"/>
    <w:pPr>
      <w:ind w:left="1134" w:hanging="1134"/>
    </w:pPr>
  </w:style>
  <w:style w:type="paragraph" w:styleId="TOC2">
    <w:name w:val="toc 2"/>
    <w:basedOn w:val="TOC1"/>
    <w:semiHidden/>
    <w:rsid w:val="00E83C59"/>
    <w:pPr>
      <w:keepNext w:val="0"/>
      <w:spacing w:before="0"/>
      <w:ind w:left="851" w:hanging="851"/>
    </w:pPr>
    <w:rPr>
      <w:sz w:val="20"/>
    </w:rPr>
  </w:style>
  <w:style w:type="paragraph" w:styleId="Index2">
    <w:name w:val="index 2"/>
    <w:basedOn w:val="Index1"/>
    <w:semiHidden/>
    <w:rsid w:val="00E83C59"/>
    <w:pPr>
      <w:ind w:left="284"/>
    </w:pPr>
  </w:style>
  <w:style w:type="paragraph" w:styleId="Index1">
    <w:name w:val="index 1"/>
    <w:basedOn w:val="Normal"/>
    <w:semiHidden/>
    <w:rsid w:val="00E83C59"/>
    <w:pPr>
      <w:keepLines/>
      <w:spacing w:after="0"/>
    </w:pPr>
  </w:style>
  <w:style w:type="paragraph" w:customStyle="1" w:styleId="ZH">
    <w:name w:val="ZH"/>
    <w:rsid w:val="00E83C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3C59"/>
    <w:pPr>
      <w:outlineLvl w:val="9"/>
    </w:pPr>
  </w:style>
  <w:style w:type="paragraph" w:styleId="ListNumber2">
    <w:name w:val="List Number 2"/>
    <w:basedOn w:val="ListNumber"/>
    <w:semiHidden/>
    <w:rsid w:val="00E83C59"/>
    <w:pPr>
      <w:ind w:left="851"/>
    </w:pPr>
  </w:style>
  <w:style w:type="paragraph" w:styleId="Header">
    <w:name w:val="header"/>
    <w:semiHidden/>
    <w:rsid w:val="00E83C5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83C59"/>
    <w:rPr>
      <w:b/>
      <w:position w:val="6"/>
      <w:sz w:val="16"/>
    </w:rPr>
  </w:style>
  <w:style w:type="paragraph" w:styleId="FootnoteText">
    <w:name w:val="footnote text"/>
    <w:basedOn w:val="Normal"/>
    <w:semiHidden/>
    <w:rsid w:val="00E83C59"/>
    <w:pPr>
      <w:keepLines/>
      <w:spacing w:after="0"/>
      <w:ind w:left="454" w:hanging="454"/>
    </w:pPr>
    <w:rPr>
      <w:sz w:val="16"/>
    </w:rPr>
  </w:style>
  <w:style w:type="paragraph" w:customStyle="1" w:styleId="TAH">
    <w:name w:val="TAH"/>
    <w:basedOn w:val="TAC"/>
    <w:rsid w:val="00E83C59"/>
    <w:rPr>
      <w:b/>
    </w:rPr>
  </w:style>
  <w:style w:type="paragraph" w:customStyle="1" w:styleId="TAC">
    <w:name w:val="TAC"/>
    <w:basedOn w:val="TAL"/>
    <w:rsid w:val="00E83C59"/>
    <w:pPr>
      <w:jc w:val="center"/>
    </w:pPr>
  </w:style>
  <w:style w:type="paragraph" w:customStyle="1" w:styleId="TF">
    <w:name w:val="TF"/>
    <w:basedOn w:val="TH"/>
    <w:rsid w:val="00E83C59"/>
    <w:pPr>
      <w:keepNext w:val="0"/>
      <w:spacing w:before="0" w:after="240"/>
    </w:pPr>
  </w:style>
  <w:style w:type="paragraph" w:customStyle="1" w:styleId="NO">
    <w:name w:val="NO"/>
    <w:basedOn w:val="Normal"/>
    <w:rsid w:val="00E83C59"/>
    <w:pPr>
      <w:keepLines/>
      <w:ind w:left="1135" w:hanging="851"/>
    </w:pPr>
  </w:style>
  <w:style w:type="paragraph" w:styleId="TOC9">
    <w:name w:val="toc 9"/>
    <w:basedOn w:val="TOC8"/>
    <w:semiHidden/>
    <w:rsid w:val="00E83C59"/>
    <w:pPr>
      <w:ind w:left="1418" w:hanging="1418"/>
    </w:pPr>
  </w:style>
  <w:style w:type="paragraph" w:customStyle="1" w:styleId="EX">
    <w:name w:val="EX"/>
    <w:basedOn w:val="Normal"/>
    <w:rsid w:val="00E83C59"/>
    <w:pPr>
      <w:keepLines/>
      <w:ind w:left="1702" w:hanging="1418"/>
    </w:pPr>
  </w:style>
  <w:style w:type="paragraph" w:customStyle="1" w:styleId="FP">
    <w:name w:val="FP"/>
    <w:basedOn w:val="Normal"/>
    <w:rsid w:val="00E83C59"/>
    <w:pPr>
      <w:spacing w:after="0"/>
    </w:pPr>
  </w:style>
  <w:style w:type="paragraph" w:customStyle="1" w:styleId="LD">
    <w:name w:val="LD"/>
    <w:rsid w:val="00E83C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3C59"/>
    <w:pPr>
      <w:spacing w:after="0"/>
    </w:pPr>
  </w:style>
  <w:style w:type="paragraph" w:customStyle="1" w:styleId="EW">
    <w:name w:val="EW"/>
    <w:basedOn w:val="EX"/>
    <w:rsid w:val="00E83C59"/>
    <w:pPr>
      <w:spacing w:after="0"/>
    </w:pPr>
  </w:style>
  <w:style w:type="paragraph" w:styleId="TOC6">
    <w:name w:val="toc 6"/>
    <w:basedOn w:val="TOC5"/>
    <w:next w:val="Normal"/>
    <w:semiHidden/>
    <w:rsid w:val="00E83C59"/>
    <w:pPr>
      <w:ind w:left="1985" w:hanging="1985"/>
    </w:pPr>
  </w:style>
  <w:style w:type="paragraph" w:styleId="TOC7">
    <w:name w:val="toc 7"/>
    <w:basedOn w:val="TOC6"/>
    <w:next w:val="Normal"/>
    <w:semiHidden/>
    <w:rsid w:val="00E83C59"/>
    <w:pPr>
      <w:ind w:left="2268" w:hanging="2268"/>
    </w:pPr>
  </w:style>
  <w:style w:type="paragraph" w:styleId="ListBullet2">
    <w:name w:val="List Bullet 2"/>
    <w:basedOn w:val="ListBullet"/>
    <w:semiHidden/>
    <w:rsid w:val="00E83C59"/>
    <w:pPr>
      <w:ind w:left="851"/>
    </w:pPr>
  </w:style>
  <w:style w:type="paragraph" w:styleId="ListBullet3">
    <w:name w:val="List Bullet 3"/>
    <w:basedOn w:val="ListBullet2"/>
    <w:semiHidden/>
    <w:rsid w:val="00E83C59"/>
    <w:pPr>
      <w:ind w:left="1135"/>
    </w:pPr>
  </w:style>
  <w:style w:type="paragraph" w:styleId="ListNumber">
    <w:name w:val="List Number"/>
    <w:basedOn w:val="List"/>
    <w:semiHidden/>
    <w:rsid w:val="00E83C59"/>
  </w:style>
  <w:style w:type="paragraph" w:customStyle="1" w:styleId="EQ">
    <w:name w:val="EQ"/>
    <w:basedOn w:val="Normal"/>
    <w:next w:val="Normal"/>
    <w:rsid w:val="00E83C59"/>
    <w:pPr>
      <w:keepLines/>
      <w:tabs>
        <w:tab w:val="center" w:pos="4536"/>
        <w:tab w:val="right" w:pos="9072"/>
      </w:tabs>
    </w:pPr>
    <w:rPr>
      <w:noProof/>
    </w:rPr>
  </w:style>
  <w:style w:type="paragraph" w:customStyle="1" w:styleId="TH">
    <w:name w:val="TH"/>
    <w:basedOn w:val="Normal"/>
    <w:rsid w:val="00E83C59"/>
    <w:pPr>
      <w:keepNext/>
      <w:keepLines/>
      <w:spacing w:before="60"/>
      <w:jc w:val="center"/>
    </w:pPr>
    <w:rPr>
      <w:rFonts w:ascii="Arial" w:hAnsi="Arial"/>
      <w:b/>
    </w:rPr>
  </w:style>
  <w:style w:type="paragraph" w:customStyle="1" w:styleId="NF">
    <w:name w:val="NF"/>
    <w:basedOn w:val="NO"/>
    <w:rsid w:val="00E83C59"/>
    <w:pPr>
      <w:keepNext/>
      <w:spacing w:after="0"/>
    </w:pPr>
    <w:rPr>
      <w:rFonts w:ascii="Arial" w:hAnsi="Arial"/>
      <w:sz w:val="18"/>
    </w:rPr>
  </w:style>
  <w:style w:type="paragraph" w:customStyle="1" w:styleId="PL">
    <w:name w:val="PL"/>
    <w:rsid w:val="00E83C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3C59"/>
    <w:pPr>
      <w:jc w:val="right"/>
    </w:pPr>
  </w:style>
  <w:style w:type="paragraph" w:customStyle="1" w:styleId="H6">
    <w:name w:val="H6"/>
    <w:basedOn w:val="Heading5"/>
    <w:next w:val="Normal"/>
    <w:rsid w:val="00E83C59"/>
    <w:pPr>
      <w:ind w:left="1985" w:hanging="1985"/>
      <w:outlineLvl w:val="9"/>
    </w:pPr>
    <w:rPr>
      <w:sz w:val="20"/>
    </w:rPr>
  </w:style>
  <w:style w:type="paragraph" w:customStyle="1" w:styleId="TAN">
    <w:name w:val="TAN"/>
    <w:basedOn w:val="TAL"/>
    <w:rsid w:val="00E83C59"/>
    <w:pPr>
      <w:ind w:left="851" w:hanging="851"/>
    </w:pPr>
  </w:style>
  <w:style w:type="paragraph" w:customStyle="1" w:styleId="TAL">
    <w:name w:val="TAL"/>
    <w:basedOn w:val="Normal"/>
    <w:rsid w:val="00E83C59"/>
    <w:pPr>
      <w:keepNext/>
      <w:keepLines/>
      <w:spacing w:after="0"/>
    </w:pPr>
    <w:rPr>
      <w:rFonts w:ascii="Arial" w:hAnsi="Arial"/>
      <w:sz w:val="18"/>
    </w:rPr>
  </w:style>
  <w:style w:type="paragraph" w:customStyle="1" w:styleId="ZA">
    <w:name w:val="ZA"/>
    <w:rsid w:val="00E83C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3C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3C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3C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3C59"/>
    <w:pPr>
      <w:framePr w:wrap="notBeside" w:y="16161"/>
    </w:pPr>
  </w:style>
  <w:style w:type="character" w:customStyle="1" w:styleId="ZGSM">
    <w:name w:val="ZGSM"/>
    <w:rsid w:val="00E83C59"/>
  </w:style>
  <w:style w:type="paragraph" w:styleId="List2">
    <w:name w:val="List 2"/>
    <w:basedOn w:val="List"/>
    <w:semiHidden/>
    <w:rsid w:val="00E83C59"/>
    <w:pPr>
      <w:ind w:left="851"/>
    </w:pPr>
  </w:style>
  <w:style w:type="paragraph" w:customStyle="1" w:styleId="ZG">
    <w:name w:val="ZG"/>
    <w:rsid w:val="00E83C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83C59"/>
    <w:pPr>
      <w:ind w:left="1135"/>
    </w:pPr>
  </w:style>
  <w:style w:type="paragraph" w:styleId="List4">
    <w:name w:val="List 4"/>
    <w:basedOn w:val="List3"/>
    <w:semiHidden/>
    <w:rsid w:val="00E83C59"/>
    <w:pPr>
      <w:ind w:left="1418"/>
    </w:pPr>
  </w:style>
  <w:style w:type="paragraph" w:styleId="List5">
    <w:name w:val="List 5"/>
    <w:basedOn w:val="List4"/>
    <w:semiHidden/>
    <w:rsid w:val="00E83C59"/>
    <w:pPr>
      <w:ind w:left="1702"/>
    </w:pPr>
  </w:style>
  <w:style w:type="paragraph" w:customStyle="1" w:styleId="EditorsNote">
    <w:name w:val="Editor's Note"/>
    <w:basedOn w:val="NO"/>
    <w:rsid w:val="00E83C59"/>
    <w:rPr>
      <w:color w:val="FF0000"/>
    </w:rPr>
  </w:style>
  <w:style w:type="paragraph" w:styleId="List">
    <w:name w:val="List"/>
    <w:basedOn w:val="Normal"/>
    <w:semiHidden/>
    <w:rsid w:val="00E83C59"/>
    <w:pPr>
      <w:ind w:left="568" w:hanging="284"/>
    </w:pPr>
  </w:style>
  <w:style w:type="paragraph" w:styleId="ListBullet">
    <w:name w:val="List Bullet"/>
    <w:basedOn w:val="List"/>
    <w:semiHidden/>
    <w:rsid w:val="00E83C59"/>
  </w:style>
  <w:style w:type="paragraph" w:styleId="ListBullet4">
    <w:name w:val="List Bullet 4"/>
    <w:basedOn w:val="ListBullet3"/>
    <w:semiHidden/>
    <w:rsid w:val="00E83C59"/>
    <w:pPr>
      <w:ind w:left="1418"/>
    </w:pPr>
  </w:style>
  <w:style w:type="paragraph" w:styleId="ListBullet5">
    <w:name w:val="List Bullet 5"/>
    <w:basedOn w:val="ListBullet4"/>
    <w:semiHidden/>
    <w:rsid w:val="00E83C59"/>
    <w:pPr>
      <w:ind w:left="1702"/>
    </w:pPr>
  </w:style>
  <w:style w:type="paragraph" w:customStyle="1" w:styleId="B1">
    <w:name w:val="B1"/>
    <w:basedOn w:val="List"/>
    <w:rsid w:val="00E83C59"/>
  </w:style>
  <w:style w:type="paragraph" w:customStyle="1" w:styleId="B2">
    <w:name w:val="B2"/>
    <w:basedOn w:val="List2"/>
    <w:rsid w:val="00E83C59"/>
  </w:style>
  <w:style w:type="paragraph" w:customStyle="1" w:styleId="B3">
    <w:name w:val="B3"/>
    <w:basedOn w:val="List3"/>
    <w:rsid w:val="00E83C59"/>
  </w:style>
  <w:style w:type="paragraph" w:customStyle="1" w:styleId="B4">
    <w:name w:val="B4"/>
    <w:basedOn w:val="List4"/>
    <w:rsid w:val="00E83C59"/>
  </w:style>
  <w:style w:type="paragraph" w:customStyle="1" w:styleId="B5">
    <w:name w:val="B5"/>
    <w:basedOn w:val="List5"/>
    <w:rsid w:val="00E83C59"/>
  </w:style>
  <w:style w:type="paragraph" w:styleId="Footer">
    <w:name w:val="footer"/>
    <w:basedOn w:val="Header"/>
    <w:semiHidden/>
    <w:rsid w:val="00E83C59"/>
    <w:pPr>
      <w:jc w:val="center"/>
    </w:pPr>
    <w:rPr>
      <w:i/>
    </w:rPr>
  </w:style>
  <w:style w:type="paragraph" w:customStyle="1" w:styleId="ZTD">
    <w:name w:val="ZTD"/>
    <w:basedOn w:val="ZB"/>
    <w:rsid w:val="00E83C5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Samsung</cp:lastModifiedBy>
  <cp:revision>2</cp:revision>
  <cp:lastPrinted>1899-12-31T22:00:00Z</cp:lastPrinted>
  <dcterms:created xsi:type="dcterms:W3CDTF">2021-04-30T16:35:00Z</dcterms:created>
  <dcterms:modified xsi:type="dcterms:W3CDTF">2021-04-30T16:35:00Z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