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725" w:rsidRPr="00EC3725" w:rsidRDefault="00EC3725" w:rsidP="00EC3725">
      <w:pPr>
        <w:pBdr>
          <w:bottom w:val="single" w:sz="4" w:space="1" w:color="auto"/>
        </w:pBdr>
        <w:tabs>
          <w:tab w:val="right" w:pos="9214"/>
        </w:tabs>
        <w:spacing w:after="0" w:line="240" w:lineRule="auto"/>
        <w:rPr>
          <w:rFonts w:eastAsia="MS Mincho" w:cs="Arial"/>
          <w:b/>
          <w:sz w:val="24"/>
          <w:szCs w:val="24"/>
          <w:lang w:eastAsia="ja-JP"/>
        </w:rPr>
      </w:pPr>
      <w:r w:rsidRPr="00EC3725">
        <w:rPr>
          <w:rFonts w:eastAsia="MS Mincho" w:cs="Arial"/>
          <w:b/>
          <w:sz w:val="24"/>
          <w:szCs w:val="24"/>
          <w:lang w:eastAsia="ja-JP"/>
        </w:rPr>
        <w:t>3GPP TSG</w:t>
      </w:r>
      <w:r w:rsidR="0015799B">
        <w:rPr>
          <w:rFonts w:eastAsia="MS Mincho" w:cs="Arial"/>
          <w:b/>
          <w:sz w:val="24"/>
          <w:szCs w:val="24"/>
          <w:lang w:eastAsia="ja-JP"/>
        </w:rPr>
        <w:t>-</w:t>
      </w:r>
      <w:r w:rsidRPr="00EC3725">
        <w:rPr>
          <w:rFonts w:eastAsia="MS Mincho" w:cs="Arial"/>
          <w:b/>
          <w:sz w:val="24"/>
          <w:szCs w:val="24"/>
          <w:lang w:eastAsia="ja-JP"/>
        </w:rPr>
        <w:t>SA</w:t>
      </w:r>
      <w:r w:rsidR="0015799B">
        <w:rPr>
          <w:rFonts w:eastAsia="MS Mincho" w:cs="Arial"/>
          <w:b/>
          <w:sz w:val="24"/>
          <w:szCs w:val="24"/>
          <w:lang w:eastAsia="ja-JP"/>
        </w:rPr>
        <w:t xml:space="preserve"> </w:t>
      </w:r>
      <w:r w:rsidRPr="00EC3725">
        <w:rPr>
          <w:rFonts w:eastAsia="MS Mincho" w:cs="Arial"/>
          <w:b/>
          <w:sz w:val="24"/>
          <w:szCs w:val="24"/>
          <w:lang w:eastAsia="ja-JP"/>
        </w:rPr>
        <w:t>WG 1 Meeting #10</w:t>
      </w:r>
      <w:r w:rsidRPr="0033664D">
        <w:rPr>
          <w:rFonts w:eastAsia="MS Mincho" w:cs="Arial"/>
          <w:b/>
          <w:sz w:val="24"/>
          <w:szCs w:val="24"/>
          <w:lang w:eastAsia="ja-JP"/>
        </w:rPr>
        <w:t>6</w:t>
      </w:r>
      <w:r w:rsidRPr="00EC3725">
        <w:rPr>
          <w:rFonts w:eastAsia="MS Mincho" w:cs="Arial"/>
          <w:b/>
          <w:sz w:val="24"/>
          <w:szCs w:val="24"/>
          <w:lang w:eastAsia="ja-JP"/>
        </w:rPr>
        <w:t xml:space="preserve"> </w:t>
      </w:r>
      <w:r w:rsidRPr="00EC3725">
        <w:rPr>
          <w:rFonts w:eastAsia="MS Mincho" w:cs="Arial"/>
          <w:b/>
          <w:sz w:val="24"/>
          <w:szCs w:val="24"/>
          <w:lang w:eastAsia="ja-JP"/>
        </w:rPr>
        <w:tab/>
      </w:r>
      <w:r w:rsidR="00F31C2A" w:rsidRPr="00F31C2A">
        <w:rPr>
          <w:rFonts w:eastAsia="MS Mincho" w:cs="Arial"/>
          <w:b/>
          <w:sz w:val="24"/>
          <w:szCs w:val="24"/>
          <w:lang w:eastAsia="ja-JP"/>
        </w:rPr>
        <w:t>S1-241148</w:t>
      </w:r>
      <w:bookmarkStart w:id="0" w:name="_GoBack"/>
      <w:bookmarkEnd w:id="0"/>
    </w:p>
    <w:p w:rsidR="00EC3725" w:rsidRPr="00EC3725" w:rsidRDefault="0033664D" w:rsidP="00EC3725">
      <w:pPr>
        <w:pBdr>
          <w:bottom w:val="single" w:sz="4" w:space="1" w:color="auto"/>
        </w:pBdr>
        <w:tabs>
          <w:tab w:val="right" w:pos="9214"/>
        </w:tabs>
        <w:spacing w:after="0" w:line="240" w:lineRule="auto"/>
        <w:jc w:val="both"/>
        <w:rPr>
          <w:rFonts w:ascii="Arial" w:eastAsia="MS Mincho" w:hAnsi="Arial" w:cs="Arial"/>
          <w:b/>
          <w:sz w:val="24"/>
          <w:szCs w:val="24"/>
          <w:lang w:eastAsia="ja-JP"/>
        </w:rPr>
      </w:pPr>
      <w:proofErr w:type="spellStart"/>
      <w:r>
        <w:rPr>
          <w:rFonts w:eastAsia="MS Mincho" w:cs="Arial"/>
          <w:b/>
          <w:sz w:val="24"/>
          <w:szCs w:val="24"/>
          <w:lang w:eastAsia="ja-JP"/>
        </w:rPr>
        <w:t>Jeju</w:t>
      </w:r>
      <w:proofErr w:type="spellEnd"/>
      <w:r>
        <w:rPr>
          <w:rFonts w:eastAsia="MS Mincho" w:cs="Arial"/>
          <w:b/>
          <w:sz w:val="24"/>
          <w:szCs w:val="24"/>
          <w:lang w:eastAsia="ja-JP"/>
        </w:rPr>
        <w:t xml:space="preserve"> Island, Korea, </w:t>
      </w:r>
      <w:r w:rsidRPr="001C427A">
        <w:rPr>
          <w:rFonts w:eastAsia="MS Mincho" w:cs="Arial"/>
          <w:b/>
          <w:sz w:val="24"/>
          <w:szCs w:val="24"/>
          <w:lang w:eastAsia="ja-JP"/>
        </w:rPr>
        <w:t>27-31 May 2024</w:t>
      </w:r>
      <w:r w:rsidR="00EC3725" w:rsidRPr="00EC3725">
        <w:rPr>
          <w:rFonts w:ascii="Arial" w:eastAsia="MS Mincho" w:hAnsi="Arial" w:cs="Arial"/>
          <w:b/>
          <w:sz w:val="24"/>
          <w:szCs w:val="24"/>
          <w:lang w:eastAsia="ja-JP"/>
        </w:rPr>
        <w:tab/>
      </w:r>
      <w:r w:rsidR="00EC3725" w:rsidRPr="00EC3725">
        <w:rPr>
          <w:rFonts w:ascii="Arial" w:eastAsia="MS Mincho" w:hAnsi="Arial" w:cs="Arial"/>
          <w:i/>
          <w:sz w:val="24"/>
          <w:szCs w:val="24"/>
          <w:lang w:eastAsia="ja-JP"/>
        </w:rPr>
        <w:t>(revision of S1-24xxxx)</w:t>
      </w:r>
    </w:p>
    <w:p w:rsidR="00EC3725" w:rsidRPr="00EC3725" w:rsidRDefault="00EC3725" w:rsidP="00EC3725">
      <w:pPr>
        <w:spacing w:after="0" w:line="240" w:lineRule="auto"/>
        <w:rPr>
          <w:rFonts w:ascii="Arial" w:eastAsia="MS Mincho" w:hAnsi="Arial" w:cs="Times New Roman"/>
          <w:sz w:val="24"/>
          <w:szCs w:val="24"/>
          <w:lang w:eastAsia="ja-JP"/>
        </w:rPr>
      </w:pPr>
    </w:p>
    <w:p w:rsidR="00EC3725" w:rsidRPr="00EC3725" w:rsidRDefault="00EC3725" w:rsidP="0033664D">
      <w:pPr>
        <w:spacing w:after="60" w:line="240" w:lineRule="auto"/>
        <w:ind w:left="1985" w:hanging="1985"/>
        <w:rPr>
          <w:rFonts w:eastAsia="Times New Roman" w:cstheme="minorHAnsi"/>
          <w:bCs/>
          <w:szCs w:val="20"/>
        </w:rPr>
      </w:pPr>
      <w:r w:rsidRPr="00EC3725">
        <w:rPr>
          <w:rFonts w:eastAsia="Times New Roman" w:cstheme="minorHAnsi"/>
          <w:b/>
          <w:bCs/>
          <w:szCs w:val="20"/>
        </w:rPr>
        <w:t>Source:</w:t>
      </w:r>
      <w:r w:rsidRPr="00EC3725">
        <w:rPr>
          <w:rFonts w:eastAsia="Times New Roman" w:cstheme="minorHAnsi"/>
          <w:b/>
          <w:bCs/>
          <w:szCs w:val="20"/>
        </w:rPr>
        <w:tab/>
      </w:r>
      <w:r w:rsidRPr="0033664D">
        <w:rPr>
          <w:rFonts w:eastAsia="Times New Roman" w:cstheme="minorHAnsi"/>
          <w:bCs/>
          <w:szCs w:val="20"/>
        </w:rPr>
        <w:t>Xiaomi</w:t>
      </w:r>
    </w:p>
    <w:p w:rsidR="00EC3725" w:rsidRPr="00EC3725" w:rsidRDefault="00EC3725" w:rsidP="0033664D">
      <w:pPr>
        <w:spacing w:after="60" w:line="240" w:lineRule="auto"/>
        <w:ind w:left="1985" w:hanging="1985"/>
        <w:rPr>
          <w:rFonts w:eastAsia="Times New Roman" w:cstheme="minorHAnsi"/>
          <w:b/>
          <w:bCs/>
          <w:szCs w:val="20"/>
        </w:rPr>
      </w:pPr>
      <w:r w:rsidRPr="00EC3725">
        <w:rPr>
          <w:rFonts w:eastAsia="Times New Roman" w:cstheme="minorHAnsi"/>
          <w:b/>
          <w:bCs/>
          <w:szCs w:val="20"/>
        </w:rPr>
        <w:t>Title</w:t>
      </w:r>
      <w:r w:rsidRPr="00EC3725">
        <w:rPr>
          <w:rFonts w:eastAsia="Times New Roman" w:cstheme="minorHAnsi"/>
          <w:b/>
          <w:bCs/>
          <w:szCs w:val="20"/>
        </w:rPr>
        <w:tab/>
      </w:r>
      <w:r w:rsidRPr="0033664D">
        <w:rPr>
          <w:rFonts w:eastAsia="Times New Roman" w:cstheme="minorHAnsi"/>
          <w:bCs/>
          <w:szCs w:val="20"/>
        </w:rPr>
        <w:t>Three Pillars</w:t>
      </w:r>
      <w:r w:rsidR="00C12130">
        <w:rPr>
          <w:rFonts w:eastAsia="Times New Roman" w:cstheme="minorHAnsi"/>
          <w:bCs/>
          <w:szCs w:val="20"/>
        </w:rPr>
        <w:t xml:space="preserve">, </w:t>
      </w:r>
      <w:r w:rsidRPr="00EC3725">
        <w:rPr>
          <w:rFonts w:eastAsia="Times New Roman" w:cstheme="minorHAnsi"/>
          <w:bCs/>
          <w:szCs w:val="20"/>
        </w:rPr>
        <w:t>KVs and KVIs</w:t>
      </w:r>
    </w:p>
    <w:p w:rsidR="00EC3725" w:rsidRPr="00EC3725" w:rsidRDefault="00EC3725" w:rsidP="0033664D">
      <w:pPr>
        <w:spacing w:after="60" w:line="240" w:lineRule="auto"/>
        <w:ind w:left="1985" w:hanging="1985"/>
        <w:rPr>
          <w:rFonts w:eastAsia="Times New Roman" w:cstheme="minorHAnsi"/>
          <w:b/>
          <w:bCs/>
          <w:szCs w:val="20"/>
        </w:rPr>
      </w:pPr>
      <w:r w:rsidRPr="00EC3725">
        <w:rPr>
          <w:rFonts w:eastAsia="Times New Roman" w:cstheme="minorHAnsi"/>
          <w:b/>
          <w:bCs/>
          <w:szCs w:val="20"/>
        </w:rPr>
        <w:t>Agenda item:</w:t>
      </w:r>
      <w:r w:rsidRPr="00EC3725">
        <w:rPr>
          <w:rFonts w:eastAsia="Times New Roman" w:cstheme="minorHAnsi"/>
          <w:b/>
          <w:bCs/>
          <w:szCs w:val="20"/>
        </w:rPr>
        <w:tab/>
      </w:r>
      <w:r w:rsidR="0000419C" w:rsidRPr="0033664D">
        <w:rPr>
          <w:rFonts w:eastAsia="Times New Roman" w:cstheme="minorHAnsi"/>
          <w:bCs/>
          <w:szCs w:val="20"/>
        </w:rPr>
        <w:t>10.1</w:t>
      </w:r>
    </w:p>
    <w:p w:rsidR="00EC3725" w:rsidRPr="00EC3725" w:rsidRDefault="00EC3725" w:rsidP="0033664D">
      <w:pPr>
        <w:spacing w:after="60" w:line="240" w:lineRule="auto"/>
        <w:ind w:left="1985" w:hanging="1985"/>
        <w:rPr>
          <w:rFonts w:eastAsia="Times New Roman" w:cstheme="minorHAnsi"/>
          <w:b/>
          <w:bCs/>
          <w:szCs w:val="20"/>
        </w:rPr>
      </w:pPr>
      <w:r w:rsidRPr="00EC3725">
        <w:rPr>
          <w:rFonts w:eastAsia="Times New Roman" w:cstheme="minorHAnsi"/>
          <w:b/>
          <w:bCs/>
          <w:szCs w:val="20"/>
        </w:rPr>
        <w:t>Document for:</w:t>
      </w:r>
      <w:r w:rsidRPr="00EC3725">
        <w:rPr>
          <w:rFonts w:eastAsia="Times New Roman" w:cstheme="minorHAnsi"/>
          <w:b/>
          <w:bCs/>
          <w:szCs w:val="20"/>
        </w:rPr>
        <w:tab/>
      </w:r>
      <w:r w:rsidRPr="00EC3725">
        <w:rPr>
          <w:rFonts w:eastAsia="Times New Roman" w:cstheme="minorHAnsi"/>
          <w:bCs/>
          <w:szCs w:val="20"/>
        </w:rPr>
        <w:t>Discussion</w:t>
      </w:r>
    </w:p>
    <w:p w:rsidR="00EC3725" w:rsidRPr="00EC3725" w:rsidRDefault="00EC3725" w:rsidP="0033664D">
      <w:pPr>
        <w:spacing w:after="60" w:line="240" w:lineRule="auto"/>
        <w:ind w:left="1985" w:hanging="1985"/>
        <w:rPr>
          <w:rFonts w:eastAsia="Times New Roman" w:cstheme="minorHAnsi"/>
          <w:b/>
          <w:bCs/>
          <w:szCs w:val="20"/>
        </w:rPr>
      </w:pPr>
      <w:r w:rsidRPr="00EC3725">
        <w:rPr>
          <w:rFonts w:eastAsia="Times New Roman" w:cstheme="minorHAnsi"/>
          <w:b/>
          <w:bCs/>
          <w:szCs w:val="20"/>
        </w:rPr>
        <w:t>Contact:</w:t>
      </w:r>
      <w:r w:rsidRPr="00EC3725">
        <w:rPr>
          <w:rFonts w:eastAsia="Times New Roman" w:cstheme="minorHAnsi"/>
          <w:b/>
          <w:bCs/>
          <w:szCs w:val="20"/>
        </w:rPr>
        <w:tab/>
      </w:r>
      <w:proofErr w:type="spellStart"/>
      <w:r w:rsidRPr="0033664D">
        <w:rPr>
          <w:rFonts w:eastAsia="Times New Roman" w:cstheme="minorHAnsi"/>
          <w:bCs/>
          <w:szCs w:val="20"/>
        </w:rPr>
        <w:t>gor</w:t>
      </w:r>
      <w:r w:rsidR="00AB6CED">
        <w:rPr>
          <w:rFonts w:eastAsia="Times New Roman" w:cstheme="minorHAnsi"/>
          <w:bCs/>
          <w:szCs w:val="20"/>
        </w:rPr>
        <w:t>do</w:t>
      </w:r>
      <w:r w:rsidRPr="0033664D">
        <w:rPr>
          <w:rFonts w:eastAsia="Times New Roman" w:cstheme="minorHAnsi"/>
          <w:bCs/>
          <w:szCs w:val="20"/>
        </w:rPr>
        <w:t>npetery</w:t>
      </w:r>
      <w:proofErr w:type="spellEnd"/>
      <w:r w:rsidRPr="0033664D">
        <w:rPr>
          <w:rFonts w:eastAsia="Times New Roman" w:cstheme="minorHAnsi"/>
          <w:bCs/>
          <w:szCs w:val="20"/>
        </w:rPr>
        <w:t xml:space="preserve"> (at) </w:t>
      </w:r>
      <w:proofErr w:type="spellStart"/>
      <w:r w:rsidRPr="0033664D">
        <w:rPr>
          <w:rFonts w:eastAsia="Times New Roman" w:cstheme="minorHAnsi"/>
          <w:bCs/>
          <w:szCs w:val="20"/>
        </w:rPr>
        <w:t>xiaomi</w:t>
      </w:r>
      <w:proofErr w:type="spellEnd"/>
      <w:r w:rsidRPr="0033664D">
        <w:rPr>
          <w:rFonts w:eastAsia="Times New Roman" w:cstheme="minorHAnsi"/>
          <w:bCs/>
          <w:szCs w:val="20"/>
        </w:rPr>
        <w:t xml:space="preserve"> (dot) com</w:t>
      </w:r>
    </w:p>
    <w:p w:rsidR="00EC3725" w:rsidRPr="00EC3725" w:rsidRDefault="00EC3725" w:rsidP="00EC3725">
      <w:pPr>
        <w:pBdr>
          <w:bottom w:val="single" w:sz="6" w:space="1" w:color="auto"/>
        </w:pBdr>
        <w:spacing w:after="0" w:line="240" w:lineRule="auto"/>
        <w:rPr>
          <w:rFonts w:ascii="Times New Roman" w:eastAsia="MS Mincho" w:hAnsi="Times New Roman" w:cs="Times New Roman"/>
          <w:sz w:val="24"/>
          <w:szCs w:val="24"/>
          <w:lang w:eastAsia="ja-JP"/>
        </w:rPr>
      </w:pPr>
    </w:p>
    <w:p w:rsidR="00EC3725" w:rsidRPr="00EC3725" w:rsidRDefault="00EC3725" w:rsidP="00EC3725">
      <w:pPr>
        <w:spacing w:after="200" w:line="276" w:lineRule="auto"/>
        <w:rPr>
          <w:rFonts w:eastAsia="Calibri" w:cstheme="minorHAnsi"/>
          <w:i/>
        </w:rPr>
      </w:pPr>
      <w:r w:rsidRPr="00EC3725">
        <w:rPr>
          <w:rFonts w:eastAsia="Calibri" w:cstheme="minorHAnsi"/>
          <w:i/>
        </w:rPr>
        <w:t>Abstract: This document provides input to the discussion on KVs and KVIs</w:t>
      </w:r>
    </w:p>
    <w:p w:rsidR="00EC3725" w:rsidRPr="00EC3725" w:rsidRDefault="00EC3725" w:rsidP="00EC3725">
      <w:pPr>
        <w:spacing w:after="120" w:line="240" w:lineRule="auto"/>
        <w:outlineLvl w:val="1"/>
        <w:rPr>
          <w:rFonts w:ascii="Arial" w:eastAsia="Times New Roman" w:hAnsi="Arial" w:cs="Times New Roman"/>
          <w:b/>
          <w:noProof/>
          <w:sz w:val="20"/>
          <w:szCs w:val="20"/>
        </w:rPr>
      </w:pPr>
      <w:r w:rsidRPr="00EC3725">
        <w:rPr>
          <w:rFonts w:ascii="Arial" w:eastAsia="Times New Roman" w:hAnsi="Arial" w:cs="Times New Roman"/>
          <w:b/>
          <w:noProof/>
          <w:sz w:val="20"/>
          <w:szCs w:val="20"/>
        </w:rPr>
        <w:t xml:space="preserve">1. </w:t>
      </w:r>
      <w:r>
        <w:rPr>
          <w:rFonts w:ascii="Arial" w:eastAsia="Times New Roman" w:hAnsi="Arial" w:cs="Times New Roman"/>
          <w:b/>
          <w:noProof/>
          <w:sz w:val="20"/>
          <w:szCs w:val="20"/>
        </w:rPr>
        <w:t>Introduction</w:t>
      </w:r>
    </w:p>
    <w:p w:rsidR="00596DC7" w:rsidRDefault="00336CEF">
      <w:r>
        <w:t xml:space="preserve">The introduction of </w:t>
      </w:r>
      <w:r w:rsidR="009F16DE">
        <w:t>Key Values (</w:t>
      </w:r>
      <w:r>
        <w:t>KVs</w:t>
      </w:r>
      <w:r w:rsidR="009F16DE">
        <w:t>)</w:t>
      </w:r>
      <w:r>
        <w:t xml:space="preserve"> and K</w:t>
      </w:r>
      <w:r w:rsidR="009F16DE">
        <w:t xml:space="preserve">ey </w:t>
      </w:r>
      <w:r>
        <w:t>V</w:t>
      </w:r>
      <w:r w:rsidR="009F16DE">
        <w:t xml:space="preserve">alue </w:t>
      </w:r>
      <w:r>
        <w:t>I</w:t>
      </w:r>
      <w:r w:rsidR="009F16DE">
        <w:t>ndicator</w:t>
      </w:r>
      <w:r>
        <w:t>s</w:t>
      </w:r>
      <w:r w:rsidR="009F16DE">
        <w:t xml:space="preserve"> (KVIs)</w:t>
      </w:r>
      <w:r>
        <w:t xml:space="preserve"> </w:t>
      </w:r>
      <w:r w:rsidR="009F16DE">
        <w:t xml:space="preserve">for 6G </w:t>
      </w:r>
      <w:r>
        <w:t xml:space="preserve">based on </w:t>
      </w:r>
      <w:r w:rsidR="00146FAC">
        <w:t>the</w:t>
      </w:r>
      <w:r w:rsidR="00CA28B3">
        <w:t xml:space="preserve"> 17</w:t>
      </w:r>
      <w:r w:rsidR="00146FAC">
        <w:t xml:space="preserve"> UN Sustainability Development Goals </w:t>
      </w:r>
      <w:r w:rsidR="00CA28B3">
        <w:t xml:space="preserve">(UN SDGs) </w:t>
      </w:r>
      <w:r w:rsidR="00146FAC">
        <w:t>[2]</w:t>
      </w:r>
      <w:r w:rsidR="009F16DE">
        <w:t>,</w:t>
      </w:r>
      <w:r w:rsidR="00146FAC">
        <w:t xml:space="preserve"> </w:t>
      </w:r>
      <w:r w:rsidR="009F16DE">
        <w:t>are proposed</w:t>
      </w:r>
      <w:r w:rsidR="0038039B">
        <w:t xml:space="preserve">. </w:t>
      </w:r>
      <w:r w:rsidR="00CA28B3">
        <w:t xml:space="preserve">SA1 </w:t>
      </w:r>
      <w:r w:rsidR="009F16DE">
        <w:t>generally have</w:t>
      </w:r>
      <w:r w:rsidR="00146FAC">
        <w:t xml:space="preserve"> supported </w:t>
      </w:r>
      <w:r w:rsidR="009F16DE">
        <w:t xml:space="preserve">consideration of KVs </w:t>
      </w:r>
      <w:r w:rsidR="0038039B">
        <w:t>and discussed their introduction using the</w:t>
      </w:r>
      <w:r w:rsidR="009F16DE">
        <w:t xml:space="preserve"> </w:t>
      </w:r>
      <w:r w:rsidR="00146FAC">
        <w:t>“</w:t>
      </w:r>
      <w:r w:rsidR="006253EB">
        <w:t>three pillars</w:t>
      </w:r>
      <w:r w:rsidR="00146FAC">
        <w:t xml:space="preserve"> of sustainability”</w:t>
      </w:r>
      <w:r w:rsidR="0038039B">
        <w:t xml:space="preserve"> introduced in</w:t>
      </w:r>
      <w:r w:rsidR="00146FAC">
        <w:t xml:space="preserve"> [1]</w:t>
      </w:r>
      <w:r w:rsidR="009F16DE">
        <w:t xml:space="preserve">, which is considered necessary </w:t>
      </w:r>
      <w:r w:rsidR="006253EB">
        <w:t xml:space="preserve">for 6G to be successful. </w:t>
      </w:r>
      <w:r w:rsidR="00146FAC">
        <w:t xml:space="preserve">These three pillars are </w:t>
      </w:r>
      <w:r w:rsidR="00CA28B3">
        <w:t>environmental, societal and economic sustainability</w:t>
      </w:r>
      <w:r w:rsidR="0038039B">
        <w:t xml:space="preserve">, and align with ITU-R </w:t>
      </w:r>
      <w:r w:rsidR="00AB6CED">
        <w:t xml:space="preserve">[4] </w:t>
      </w:r>
      <w:r w:rsidR="0038039B">
        <w:t>and UN SDGs</w:t>
      </w:r>
      <w:r w:rsidR="00AB6CED">
        <w:t xml:space="preserve"> [2] [3]</w:t>
      </w:r>
      <w:r w:rsidR="00CA28B3">
        <w:t>.</w:t>
      </w:r>
      <w:r w:rsidR="00146FAC">
        <w:t xml:space="preserve"> </w:t>
      </w:r>
    </w:p>
    <w:p w:rsidR="009F16DE" w:rsidRDefault="009F16DE">
      <w:r>
        <w:t xml:space="preserve">The intent is that KVs/KVIs add additional </w:t>
      </w:r>
      <w:r w:rsidR="00AB6CED">
        <w:t>information</w:t>
      </w:r>
      <w:r>
        <w:t xml:space="preserve"> regarding the potential of a use case and a feature to address identified development goals </w:t>
      </w:r>
      <w:r w:rsidR="0038039B">
        <w:t xml:space="preserve">ultimately </w:t>
      </w:r>
      <w:r>
        <w:t>in line with identified UN Goals,</w:t>
      </w:r>
      <w:r w:rsidR="0038039B">
        <w:t xml:space="preserve"> </w:t>
      </w:r>
      <w:r w:rsidR="00AB6CED">
        <w:t>it is noted that</w:t>
      </w:r>
      <w:r w:rsidR="0038039B">
        <w:t xml:space="preserve"> this is</w:t>
      </w:r>
      <w:r>
        <w:t xml:space="preserve"> in addition to the key performance indicators normally captured by SA1.</w:t>
      </w:r>
    </w:p>
    <w:p w:rsidR="00124FE8" w:rsidRDefault="00CA28B3">
      <w:r>
        <w:t>Additionally</w:t>
      </w:r>
      <w:r w:rsidR="009F16DE">
        <w:t>,</w:t>
      </w:r>
      <w:r>
        <w:t xml:space="preserve"> </w:t>
      </w:r>
      <w:r w:rsidR="00AB6CED">
        <w:t xml:space="preserve">[1] </w:t>
      </w:r>
      <w:r>
        <w:t>note</w:t>
      </w:r>
      <w:r w:rsidR="00AB6CED">
        <w:t>s</w:t>
      </w:r>
      <w:r>
        <w:t xml:space="preserve"> that these 17 UN SDGs are further specified into 169 </w:t>
      </w:r>
      <w:r w:rsidR="000F2C3C">
        <w:t xml:space="preserve">KVI </w:t>
      </w:r>
      <w:r>
        <w:t xml:space="preserve">targets, </w:t>
      </w:r>
      <w:r w:rsidR="0038039B">
        <w:t>where</w:t>
      </w:r>
      <w:r w:rsidR="000F2C3C">
        <w:t xml:space="preserve"> a </w:t>
      </w:r>
      <w:r>
        <w:t xml:space="preserve">number of these indicators are defined from the perspective of the different member countries, hence </w:t>
      </w:r>
      <w:r w:rsidR="000F2C3C">
        <w:t>rais</w:t>
      </w:r>
      <w:r w:rsidR="0038039B">
        <w:t>ing</w:t>
      </w:r>
      <w:r w:rsidR="000F2C3C">
        <w:t xml:space="preserve"> concern</w:t>
      </w:r>
      <w:r w:rsidR="0038039B">
        <w:t>s</w:t>
      </w:r>
      <w:r w:rsidR="000F2C3C">
        <w:t xml:space="preserve"> regarding the ability to identify a single clear </w:t>
      </w:r>
      <w:r>
        <w:t xml:space="preserve">industry global </w:t>
      </w:r>
      <w:r w:rsidR="0038039B">
        <w:t>KVIs  applicable on a global basis</w:t>
      </w:r>
      <w:r w:rsidR="009F16DE">
        <w:t xml:space="preserve">. However going forward </w:t>
      </w:r>
      <w:r w:rsidR="0038039B">
        <w:t xml:space="preserve">use of the Key Value (KV) </w:t>
      </w:r>
      <w:r>
        <w:t xml:space="preserve">may be </w:t>
      </w:r>
      <w:r w:rsidR="009F16DE">
        <w:t xml:space="preserve">considered as </w:t>
      </w:r>
      <w:r>
        <w:t>a starting point</w:t>
      </w:r>
      <w:r w:rsidR="000F2C3C">
        <w:t xml:space="preserve"> for further evaluation in 3GPP, assuming SA1 </w:t>
      </w:r>
      <w:r w:rsidR="00AB6CED">
        <w:t>progresses the</w:t>
      </w:r>
      <w:r w:rsidR="000F2C3C">
        <w:t xml:space="preserve"> study.</w:t>
      </w:r>
    </w:p>
    <w:p w:rsidR="00FC6792" w:rsidRDefault="0038039B">
      <w:r>
        <w:t xml:space="preserve">Further, </w:t>
      </w:r>
      <w:r w:rsidR="00FC6792">
        <w:t>SA1</w:t>
      </w:r>
      <w:r w:rsidR="00EC3725">
        <w:t>#105</w:t>
      </w:r>
      <w:r w:rsidR="00FC6792">
        <w:t xml:space="preserve"> </w:t>
      </w:r>
      <w:r w:rsidR="00EC3725">
        <w:t xml:space="preserve">offline discussion </w:t>
      </w:r>
      <w:r w:rsidR="0062229C">
        <w:t>[</w:t>
      </w:r>
      <w:r w:rsidR="003D5327">
        <w:t xml:space="preserve">6] </w:t>
      </w:r>
      <w:r w:rsidR="00FC6792">
        <w:t>identified the following</w:t>
      </w:r>
      <w:r w:rsidR="00EC3725">
        <w:t xml:space="preserve"> “dos and </w:t>
      </w:r>
      <w:proofErr w:type="spellStart"/>
      <w:r w:rsidR="00EC3725">
        <w:t>donts</w:t>
      </w:r>
      <w:proofErr w:type="spellEnd"/>
      <w:r w:rsidR="00EC3725">
        <w:t>”</w:t>
      </w:r>
      <w:r w:rsidR="003D5327">
        <w:t xml:space="preserve"> in regards to potential handling of KVs/ KVIs by SA1</w:t>
      </w:r>
      <w:r w:rsidR="00EC3725">
        <w:t>, and it is expected that this will be used as a reference for the continuation of discussions</w:t>
      </w:r>
      <w:r w:rsidR="00124FE8">
        <w:t>.</w:t>
      </w:r>
    </w:p>
    <w:p w:rsidR="006142E2" w:rsidRDefault="006142E2">
      <w:pPr>
        <w:rPr>
          <w:lang w:val="en-US"/>
        </w:rPr>
      </w:pPr>
      <w:r>
        <w:t xml:space="preserve">The following </w:t>
      </w:r>
      <w:r w:rsidRPr="006142E2">
        <w:rPr>
          <w:lang w:val="en-US"/>
        </w:rPr>
        <w:t>are non-exhaustive and may be revised during</w:t>
      </w:r>
      <w:r>
        <w:rPr>
          <w:lang w:val="en-US"/>
        </w:rPr>
        <w:t xml:space="preserve"> the ongoing</w:t>
      </w:r>
      <w:r w:rsidRPr="006142E2">
        <w:rPr>
          <w:lang w:val="en-US"/>
        </w:rPr>
        <w:t xml:space="preserve"> SA1 Rel-20 work</w:t>
      </w:r>
      <w:r>
        <w:rPr>
          <w:lang w:val="en-US"/>
        </w:rPr>
        <w:t>.</w:t>
      </w:r>
    </w:p>
    <w:tbl>
      <w:tblPr>
        <w:tblStyle w:val="TableGrid"/>
        <w:tblW w:w="0" w:type="auto"/>
        <w:tblLook w:val="04A0" w:firstRow="1" w:lastRow="0" w:firstColumn="1" w:lastColumn="0" w:noHBand="0" w:noVBand="1"/>
      </w:tblPr>
      <w:tblGrid>
        <w:gridCol w:w="9016"/>
      </w:tblGrid>
      <w:tr w:rsidR="006142E2" w:rsidTr="006142E2">
        <w:tc>
          <w:tcPr>
            <w:tcW w:w="9016" w:type="dxa"/>
          </w:tcPr>
          <w:p w:rsidR="006142E2" w:rsidRPr="006142E2" w:rsidRDefault="006142E2" w:rsidP="006142E2">
            <w:pPr>
              <w:numPr>
                <w:ilvl w:val="0"/>
                <w:numId w:val="1"/>
              </w:numPr>
              <w:tabs>
                <w:tab w:val="clear" w:pos="360"/>
                <w:tab w:val="num" w:pos="720"/>
              </w:tabs>
              <w:spacing w:after="160" w:line="259" w:lineRule="auto"/>
            </w:pPr>
            <w:r w:rsidRPr="006142E2">
              <w:rPr>
                <w:iCs/>
                <w:lang w:val="en-US"/>
              </w:rPr>
              <w:t>Dos</w:t>
            </w:r>
          </w:p>
          <w:p w:rsidR="006142E2" w:rsidRPr="006142E2" w:rsidRDefault="006142E2" w:rsidP="006142E2">
            <w:pPr>
              <w:pStyle w:val="ListParagraph"/>
              <w:numPr>
                <w:ilvl w:val="0"/>
                <w:numId w:val="4"/>
              </w:numPr>
            </w:pPr>
            <w:r w:rsidRPr="006142E2">
              <w:rPr>
                <w:lang w:val="en-US"/>
              </w:rPr>
              <w:t>Consider “Key Values” (KVs)* as an experiment for Rel-20 Part 2 (6G) study</w:t>
            </w:r>
          </w:p>
          <w:p w:rsidR="006142E2" w:rsidRPr="006142E2" w:rsidRDefault="006142E2" w:rsidP="006142E2">
            <w:pPr>
              <w:pStyle w:val="ListParagraph"/>
              <w:numPr>
                <w:ilvl w:val="0"/>
                <w:numId w:val="4"/>
              </w:numPr>
            </w:pPr>
            <w:r w:rsidRPr="006142E2">
              <w:rPr>
                <w:lang w:val="en-US"/>
              </w:rPr>
              <w:t>Agree on a subset of KVs – and define them from SA1 perspective</w:t>
            </w:r>
          </w:p>
          <w:p w:rsidR="006142E2" w:rsidRPr="006142E2" w:rsidRDefault="006142E2" w:rsidP="006142E2">
            <w:pPr>
              <w:pStyle w:val="ListParagraph"/>
              <w:numPr>
                <w:ilvl w:val="0"/>
                <w:numId w:val="4"/>
              </w:numPr>
            </w:pPr>
            <w:r w:rsidRPr="006142E2">
              <w:rPr>
                <w:lang w:val="en-US"/>
              </w:rPr>
              <w:t>Formally analyze SA1 6G Rel-20 use cases (and potential SIDs) with respect to those KVs</w:t>
            </w:r>
          </w:p>
          <w:p w:rsidR="006142E2" w:rsidRPr="006142E2" w:rsidRDefault="006142E2" w:rsidP="006142E2">
            <w:pPr>
              <w:pStyle w:val="ListParagraph"/>
              <w:numPr>
                <w:ilvl w:val="0"/>
                <w:numId w:val="4"/>
              </w:numPr>
            </w:pPr>
            <w:r w:rsidRPr="006142E2">
              <w:rPr>
                <w:lang w:val="en-US"/>
              </w:rPr>
              <w:t>Evaluate this work before Rel-21 normative work</w:t>
            </w:r>
          </w:p>
          <w:p w:rsidR="006142E2" w:rsidRPr="006142E2" w:rsidRDefault="006142E2" w:rsidP="006142E2">
            <w:pPr>
              <w:numPr>
                <w:ilvl w:val="0"/>
                <w:numId w:val="1"/>
              </w:numPr>
              <w:tabs>
                <w:tab w:val="clear" w:pos="360"/>
                <w:tab w:val="num" w:pos="720"/>
              </w:tabs>
              <w:spacing w:after="160" w:line="259" w:lineRule="auto"/>
            </w:pPr>
            <w:proofErr w:type="spellStart"/>
            <w:r w:rsidRPr="006142E2">
              <w:rPr>
                <w:lang w:val="en-US"/>
              </w:rPr>
              <w:t>Donts</w:t>
            </w:r>
            <w:proofErr w:type="spellEnd"/>
          </w:p>
          <w:p w:rsidR="006142E2" w:rsidRPr="006142E2" w:rsidRDefault="006142E2" w:rsidP="006142E2">
            <w:pPr>
              <w:pStyle w:val="ListParagraph"/>
              <w:numPr>
                <w:ilvl w:val="0"/>
                <w:numId w:val="5"/>
              </w:numPr>
            </w:pPr>
            <w:r w:rsidRPr="006142E2">
              <w:rPr>
                <w:lang w:val="en-US"/>
              </w:rPr>
              <w:t>KVI / metrics are not mandatory but can still be proposed by IMs</w:t>
            </w:r>
          </w:p>
          <w:p w:rsidR="006142E2" w:rsidRPr="006142E2" w:rsidRDefault="006142E2" w:rsidP="006142E2">
            <w:pPr>
              <w:pStyle w:val="ListParagraph"/>
              <w:numPr>
                <w:ilvl w:val="0"/>
                <w:numId w:val="5"/>
              </w:numPr>
            </w:pPr>
            <w:r w:rsidRPr="006142E2">
              <w:rPr>
                <w:lang w:val="en-US"/>
              </w:rPr>
              <w:t>Don’t filter out work *only* based on KV criteria (consensus remains king)</w:t>
            </w:r>
          </w:p>
          <w:p w:rsidR="006142E2" w:rsidRPr="006142E2" w:rsidRDefault="006142E2" w:rsidP="006142E2">
            <w:pPr>
              <w:pStyle w:val="ListParagraph"/>
              <w:numPr>
                <w:ilvl w:val="0"/>
                <w:numId w:val="5"/>
              </w:numPr>
            </w:pPr>
            <w:r w:rsidRPr="006142E2">
              <w:rPr>
                <w:lang w:val="en-US"/>
              </w:rPr>
              <w:t>Don’t overlook the KV analysis although this is contribution driven (take it seriously and as systematically as possible)</w:t>
            </w:r>
          </w:p>
          <w:p w:rsidR="006142E2" w:rsidRPr="006142E2" w:rsidRDefault="006142E2" w:rsidP="006142E2">
            <w:pPr>
              <w:pStyle w:val="ListParagraph"/>
              <w:numPr>
                <w:ilvl w:val="0"/>
                <w:numId w:val="5"/>
              </w:numPr>
            </w:pPr>
            <w:r w:rsidRPr="006142E2">
              <w:rPr>
                <w:lang w:val="en-US"/>
              </w:rPr>
              <w:t>Don’t assume any follow-up at normative stage for now (nor any impact to other 3GPP WGs)</w:t>
            </w:r>
          </w:p>
          <w:p w:rsidR="006142E2" w:rsidRDefault="006142E2"/>
        </w:tc>
      </w:tr>
    </w:tbl>
    <w:p w:rsidR="006142E2" w:rsidRDefault="006142E2"/>
    <w:p w:rsidR="006253EB" w:rsidRDefault="006142E2">
      <w:r>
        <w:t>And for S1#106 the call is to address some of or all of the following.</w:t>
      </w:r>
    </w:p>
    <w:p w:rsidR="006142E2" w:rsidRDefault="006142E2" w:rsidP="006142E2">
      <w:pPr>
        <w:pStyle w:val="ListParagraph"/>
        <w:numPr>
          <w:ilvl w:val="0"/>
          <w:numId w:val="3"/>
        </w:numPr>
      </w:pPr>
      <w:r>
        <w:t>Terminology around “key values” in 3GPP/SA1: value, goal, principle etc</w:t>
      </w:r>
    </w:p>
    <w:p w:rsidR="006142E2" w:rsidRDefault="006142E2" w:rsidP="006142E2">
      <w:pPr>
        <w:pStyle w:val="ListParagraph"/>
        <w:numPr>
          <w:ilvl w:val="0"/>
          <w:numId w:val="3"/>
        </w:numPr>
      </w:pPr>
      <w:r>
        <w:lastRenderedPageBreak/>
        <w:t>Proposals for a common set of  “key values” to be used in SA1 Rel20 Part2, and their associated meaning/definition/scope</w:t>
      </w:r>
    </w:p>
    <w:p w:rsidR="006142E2" w:rsidRDefault="006142E2" w:rsidP="006142E2">
      <w:pPr>
        <w:pStyle w:val="ListParagraph"/>
        <w:numPr>
          <w:ilvl w:val="0"/>
          <w:numId w:val="3"/>
        </w:numPr>
      </w:pPr>
      <w:r>
        <w:t xml:space="preserve">How to implement “key values” in SA1 Rel20 Part2 </w:t>
      </w:r>
      <w:proofErr w:type="spellStart"/>
      <w:r>
        <w:t>eg</w:t>
      </w:r>
      <w:proofErr w:type="spellEnd"/>
      <w:r>
        <w:t xml:space="preserve"> in SID, TR etc</w:t>
      </w:r>
    </w:p>
    <w:p w:rsidR="006142E2" w:rsidRDefault="006142E2" w:rsidP="006142E2">
      <w:pPr>
        <w:pStyle w:val="ListParagraph"/>
        <w:numPr>
          <w:ilvl w:val="0"/>
          <w:numId w:val="3"/>
        </w:numPr>
      </w:pPr>
      <w:r>
        <w:t>Other considerations on “key values”</w:t>
      </w:r>
    </w:p>
    <w:p w:rsidR="006253EB" w:rsidRDefault="006253EB"/>
    <w:p w:rsidR="006142E2" w:rsidRDefault="00471FD2" w:rsidP="00471FD2">
      <w:pPr>
        <w:outlineLvl w:val="1"/>
      </w:pPr>
      <w:r>
        <w:t>2. Discussion</w:t>
      </w:r>
    </w:p>
    <w:p w:rsidR="0077455E" w:rsidRDefault="0077455E" w:rsidP="0077455E">
      <w:r>
        <w:t>T</w:t>
      </w:r>
      <w:r w:rsidRPr="000F2C3C">
        <w:t xml:space="preserve">he KVs/KVIs </w:t>
      </w:r>
      <w:r>
        <w:t xml:space="preserve">are intended </w:t>
      </w:r>
      <w:r w:rsidRPr="000F2C3C">
        <w:t>to support the 3GPP submission to the ITU-R for IMT-2030</w:t>
      </w:r>
      <w:r>
        <w:t>,</w:t>
      </w:r>
      <w:r w:rsidRPr="000F2C3C">
        <w:t xml:space="preserve"> </w:t>
      </w:r>
      <w:r>
        <w:t xml:space="preserve">hence </w:t>
      </w:r>
      <w:r w:rsidR="00631A66">
        <w:t xml:space="preserve">SA1s </w:t>
      </w:r>
      <w:r>
        <w:t>identification of suitable KV/KVIs could be aligned with identified ITU-R KVs/KVIs since this the clear objective</w:t>
      </w:r>
      <w:r w:rsidRPr="000F2C3C">
        <w:t>. However, the definition of KVs and specific</w:t>
      </w:r>
      <w:r w:rsidR="00631A66">
        <w:t>ally</w:t>
      </w:r>
      <w:r w:rsidRPr="000F2C3C">
        <w:t xml:space="preserve"> associated KVIs is still under development as indicated in [4]</w:t>
      </w:r>
      <w:r w:rsidR="00711D7C">
        <w:t xml:space="preserve">, but the values described </w:t>
      </w:r>
      <w:r w:rsidR="00631A66">
        <w:t>c</w:t>
      </w:r>
      <w:r w:rsidR="00711D7C">
        <w:t>ould be a basis for further discussion</w:t>
      </w:r>
      <w:r w:rsidRPr="000F2C3C">
        <w:t xml:space="preserve">. </w:t>
      </w:r>
    </w:p>
    <w:p w:rsidR="005F59BE" w:rsidRPr="005F59BE" w:rsidRDefault="005F59BE" w:rsidP="0077455E">
      <w:pPr>
        <w:rPr>
          <w:b/>
        </w:rPr>
      </w:pPr>
      <w:r w:rsidRPr="005F59BE">
        <w:rPr>
          <w:b/>
        </w:rPr>
        <w:t>Observation: KVs are proposed to show value of 6G development towards UN SDGs</w:t>
      </w:r>
      <w:r>
        <w:rPr>
          <w:b/>
        </w:rPr>
        <w:t xml:space="preserve"> [2]</w:t>
      </w:r>
      <w:r w:rsidRPr="005F59BE">
        <w:rPr>
          <w:b/>
        </w:rPr>
        <w:t xml:space="preserve">. It is expected that </w:t>
      </w:r>
      <w:r>
        <w:rPr>
          <w:b/>
        </w:rPr>
        <w:t xml:space="preserve">3GPP may use these values </w:t>
      </w:r>
      <w:r w:rsidRPr="005F59BE">
        <w:rPr>
          <w:b/>
        </w:rPr>
        <w:t>towards the ITU-R submission.</w:t>
      </w:r>
    </w:p>
    <w:p w:rsidR="00AB6CED" w:rsidRPr="000F2C3C" w:rsidRDefault="00AB6CED" w:rsidP="00AB6CED">
      <w:pPr>
        <w:rPr>
          <w:b/>
        </w:rPr>
      </w:pPr>
      <w:bookmarkStart w:id="1" w:name="_Hlk166830912"/>
      <w:r>
        <w:rPr>
          <w:b/>
        </w:rPr>
        <w:t>Proposal 1</w:t>
      </w:r>
      <w:r w:rsidRPr="000F2C3C">
        <w:rPr>
          <w:b/>
        </w:rPr>
        <w:t xml:space="preserve">: KVs identified by SA1 should align with ITU-R </w:t>
      </w:r>
      <w:r>
        <w:rPr>
          <w:b/>
        </w:rPr>
        <w:t>use of KVs and KVIs</w:t>
      </w:r>
      <w:r w:rsidRPr="000F2C3C">
        <w:rPr>
          <w:b/>
        </w:rPr>
        <w:t>.</w:t>
      </w:r>
    </w:p>
    <w:bookmarkEnd w:id="1"/>
    <w:p w:rsidR="00AB6CED" w:rsidRDefault="00AB6CED" w:rsidP="0077455E"/>
    <w:p w:rsidR="0077455E" w:rsidRDefault="0077455E" w:rsidP="0077455E">
      <w:r w:rsidRPr="005042E0">
        <w:t>The ITU</w:t>
      </w:r>
      <w:r w:rsidR="00711D7C">
        <w:t>-R [4]</w:t>
      </w:r>
      <w:r w:rsidRPr="005042E0">
        <w:t xml:space="preserve"> references the UN Sustainable Development Goals as targets for KV definition and development and it is clear</w:t>
      </w:r>
      <w:r w:rsidR="00711D7C">
        <w:t xml:space="preserve"> from the</w:t>
      </w:r>
      <w:r w:rsidR="00BF3C32">
        <w:t xml:space="preserve"> UN</w:t>
      </w:r>
      <w:r w:rsidR="00711D7C">
        <w:t xml:space="preserve"> Goal definitions and measured performance</w:t>
      </w:r>
      <w:r w:rsidRPr="005042E0">
        <w:t xml:space="preserve"> [2] [3] that the relationship between any feature development and the KV is highly </w:t>
      </w:r>
      <w:r w:rsidR="00711D7C" w:rsidRPr="005042E0">
        <w:t>dependent</w:t>
      </w:r>
      <w:r w:rsidRPr="005042E0">
        <w:t xml:space="preserve"> on factors which are </w:t>
      </w:r>
      <w:r w:rsidR="004600EE">
        <w:t xml:space="preserve">outside the scope of 3GPP control, </w:t>
      </w:r>
      <w:r w:rsidRPr="005042E0">
        <w:t xml:space="preserve">variable, difficult to quantitively define and </w:t>
      </w:r>
      <w:r w:rsidR="00631A66">
        <w:t xml:space="preserve">it is unclear as to whether </w:t>
      </w:r>
      <w:r w:rsidRPr="005042E0">
        <w:t>reliable evaluat</w:t>
      </w:r>
      <w:r w:rsidR="00631A66">
        <w:t>ion</w:t>
      </w:r>
      <w:r w:rsidRPr="005042E0">
        <w:t xml:space="preserve"> in repeatable ways for overlapping use cases over time</w:t>
      </w:r>
      <w:r w:rsidR="00631A66">
        <w:t xml:space="preserve"> is possible</w:t>
      </w:r>
      <w:r w:rsidRPr="005042E0">
        <w:t>.</w:t>
      </w:r>
    </w:p>
    <w:p w:rsidR="00565509" w:rsidRDefault="00BF3C32">
      <w:r>
        <w:t>In addition to the observations above regarding the inability to identify a single Value Indication for the global industry, and c</w:t>
      </w:r>
      <w:r w:rsidR="00565509">
        <w:t xml:space="preserve">onsidering </w:t>
      </w:r>
      <w:r>
        <w:t xml:space="preserve">confirmation of these </w:t>
      </w:r>
      <w:r w:rsidR="00565509">
        <w:t>uncertaint</w:t>
      </w:r>
      <w:r>
        <w:t>ies</w:t>
      </w:r>
      <w:r w:rsidR="005042E0">
        <w:t xml:space="preserve"> in</w:t>
      </w:r>
      <w:r w:rsidR="00565509">
        <w:t xml:space="preserve"> </w:t>
      </w:r>
      <w:r w:rsidR="0077455E">
        <w:t xml:space="preserve">[1] [4], </w:t>
      </w:r>
      <w:r w:rsidR="00565509">
        <w:t xml:space="preserve">in </w:t>
      </w:r>
      <w:r>
        <w:t>determining</w:t>
      </w:r>
      <w:r w:rsidR="00565509">
        <w:t xml:space="preserve"> KVIs and mapping to ITU-R 6G Targets, SA1 can </w:t>
      </w:r>
      <w:r>
        <w:t xml:space="preserve">initially </w:t>
      </w:r>
      <w:r w:rsidR="00565509">
        <w:t>only consider</w:t>
      </w:r>
      <w:r>
        <w:t xml:space="preserve"> defining Key Values (KV) </w:t>
      </w:r>
      <w:r w:rsidR="005042E0">
        <w:t>in</w:t>
      </w:r>
      <w:r w:rsidR="00565509">
        <w:t xml:space="preserve"> general terms. E.g. through identification of key values at a high level.  </w:t>
      </w:r>
    </w:p>
    <w:p w:rsidR="00565509" w:rsidRPr="0077455E" w:rsidRDefault="00934720">
      <w:pPr>
        <w:rPr>
          <w:b/>
        </w:rPr>
      </w:pPr>
      <w:r w:rsidRPr="0077455E">
        <w:rPr>
          <w:b/>
        </w:rPr>
        <w:t>Observation: Definition of KVIs may follow initial work capturing KVs for each sustainability goal</w:t>
      </w:r>
      <w:r w:rsidR="00711D7C">
        <w:rPr>
          <w:b/>
        </w:rPr>
        <w:t xml:space="preserve"> once ITU-R has progressed these definitions and target goals</w:t>
      </w:r>
      <w:r w:rsidRPr="0077455E">
        <w:rPr>
          <w:b/>
        </w:rPr>
        <w:t>.</w:t>
      </w:r>
    </w:p>
    <w:p w:rsidR="00BF3C32" w:rsidRPr="003406CA" w:rsidRDefault="00BF3C32" w:rsidP="00BF3C32">
      <w:pPr>
        <w:rPr>
          <w:b/>
        </w:rPr>
      </w:pPr>
      <w:r w:rsidRPr="003406CA">
        <w:rPr>
          <w:b/>
        </w:rPr>
        <w:t>Proposal</w:t>
      </w:r>
      <w:r>
        <w:rPr>
          <w:b/>
        </w:rPr>
        <w:t xml:space="preserve"> 2</w:t>
      </w:r>
      <w:r w:rsidRPr="003406CA">
        <w:rPr>
          <w:b/>
        </w:rPr>
        <w:t>: SA1 limit</w:t>
      </w:r>
      <w:r>
        <w:rPr>
          <w:b/>
        </w:rPr>
        <w:t>s</w:t>
      </w:r>
      <w:r w:rsidRPr="003406CA">
        <w:rPr>
          <w:b/>
        </w:rPr>
        <w:t xml:space="preserve"> discussion to identification and definition of KVs for a first </w:t>
      </w:r>
      <w:r>
        <w:rPr>
          <w:b/>
        </w:rPr>
        <w:t>part</w:t>
      </w:r>
      <w:r w:rsidRPr="003406CA">
        <w:rPr>
          <w:b/>
        </w:rPr>
        <w:t>.</w:t>
      </w:r>
    </w:p>
    <w:p w:rsidR="00934720" w:rsidRDefault="00934720"/>
    <w:p w:rsidR="00471FD2" w:rsidRDefault="00EC3725" w:rsidP="00EC3725">
      <w:pPr>
        <w:outlineLvl w:val="1"/>
      </w:pPr>
      <w:r>
        <w:t>2.</w:t>
      </w:r>
      <w:r w:rsidR="005042E0">
        <w:t>1</w:t>
      </w:r>
      <w:r>
        <w:t xml:space="preserve"> </w:t>
      </w:r>
      <w:r w:rsidR="004600EE">
        <w:t>C</w:t>
      </w:r>
      <w:r w:rsidRPr="00EC3725">
        <w:t>ommon set of  “key values”</w:t>
      </w:r>
    </w:p>
    <w:p w:rsidR="004762B9" w:rsidRDefault="00124FE8">
      <w:r>
        <w:t>Regarding the proposed definition</w:t>
      </w:r>
      <w:r w:rsidR="005F3ACE">
        <w:t>,</w:t>
      </w:r>
      <w:r>
        <w:t xml:space="preserve"> scope </w:t>
      </w:r>
      <w:r w:rsidR="005F3ACE">
        <w:t>and use of</w:t>
      </w:r>
      <w:r w:rsidR="0077455E">
        <w:t xml:space="preserve"> a common set of</w:t>
      </w:r>
      <w:r w:rsidR="005F3ACE">
        <w:t xml:space="preserve"> KVs</w:t>
      </w:r>
      <w:r w:rsidR="004762B9">
        <w:t>.</w:t>
      </w:r>
    </w:p>
    <w:p w:rsidR="004762B9" w:rsidRDefault="004762B9">
      <w:r>
        <w:t xml:space="preserve">In a first aspect </w:t>
      </w:r>
      <w:r w:rsidR="003406CA">
        <w:t xml:space="preserve">should KV </w:t>
      </w:r>
      <w:r w:rsidR="00631A66">
        <w:t xml:space="preserve">discussion </w:t>
      </w:r>
      <w:r w:rsidR="003406CA">
        <w:t>be handled separately from REL-20</w:t>
      </w:r>
      <w:r w:rsidR="00631A66">
        <w:t xml:space="preserve"> 6G</w:t>
      </w:r>
      <w:r w:rsidR="003406CA">
        <w:t xml:space="preserve"> work, or can it be combined directly with Use Case, Building block, study item proposals and related work contributions? </w:t>
      </w:r>
    </w:p>
    <w:p w:rsidR="003406CA" w:rsidRDefault="003406CA">
      <w:r>
        <w:t xml:space="preserve">In general the first step remains to identify clear goal and scope for </w:t>
      </w:r>
      <w:r w:rsidR="00631A66">
        <w:t xml:space="preserve">the use of </w:t>
      </w:r>
      <w:r>
        <w:t>KV and whether KVIs need to be developed. In our view, further to the observation above, we think SA1 discussion should be limited initially to identified KVs, mapping to clear ITU-R requirements. And KVI discussions should await further feedback from ITU-R before proceeding.</w:t>
      </w:r>
    </w:p>
    <w:p w:rsidR="00BF3C32" w:rsidRPr="00BF3C32" w:rsidRDefault="00BF3C32">
      <w:pPr>
        <w:rPr>
          <w:b/>
        </w:rPr>
      </w:pPr>
      <w:r w:rsidRPr="00BF3C32">
        <w:rPr>
          <w:b/>
        </w:rPr>
        <w:t>Proposal 3: SA1 waits for KVI definition and targets from ITU-R, before adopting any KVIs</w:t>
      </w:r>
    </w:p>
    <w:p w:rsidR="00BF3C32" w:rsidRDefault="00BF3C32"/>
    <w:p w:rsidR="003406CA" w:rsidRDefault="003406CA">
      <w:r>
        <w:t xml:space="preserve">What KVs should SA1 work to identify and define? So based [1] [4] and on contributions to SA1#105 it seems SA1 could </w:t>
      </w:r>
      <w:r w:rsidR="00124FE8">
        <w:t xml:space="preserve">address </w:t>
      </w:r>
      <w:r>
        <w:t xml:space="preserve">sustainability goals </w:t>
      </w:r>
      <w:r w:rsidR="0077455E">
        <w:t xml:space="preserve">(or </w:t>
      </w:r>
      <w:r>
        <w:t>the “three pillars”</w:t>
      </w:r>
      <w:r w:rsidR="00934720">
        <w:t>)</w:t>
      </w:r>
      <w:r w:rsidR="005042E0">
        <w:t xml:space="preserve"> from</w:t>
      </w:r>
      <w:r w:rsidR="00711D7C">
        <w:t xml:space="preserve"> studies such as Hexa-X-II </w:t>
      </w:r>
      <w:r w:rsidR="005042E0">
        <w:lastRenderedPageBreak/>
        <w:t>[1]. U</w:t>
      </w:r>
      <w:r w:rsidR="00934720">
        <w:t>sing the</w:t>
      </w:r>
      <w:r w:rsidR="005F3ACE">
        <w:t xml:space="preserve"> example</w:t>
      </w:r>
      <w:r w:rsidR="00934720">
        <w:t>s in [7] we see</w:t>
      </w:r>
      <w:r w:rsidR="005F3ACE">
        <w:t xml:space="preserve"> that </w:t>
      </w:r>
      <w:r w:rsidR="0077455E">
        <w:t xml:space="preserve">one approach </w:t>
      </w:r>
      <w:r w:rsidR="005042E0">
        <w:t>would be</w:t>
      </w:r>
      <w:r w:rsidR="0077455E">
        <w:t xml:space="preserve"> to adopt </w:t>
      </w:r>
      <w:r w:rsidR="005F3ACE">
        <w:t xml:space="preserve">KVs relating to each of the </w:t>
      </w:r>
      <w:r w:rsidR="0077455E">
        <w:t>sustainability goals</w:t>
      </w:r>
      <w:r w:rsidR="005F3ACE">
        <w:t xml:space="preserve"> for each Use Case</w:t>
      </w:r>
      <w:r>
        <w:t>,</w:t>
      </w:r>
      <w:r w:rsidR="005042E0">
        <w:t xml:space="preserve"> </w:t>
      </w:r>
      <w:r w:rsidR="005F3ACE">
        <w:t xml:space="preserve"> Building Block</w:t>
      </w:r>
      <w:r w:rsidR="005042E0">
        <w:t xml:space="preserve"> or</w:t>
      </w:r>
      <w:r w:rsidR="005F3ACE">
        <w:t xml:space="preserve"> Study Item proposal. </w:t>
      </w:r>
    </w:p>
    <w:p w:rsidR="005F3ACE" w:rsidRDefault="00934720">
      <w:r>
        <w:t>As</w:t>
      </w:r>
      <w:r w:rsidR="005F3ACE">
        <w:t xml:space="preserve"> explained </w:t>
      </w:r>
      <w:r w:rsidR="0077455E">
        <w:t>from</w:t>
      </w:r>
      <w:r w:rsidR="005F3ACE">
        <w:t xml:space="preserve"> [1]</w:t>
      </w:r>
      <w:r>
        <w:t xml:space="preserve">, each </w:t>
      </w:r>
      <w:r w:rsidR="0077455E">
        <w:t xml:space="preserve">sustainability goal </w:t>
      </w:r>
      <w:r>
        <w:t>dimension is inter-related to the others to some higher or lesser degree</w:t>
      </w:r>
      <w:r w:rsidR="005F3ACE">
        <w:t>.</w:t>
      </w:r>
    </w:p>
    <w:tbl>
      <w:tblPr>
        <w:tblStyle w:val="TableGrid"/>
        <w:tblpPr w:leftFromText="180" w:rightFromText="180" w:vertAnchor="text" w:horzAnchor="margin" w:tblpY="75"/>
        <w:tblOverlap w:val="never"/>
        <w:tblW w:w="0" w:type="auto"/>
        <w:tblLook w:val="04A0" w:firstRow="1" w:lastRow="0" w:firstColumn="1" w:lastColumn="0" w:noHBand="0" w:noVBand="1"/>
      </w:tblPr>
      <w:tblGrid>
        <w:gridCol w:w="8790"/>
      </w:tblGrid>
      <w:tr w:rsidR="005F3ACE" w:rsidTr="005F3ACE">
        <w:tc>
          <w:tcPr>
            <w:tcW w:w="8790" w:type="dxa"/>
          </w:tcPr>
          <w:p w:rsidR="005F3ACE" w:rsidRDefault="005F3ACE" w:rsidP="005F3ACE">
            <w:r>
              <w:t xml:space="preserve">[1] - Hexa-X-II D1.1 </w:t>
            </w:r>
          </w:p>
          <w:p w:rsidR="005F3ACE" w:rsidRPr="00596DC7" w:rsidRDefault="005F3ACE" w:rsidP="005F3ACE">
            <w:r w:rsidRPr="00596DC7">
              <w:t>4 Observed Trends in Sustainability</w:t>
            </w:r>
          </w:p>
          <w:p w:rsidR="005F3ACE" w:rsidRPr="00596DC7" w:rsidRDefault="005F3ACE" w:rsidP="005F3ACE">
            <w:r w:rsidRPr="00596DC7">
              <w:t xml:space="preserve">Environmental, social, and economic sustainability issues are inseparable. Significant </w:t>
            </w:r>
            <w:r w:rsidRPr="005F3ACE">
              <w:rPr>
                <w:highlight w:val="yellow"/>
              </w:rPr>
              <w:t>changes in any one dimension (e.g., environmental) will affect the others (e.g., socio-economic)</w:t>
            </w:r>
            <w:r w:rsidRPr="00596DC7">
              <w:t xml:space="preserve">. … the three perspectives are often treated separately in this report, it should be noted that </w:t>
            </w:r>
            <w:r w:rsidRPr="005F3ACE">
              <w:rPr>
                <w:highlight w:val="yellow"/>
              </w:rPr>
              <w:t>they directly or indirectly impact each other</w:t>
            </w:r>
            <w:r w:rsidRPr="00596DC7">
              <w:t xml:space="preserve">, </w:t>
            </w:r>
            <w:r>
              <w:t>…</w:t>
            </w:r>
          </w:p>
          <w:p w:rsidR="005F3ACE" w:rsidRDefault="005F3ACE" w:rsidP="005F3ACE"/>
        </w:tc>
      </w:tr>
    </w:tbl>
    <w:p w:rsidR="005F3ACE" w:rsidRDefault="005F3ACE"/>
    <w:p w:rsidR="00BF3C32" w:rsidRPr="002F39D0" w:rsidRDefault="00BF3C32" w:rsidP="00BF3C32">
      <w:pPr>
        <w:rPr>
          <w:b/>
        </w:rPr>
      </w:pPr>
      <w:bookmarkStart w:id="2" w:name="_Hlk166835707"/>
      <w:r w:rsidRPr="002F39D0">
        <w:rPr>
          <w:b/>
        </w:rPr>
        <w:t xml:space="preserve">Proposal </w:t>
      </w:r>
      <w:r>
        <w:rPr>
          <w:b/>
        </w:rPr>
        <w:t>4</w:t>
      </w:r>
      <w:r w:rsidRPr="002F39D0">
        <w:rPr>
          <w:b/>
        </w:rPr>
        <w:t>: SA1 confirm</w:t>
      </w:r>
      <w:r>
        <w:rPr>
          <w:b/>
        </w:rPr>
        <w:t>s</w:t>
      </w:r>
      <w:r w:rsidRPr="002F39D0">
        <w:rPr>
          <w:b/>
        </w:rPr>
        <w:t xml:space="preserve"> that KV proposals should focus on the three sustainability goals environmental, societal and economic as defined in [1] and [4], and based on the UN SDGs.</w:t>
      </w:r>
    </w:p>
    <w:bookmarkEnd w:id="2"/>
    <w:p w:rsidR="00BF3C32" w:rsidRDefault="00BF3C32"/>
    <w:p w:rsidR="005F3ACE" w:rsidRDefault="003406CA">
      <w:r>
        <w:t>T</w:t>
      </w:r>
      <w:r w:rsidR="005042E0">
        <w:t>hrough the</w:t>
      </w:r>
      <w:r w:rsidR="005F3ACE">
        <w:t xml:space="preserve"> example </w:t>
      </w:r>
      <w:r w:rsidR="005042E0">
        <w:t>from [7]</w:t>
      </w:r>
      <w:r w:rsidR="0000419C">
        <w:t>,</w:t>
      </w:r>
      <w:r w:rsidR="005042E0">
        <w:t xml:space="preserve"> </w:t>
      </w:r>
      <w:r w:rsidR="005F3ACE">
        <w:t>shown here for Seamless Immersive Reality Use Case</w:t>
      </w:r>
      <w:r w:rsidR="0000419C">
        <w:t>,</w:t>
      </w:r>
      <w:r w:rsidR="005F3ACE">
        <w:t xml:space="preserve"> </w:t>
      </w:r>
      <w:r w:rsidR="005042E0">
        <w:t>we see KVs for each sustainability goal proposed</w:t>
      </w:r>
      <w:r w:rsidR="0000419C">
        <w:t xml:space="preserve"> across</w:t>
      </w:r>
      <w:r w:rsidR="00631A66">
        <w:t xml:space="preserve"> the use case</w:t>
      </w:r>
      <w:r w:rsidR="005042E0">
        <w:t>.</w:t>
      </w:r>
    </w:p>
    <w:tbl>
      <w:tblPr>
        <w:tblStyle w:val="TableGrid"/>
        <w:tblW w:w="0" w:type="auto"/>
        <w:tblLook w:val="04A0" w:firstRow="1" w:lastRow="0" w:firstColumn="1" w:lastColumn="0" w:noHBand="0" w:noVBand="1"/>
      </w:tblPr>
      <w:tblGrid>
        <w:gridCol w:w="9016"/>
      </w:tblGrid>
      <w:tr w:rsidR="005F3ACE" w:rsidTr="005F3ACE">
        <w:tc>
          <w:tcPr>
            <w:tcW w:w="9016" w:type="dxa"/>
          </w:tcPr>
          <w:p w:rsidR="005F3ACE" w:rsidRDefault="005F3ACE" w:rsidP="005F3ACE">
            <w:r>
              <w:t>[7] Hexa-X-II D1.2</w:t>
            </w:r>
          </w:p>
          <w:p w:rsidR="005F3ACE" w:rsidRDefault="005F3ACE" w:rsidP="005F3ACE">
            <w:r>
              <w:t xml:space="preserve"> </w:t>
            </w:r>
            <w:r w:rsidRPr="005F3ACE">
              <w:rPr>
                <w:noProof/>
              </w:rPr>
              <w:drawing>
                <wp:inline distT="0" distB="0" distL="0" distR="0" wp14:anchorId="12EE561F" wp14:editId="5C6A9DDB">
                  <wp:extent cx="4899600" cy="26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99600" cy="2674800"/>
                          </a:xfrm>
                          <a:prstGeom prst="rect">
                            <a:avLst/>
                          </a:prstGeom>
                        </pic:spPr>
                      </pic:pic>
                    </a:graphicData>
                  </a:graphic>
                </wp:inline>
              </w:drawing>
            </w:r>
          </w:p>
          <w:p w:rsidR="005F3ACE" w:rsidRDefault="005F3ACE"/>
        </w:tc>
      </w:tr>
    </w:tbl>
    <w:p w:rsidR="005F3ACE" w:rsidRDefault="005F3ACE"/>
    <w:p w:rsidR="005F3ACE" w:rsidRDefault="00934720">
      <w:r w:rsidRPr="00934720">
        <w:rPr>
          <w:b/>
        </w:rPr>
        <w:t>Observation:  for each Use Case, Building Block and Study Item propos</w:t>
      </w:r>
      <w:r w:rsidR="0077455E">
        <w:rPr>
          <w:b/>
        </w:rPr>
        <w:t>ed</w:t>
      </w:r>
      <w:r w:rsidRPr="00934720">
        <w:rPr>
          <w:b/>
        </w:rPr>
        <w:t xml:space="preserve"> KVs are required to </w:t>
      </w:r>
      <w:r w:rsidR="0000419C">
        <w:rPr>
          <w:b/>
        </w:rPr>
        <w:t>for</w:t>
      </w:r>
      <w:r w:rsidRPr="00934720">
        <w:rPr>
          <w:b/>
        </w:rPr>
        <w:t xml:space="preserve"> each of the sustainability</w:t>
      </w:r>
      <w:r w:rsidR="0000419C">
        <w:rPr>
          <w:b/>
        </w:rPr>
        <w:t xml:space="preserve"> goals</w:t>
      </w:r>
      <w:r w:rsidRPr="00934720">
        <w:rPr>
          <w:b/>
        </w:rPr>
        <w:t>, environmental, societal and economic</w:t>
      </w:r>
      <w:r>
        <w:rPr>
          <w:b/>
        </w:rPr>
        <w:t xml:space="preserve"> </w:t>
      </w:r>
    </w:p>
    <w:p w:rsidR="00B4014F" w:rsidRPr="002F39D0" w:rsidRDefault="00B4014F" w:rsidP="00B4014F">
      <w:pPr>
        <w:rPr>
          <w:b/>
        </w:rPr>
      </w:pPr>
      <w:bookmarkStart w:id="3" w:name="_Hlk166835680"/>
      <w:r w:rsidRPr="002F39D0">
        <w:rPr>
          <w:b/>
        </w:rPr>
        <w:t xml:space="preserve">Proposal </w:t>
      </w:r>
      <w:r w:rsidR="00BF3C32">
        <w:rPr>
          <w:b/>
        </w:rPr>
        <w:t>5</w:t>
      </w:r>
      <w:r w:rsidRPr="002F39D0">
        <w:rPr>
          <w:b/>
        </w:rPr>
        <w:t>: SA1 confirm</w:t>
      </w:r>
      <w:r w:rsidR="00BF3C32">
        <w:rPr>
          <w:b/>
        </w:rPr>
        <w:t>s</w:t>
      </w:r>
      <w:r w:rsidRPr="002F39D0">
        <w:rPr>
          <w:b/>
        </w:rPr>
        <w:t xml:space="preserve"> the understanding that there exists direct relationships between each of the sustainability goals, </w:t>
      </w:r>
      <w:r>
        <w:rPr>
          <w:b/>
        </w:rPr>
        <w:t>and</w:t>
      </w:r>
      <w:r w:rsidRPr="002F39D0">
        <w:rPr>
          <w:b/>
        </w:rPr>
        <w:t xml:space="preserve"> KVs for each of these goals are required per use case, building block or study item.</w:t>
      </w:r>
    </w:p>
    <w:bookmarkEnd w:id="3"/>
    <w:p w:rsidR="00934720" w:rsidRDefault="00934720"/>
    <w:p w:rsidR="002F39D0" w:rsidRDefault="002F39D0">
      <w:r>
        <w:t xml:space="preserve">With this understanding confirmed then SA1 can further discuss the mechanics of supporting contributions for Use Cases, building blocks and/or study items. However this should not detract or delay </w:t>
      </w:r>
      <w:r w:rsidR="00631A66">
        <w:t>work on any REL-20 6G</w:t>
      </w:r>
      <w:r>
        <w:t xml:space="preserve"> </w:t>
      </w:r>
      <w:r w:rsidR="00631A66">
        <w:t>proposals</w:t>
      </w:r>
      <w:r>
        <w:t xml:space="preserve">. </w:t>
      </w:r>
      <w:r w:rsidR="005F59BE">
        <w:t>Once a clear objective</w:t>
      </w:r>
      <w:r w:rsidR="00BF3C32">
        <w:t xml:space="preserve"> for purpose</w:t>
      </w:r>
      <w:r w:rsidR="005F59BE">
        <w:t xml:space="preserve">, format and mechanism for handling is established then KV contribution based on the use case, building block or study items can be addressed directly in the 6G work. (Note depending on timing this may necessitate </w:t>
      </w:r>
      <w:r w:rsidR="005F59BE">
        <w:lastRenderedPageBreak/>
        <w:t xml:space="preserve">retrospective consideration of items already underway/discussed in 6G work – to be considered separately by SA1). </w:t>
      </w:r>
    </w:p>
    <w:p w:rsidR="00DC7612" w:rsidRPr="00DC7612" w:rsidRDefault="00DC7612" w:rsidP="00DC7612">
      <w:pPr>
        <w:rPr>
          <w:b/>
        </w:rPr>
      </w:pPr>
      <w:bookmarkStart w:id="4" w:name="_Hlk166835561"/>
      <w:r w:rsidRPr="00DC7612">
        <w:rPr>
          <w:b/>
        </w:rPr>
        <w:t xml:space="preserve">Proposal </w:t>
      </w:r>
      <w:r w:rsidR="00BF3C32">
        <w:rPr>
          <w:b/>
        </w:rPr>
        <w:t>6</w:t>
      </w:r>
      <w:r w:rsidRPr="00DC7612">
        <w:rPr>
          <w:b/>
        </w:rPr>
        <w:t>:</w:t>
      </w:r>
      <w:r w:rsidR="00631A66">
        <w:rPr>
          <w:b/>
        </w:rPr>
        <w:t xml:space="preserve"> </w:t>
      </w:r>
      <w:r w:rsidRPr="00DC7612">
        <w:rPr>
          <w:b/>
        </w:rPr>
        <w:t xml:space="preserve">SA1 do not discuss KV contributions </w:t>
      </w:r>
      <w:r w:rsidR="00BF3C32">
        <w:rPr>
          <w:b/>
        </w:rPr>
        <w:t>within</w:t>
      </w:r>
      <w:r w:rsidRPr="00DC7612">
        <w:rPr>
          <w:b/>
        </w:rPr>
        <w:t xml:space="preserve"> REL-20 6G work until the format and details for KV objectives are established. The work to establish these formats and details should be carried out separately from this </w:t>
      </w:r>
      <w:r w:rsidR="00BF3C32">
        <w:rPr>
          <w:b/>
        </w:rPr>
        <w:t xml:space="preserve">REL-20 6G </w:t>
      </w:r>
      <w:r w:rsidRPr="00DC7612">
        <w:rPr>
          <w:b/>
        </w:rPr>
        <w:t>work</w:t>
      </w:r>
      <w:r w:rsidR="00BF3C32">
        <w:rPr>
          <w:b/>
        </w:rPr>
        <w:t>. E</w:t>
      </w:r>
      <w:r w:rsidRPr="00DC7612">
        <w:rPr>
          <w:b/>
        </w:rPr>
        <w:t>ither explicit study or based on IM contributions under a dedicated Agenda item</w:t>
      </w:r>
      <w:r w:rsidR="00BF3C32">
        <w:rPr>
          <w:b/>
        </w:rPr>
        <w:t xml:space="preserve"> is acceptable</w:t>
      </w:r>
      <w:r w:rsidR="0084693D">
        <w:rPr>
          <w:b/>
        </w:rPr>
        <w:t xml:space="preserve"> for development of KV concept</w:t>
      </w:r>
      <w:r w:rsidRPr="00DC7612">
        <w:rPr>
          <w:b/>
        </w:rPr>
        <w:t>.</w:t>
      </w:r>
    </w:p>
    <w:bookmarkEnd w:id="4"/>
    <w:p w:rsidR="00BF3C32" w:rsidRDefault="00BF3C32"/>
    <w:p w:rsidR="002F39D0" w:rsidRDefault="00DC7612">
      <w:r>
        <w:t xml:space="preserve">It should be noted that is not intended </w:t>
      </w:r>
      <w:r w:rsidR="00BF3C32">
        <w:t>that new or additional</w:t>
      </w:r>
      <w:r>
        <w:t xml:space="preserve"> KVs can</w:t>
      </w:r>
      <w:r w:rsidR="00BF3C32">
        <w:t>not</w:t>
      </w:r>
      <w:r>
        <w:t xml:space="preserve"> be directly proposed into the REL-20 work once the concept is adopted for work proposals, only that whilst the concept is being clarified then this work does not delay/impact the REL-20 6G work.</w:t>
      </w:r>
      <w:r w:rsidR="00BF3C32">
        <w:t xml:space="preserve"> This also implies the initial scope of KV discussion can focus on a subset of meaningful KV proposals to address each of the 3 sustainability goals, and need not be </w:t>
      </w:r>
      <w:r w:rsidR="0084693D">
        <w:t xml:space="preserve">an </w:t>
      </w:r>
      <w:r w:rsidR="00BF3C32">
        <w:t>exhaustive study</w:t>
      </w:r>
      <w:r w:rsidR="0084693D">
        <w:t>.</w:t>
      </w:r>
    </w:p>
    <w:p w:rsidR="002F39D0" w:rsidRDefault="002F39D0"/>
    <w:p w:rsidR="00CA28B3" w:rsidRDefault="00430DAA" w:rsidP="00430DAA">
      <w:pPr>
        <w:outlineLvl w:val="1"/>
      </w:pPr>
      <w:r>
        <w:t>2.2 How to proceed with KV study</w:t>
      </w:r>
    </w:p>
    <w:p w:rsidR="00DC7612" w:rsidRDefault="00DC7612" w:rsidP="00CA28B3">
      <w:r>
        <w:t>Regarding the offline summary we have a couple of further observations for consideration to the points as captured in [6].</w:t>
      </w:r>
    </w:p>
    <w:p w:rsidR="00675660" w:rsidRDefault="00430DAA" w:rsidP="00DC7612">
      <w:pPr>
        <w:pStyle w:val="ListParagraph"/>
        <w:numPr>
          <w:ilvl w:val="0"/>
          <w:numId w:val="6"/>
        </w:numPr>
      </w:pPr>
      <w:r>
        <w:t xml:space="preserve">[6] </w:t>
      </w:r>
      <w:r w:rsidR="00675660">
        <w:t>Don’t proposal 4</w:t>
      </w:r>
      <w:r w:rsidR="00675660" w:rsidRPr="00675660">
        <w:t>.</w:t>
      </w:r>
      <w:r w:rsidR="00675660">
        <w:t xml:space="preserve"> </w:t>
      </w:r>
      <w:r w:rsidR="00675660" w:rsidRPr="00675660">
        <w:t>Don’t assume any follow-up at normative stage for now (nor any impact to other 3GPP WGs)</w:t>
      </w:r>
    </w:p>
    <w:p w:rsidR="00CA28B3" w:rsidRDefault="00E0376C" w:rsidP="00CA28B3">
      <w:r>
        <w:t xml:space="preserve">Whilst it is proposed currently that discussion on key values remains in SA1 domain, in order to directly address the identified 6G requirements from the ITU and support the submission to the IMT-2030, the interpretation </w:t>
      </w:r>
      <w:r w:rsidR="00711D7C">
        <w:t xml:space="preserve">and application of </w:t>
      </w:r>
      <w:r>
        <w:t xml:space="preserve">KV/KVIs </w:t>
      </w:r>
      <w:r w:rsidR="00711D7C">
        <w:t>will need to be mappable beyond SA1</w:t>
      </w:r>
      <w:r>
        <w:t xml:space="preserve">. </w:t>
      </w:r>
      <w:r w:rsidR="00711D7C">
        <w:t>For example t</w:t>
      </w:r>
      <w:r>
        <w:t xml:space="preserve">he value of the KV and KVIs needs to also consider that the stage 2 and stage 3 work can also map </w:t>
      </w:r>
      <w:r w:rsidR="004600EE">
        <w:t xml:space="preserve">these KVIs to the Stage 2 and Stage 3 </w:t>
      </w:r>
      <w:r>
        <w:t xml:space="preserve">objectives and solutions </w:t>
      </w:r>
      <w:r w:rsidR="004600EE">
        <w:t xml:space="preserve">such that they will be </w:t>
      </w:r>
      <w:r>
        <w:t xml:space="preserve">measured. </w:t>
      </w:r>
      <w:r w:rsidR="004600EE">
        <w:t xml:space="preserve">And such measurement is used for </w:t>
      </w:r>
      <w:r>
        <w:t xml:space="preserve">final assessment as to whether the </w:t>
      </w:r>
      <w:r w:rsidR="004600EE">
        <w:t xml:space="preserve">original KV </w:t>
      </w:r>
      <w:r>
        <w:t>Values identified to meet the 6G Requirements for IMT-2030 are met.</w:t>
      </w:r>
    </w:p>
    <w:p w:rsidR="00E0376C" w:rsidRPr="00E0376C" w:rsidRDefault="00E0376C" w:rsidP="00CA28B3">
      <w:pPr>
        <w:rPr>
          <w:b/>
        </w:rPr>
      </w:pPr>
      <w:r w:rsidRPr="00E0376C">
        <w:rPr>
          <w:b/>
        </w:rPr>
        <w:t xml:space="preserve">Observation: KVs and KVI definition introduced by SA1 should </w:t>
      </w:r>
      <w:r>
        <w:rPr>
          <w:b/>
        </w:rPr>
        <w:t xml:space="preserve">ultimately </w:t>
      </w:r>
      <w:r w:rsidRPr="00E0376C">
        <w:rPr>
          <w:b/>
        </w:rPr>
        <w:t>be mappable to stage 2 and stage 3 values such they can be reliably and consistently evaluated.</w:t>
      </w:r>
      <w:r w:rsidR="00711D7C">
        <w:rPr>
          <w:b/>
        </w:rPr>
        <w:t xml:space="preserve"> Even isolated SA1 KV development progress should consider the use in assessing the 6G Solutions, at a later time.</w:t>
      </w:r>
    </w:p>
    <w:p w:rsidR="0084693D" w:rsidRDefault="0084693D"/>
    <w:p w:rsidR="00675660" w:rsidRDefault="00675660">
      <w:r>
        <w:t>Whilst use in normative stages is not currently discussed, proposals should be such that future mapping to the normative stages in scope.</w:t>
      </w:r>
    </w:p>
    <w:p w:rsidR="00004875" w:rsidRDefault="00004875">
      <w:r>
        <w:t>Isolated development and use of Key Values only in SA1 will devalue the purpose of the KV, hence the potential for wider adoption and use remains useful during any initial development even during initial SA1 internal studies. A key value for the sake of having a value is not useful.</w:t>
      </w:r>
    </w:p>
    <w:p w:rsidR="00DC7612" w:rsidRPr="00004875" w:rsidRDefault="00DC7612" w:rsidP="00DC7612">
      <w:pPr>
        <w:rPr>
          <w:b/>
        </w:rPr>
      </w:pPr>
      <w:bookmarkStart w:id="5" w:name="_Hlk166828793"/>
      <w:r w:rsidRPr="00004875">
        <w:rPr>
          <w:b/>
        </w:rPr>
        <w:t>Proposal</w:t>
      </w:r>
      <w:r>
        <w:rPr>
          <w:b/>
        </w:rPr>
        <w:t xml:space="preserve"> </w:t>
      </w:r>
      <w:r w:rsidR="0084693D">
        <w:rPr>
          <w:b/>
        </w:rPr>
        <w:t>7</w:t>
      </w:r>
      <w:r w:rsidRPr="00004875">
        <w:rPr>
          <w:b/>
        </w:rPr>
        <w:t xml:space="preserve">: </w:t>
      </w:r>
      <w:r>
        <w:rPr>
          <w:b/>
        </w:rPr>
        <w:t xml:space="preserve">Update [6] Don’t 4. </w:t>
      </w:r>
      <w:r w:rsidRPr="00004875">
        <w:rPr>
          <w:b/>
        </w:rPr>
        <w:t xml:space="preserve">Development of a KV </w:t>
      </w:r>
      <w:r>
        <w:rPr>
          <w:b/>
        </w:rPr>
        <w:t xml:space="preserve">whilst not initially constrained, </w:t>
      </w:r>
      <w:r w:rsidRPr="00004875">
        <w:rPr>
          <w:b/>
        </w:rPr>
        <w:t>should consider the ability to map to stage 2 and stage 3 feature developments</w:t>
      </w:r>
      <w:r>
        <w:rPr>
          <w:b/>
        </w:rPr>
        <w:t xml:space="preserve"> down the line</w:t>
      </w:r>
      <w:r w:rsidRPr="00004875">
        <w:rPr>
          <w:b/>
        </w:rPr>
        <w:t xml:space="preserve">. </w:t>
      </w:r>
      <w:r w:rsidR="0084693D">
        <w:rPr>
          <w:b/>
        </w:rPr>
        <w:t>E.g.</w:t>
      </w:r>
      <w:r w:rsidRPr="00004875">
        <w:rPr>
          <w:b/>
        </w:rPr>
        <w:t xml:space="preserve"> through </w:t>
      </w:r>
      <w:r w:rsidR="0084693D">
        <w:rPr>
          <w:b/>
        </w:rPr>
        <w:t xml:space="preserve">directly </w:t>
      </w:r>
      <w:r w:rsidRPr="00004875">
        <w:rPr>
          <w:b/>
        </w:rPr>
        <w:t>related and mapped KV</w:t>
      </w:r>
      <w:r w:rsidR="0084693D">
        <w:rPr>
          <w:b/>
        </w:rPr>
        <w:t>I</w:t>
      </w:r>
      <w:r w:rsidRPr="00004875">
        <w:rPr>
          <w:b/>
        </w:rPr>
        <w:t xml:space="preserve">s. </w:t>
      </w:r>
    </w:p>
    <w:bookmarkEnd w:id="5"/>
    <w:p w:rsidR="00004875" w:rsidRDefault="00004875"/>
    <w:p w:rsidR="004600EE" w:rsidRDefault="00430DAA" w:rsidP="00DC7612">
      <w:pPr>
        <w:pStyle w:val="ListParagraph"/>
        <w:numPr>
          <w:ilvl w:val="0"/>
          <w:numId w:val="6"/>
        </w:numPr>
      </w:pPr>
      <w:r>
        <w:t xml:space="preserve">[6] </w:t>
      </w:r>
      <w:r w:rsidR="00675660">
        <w:t xml:space="preserve">Don’t proposal </w:t>
      </w:r>
      <w:r w:rsidR="00675660" w:rsidRPr="00DC7612">
        <w:rPr>
          <w:lang w:val="en-US"/>
        </w:rPr>
        <w:t>2. Don’t filter out work *only* based on KV criteria (consensus remains king)</w:t>
      </w:r>
    </w:p>
    <w:p w:rsidR="00675660" w:rsidRDefault="004600EE">
      <w:r>
        <w:t xml:space="preserve">SA1 should not use KV or </w:t>
      </w:r>
      <w:r w:rsidR="00675660">
        <w:t>(</w:t>
      </w:r>
      <w:r>
        <w:t>when available) KVI</w:t>
      </w:r>
      <w:r w:rsidR="00675660">
        <w:t>, to gate or carry favour over consensus based decisions for any particular proposal. In particular according to 3GPP rules</w:t>
      </w:r>
      <w:r w:rsidR="0084693D">
        <w:t>,</w:t>
      </w:r>
      <w:r w:rsidR="00675660">
        <w:t xml:space="preserve"> consensus is the decision </w:t>
      </w:r>
      <w:r w:rsidR="0084693D">
        <w:t xml:space="preserve">making </w:t>
      </w:r>
      <w:r w:rsidR="00675660">
        <w:t>process</w:t>
      </w:r>
      <w:r w:rsidR="0084693D">
        <w:t xml:space="preserve"> for 3GPP</w:t>
      </w:r>
      <w:r w:rsidR="00675660">
        <w:t xml:space="preserve">. Hence the </w:t>
      </w:r>
      <w:r w:rsidR="0084693D">
        <w:t>“</w:t>
      </w:r>
      <w:r w:rsidR="00675660">
        <w:t>Don’t</w:t>
      </w:r>
      <w:r w:rsidR="0084693D">
        <w:t>”</w:t>
      </w:r>
      <w:r w:rsidR="00675660">
        <w:t xml:space="preserve"> condition highlighted at SA#105 should be updated.</w:t>
      </w:r>
    </w:p>
    <w:p w:rsidR="00675660" w:rsidRDefault="00675660">
      <w:pPr>
        <w:rPr>
          <w:lang w:val="en-US"/>
        </w:rPr>
      </w:pPr>
      <w:r>
        <w:rPr>
          <w:lang w:val="en-US"/>
        </w:rPr>
        <w:lastRenderedPageBreak/>
        <w:t xml:space="preserve">From&gt; 2. </w:t>
      </w:r>
      <w:r w:rsidRPr="006142E2">
        <w:rPr>
          <w:lang w:val="en-US"/>
        </w:rPr>
        <w:t>Don’t filter out work *only* based on KV criteria (consensus remains king)</w:t>
      </w:r>
    </w:p>
    <w:p w:rsidR="00675660" w:rsidRDefault="00675660">
      <w:r>
        <w:t xml:space="preserve">To&gt; 2. KV </w:t>
      </w:r>
      <w:r w:rsidR="0084693D">
        <w:t xml:space="preserve">(and KVI) </w:t>
      </w:r>
      <w:r>
        <w:t xml:space="preserve">criteria is not used to gate work proposals. </w:t>
      </w:r>
    </w:p>
    <w:p w:rsidR="00673927" w:rsidRPr="00C06BAB" w:rsidRDefault="00DC7612" w:rsidP="00B4014F">
      <w:pPr>
        <w:ind w:left="1134" w:hanging="1134"/>
        <w:rPr>
          <w:b/>
        </w:rPr>
      </w:pPr>
      <w:r w:rsidRPr="00675660">
        <w:rPr>
          <w:b/>
        </w:rPr>
        <w:t>Proposal</w:t>
      </w:r>
      <w:r>
        <w:rPr>
          <w:b/>
        </w:rPr>
        <w:t xml:space="preserve"> </w:t>
      </w:r>
      <w:r w:rsidR="0084693D">
        <w:rPr>
          <w:b/>
        </w:rPr>
        <w:t>8</w:t>
      </w:r>
      <w:r w:rsidRPr="00675660">
        <w:rPr>
          <w:b/>
        </w:rPr>
        <w:t xml:space="preserve">: </w:t>
      </w:r>
      <w:r>
        <w:rPr>
          <w:b/>
        </w:rPr>
        <w:t xml:space="preserve">Update [6] Don’t 2. </w:t>
      </w:r>
      <w:r w:rsidRPr="00675660">
        <w:rPr>
          <w:b/>
        </w:rPr>
        <w:t xml:space="preserve">KV </w:t>
      </w:r>
      <w:r>
        <w:rPr>
          <w:b/>
        </w:rPr>
        <w:t>(</w:t>
      </w:r>
      <w:r w:rsidRPr="00675660">
        <w:rPr>
          <w:b/>
        </w:rPr>
        <w:t>and KVI</w:t>
      </w:r>
      <w:r>
        <w:rPr>
          <w:b/>
        </w:rPr>
        <w:t>)</w:t>
      </w:r>
      <w:r w:rsidRPr="00675660">
        <w:rPr>
          <w:b/>
        </w:rPr>
        <w:t xml:space="preserve"> criteria is not used to gate work proposals. </w:t>
      </w:r>
    </w:p>
    <w:p w:rsidR="00673927" w:rsidRDefault="00673927">
      <w:pPr>
        <w:pBdr>
          <w:bottom w:val="single" w:sz="12" w:space="1" w:color="auto"/>
        </w:pBdr>
      </w:pPr>
    </w:p>
    <w:p w:rsidR="006142E2" w:rsidRPr="00B4014F" w:rsidRDefault="00B4014F" w:rsidP="00711D7C">
      <w:pPr>
        <w:outlineLvl w:val="1"/>
        <w:rPr>
          <w:b/>
          <w:sz w:val="24"/>
        </w:rPr>
      </w:pPr>
      <w:r>
        <w:rPr>
          <w:b/>
          <w:sz w:val="24"/>
        </w:rPr>
        <w:t>3</w:t>
      </w:r>
      <w:r w:rsidR="00EC3725" w:rsidRPr="00B4014F">
        <w:rPr>
          <w:b/>
          <w:sz w:val="24"/>
        </w:rPr>
        <w:t>. Conclusion</w:t>
      </w:r>
    </w:p>
    <w:p w:rsidR="00EC3725" w:rsidRDefault="00DC7612">
      <w:r>
        <w:t>Based on the discussion above we propose the following.</w:t>
      </w:r>
    </w:p>
    <w:p w:rsidR="0084693D" w:rsidRPr="0084693D" w:rsidRDefault="0084693D" w:rsidP="0084693D">
      <w:pPr>
        <w:ind w:left="1134" w:hanging="1134"/>
        <w:rPr>
          <w:b/>
        </w:rPr>
      </w:pPr>
      <w:r w:rsidRPr="0084693D">
        <w:rPr>
          <w:b/>
        </w:rPr>
        <w:t xml:space="preserve">Proposal 1: </w:t>
      </w:r>
      <w:r>
        <w:rPr>
          <w:b/>
        </w:rPr>
        <w:tab/>
      </w:r>
      <w:r w:rsidRPr="0084693D">
        <w:rPr>
          <w:b/>
        </w:rPr>
        <w:t>KVs identified by SA1 should align with ITU-R use of KVs and KVIs.</w:t>
      </w:r>
    </w:p>
    <w:p w:rsidR="00DC7612" w:rsidRPr="003406CA" w:rsidRDefault="0084693D" w:rsidP="0084693D">
      <w:pPr>
        <w:ind w:left="1134" w:hanging="1134"/>
        <w:rPr>
          <w:b/>
        </w:rPr>
      </w:pPr>
      <w:r w:rsidRPr="0084693D">
        <w:rPr>
          <w:b/>
        </w:rPr>
        <w:t xml:space="preserve">Proposal 2: </w:t>
      </w:r>
      <w:r>
        <w:rPr>
          <w:b/>
        </w:rPr>
        <w:tab/>
      </w:r>
      <w:r w:rsidRPr="0084693D">
        <w:rPr>
          <w:b/>
        </w:rPr>
        <w:t>SA1 limits discussion to identification and definition of KVs for a first part.</w:t>
      </w:r>
    </w:p>
    <w:p w:rsidR="0084693D" w:rsidRDefault="0084693D" w:rsidP="00DC7612">
      <w:pPr>
        <w:ind w:left="1134" w:hanging="1134"/>
        <w:rPr>
          <w:b/>
        </w:rPr>
      </w:pPr>
      <w:r w:rsidRPr="0084693D">
        <w:rPr>
          <w:b/>
        </w:rPr>
        <w:t>Proposal 3:</w:t>
      </w:r>
      <w:r>
        <w:rPr>
          <w:b/>
        </w:rPr>
        <w:tab/>
      </w:r>
      <w:r w:rsidRPr="0084693D">
        <w:rPr>
          <w:b/>
        </w:rPr>
        <w:t>SA1 waits for KVI definition and targets from ITU-R, before adopting any KVIs</w:t>
      </w:r>
    </w:p>
    <w:p w:rsidR="0084693D" w:rsidRDefault="0084693D" w:rsidP="00DC7612">
      <w:pPr>
        <w:ind w:left="1134" w:hanging="1134"/>
        <w:rPr>
          <w:b/>
        </w:rPr>
      </w:pPr>
      <w:r w:rsidRPr="0084693D">
        <w:rPr>
          <w:b/>
        </w:rPr>
        <w:t xml:space="preserve">Proposal 4: </w:t>
      </w:r>
      <w:r>
        <w:rPr>
          <w:b/>
        </w:rPr>
        <w:tab/>
      </w:r>
      <w:r w:rsidRPr="0084693D">
        <w:rPr>
          <w:b/>
        </w:rPr>
        <w:t>SA1 confirms that KV proposals should focus on the three sustainability goals environmental, societal and economic as defined in [1] and [4], and based on the UN SDGs.</w:t>
      </w:r>
    </w:p>
    <w:p w:rsidR="0084693D" w:rsidRDefault="0084693D" w:rsidP="00DC7612">
      <w:pPr>
        <w:ind w:left="1134" w:hanging="1134"/>
        <w:rPr>
          <w:b/>
        </w:rPr>
      </w:pPr>
      <w:r w:rsidRPr="0084693D">
        <w:rPr>
          <w:b/>
        </w:rPr>
        <w:t xml:space="preserve">Proposal 5: </w:t>
      </w:r>
      <w:r>
        <w:rPr>
          <w:b/>
        </w:rPr>
        <w:tab/>
      </w:r>
      <w:r w:rsidRPr="0084693D">
        <w:rPr>
          <w:b/>
        </w:rPr>
        <w:t>SA1 confirms the understanding that there exists direct relationships between each of the sustainability goals, and KVs for each of these goals are required per use case, building block or study item.</w:t>
      </w:r>
    </w:p>
    <w:p w:rsidR="0084693D" w:rsidRDefault="0084693D" w:rsidP="00DC7612">
      <w:pPr>
        <w:ind w:left="1134" w:hanging="1134"/>
        <w:rPr>
          <w:b/>
        </w:rPr>
      </w:pPr>
      <w:r w:rsidRPr="0084693D">
        <w:rPr>
          <w:b/>
        </w:rPr>
        <w:t xml:space="preserve">Proposal 6: </w:t>
      </w:r>
      <w:r>
        <w:rPr>
          <w:b/>
        </w:rPr>
        <w:tab/>
      </w:r>
      <w:r w:rsidRPr="0084693D">
        <w:rPr>
          <w:b/>
        </w:rPr>
        <w:t xml:space="preserve">SA1 do not discuss KV contributions within REL-20 6G work until the format and details for KV objectives are established. </w:t>
      </w:r>
    </w:p>
    <w:p w:rsidR="0084693D" w:rsidRDefault="0084693D" w:rsidP="0084693D">
      <w:pPr>
        <w:ind w:left="1134"/>
        <w:rPr>
          <w:b/>
        </w:rPr>
      </w:pPr>
      <w:r w:rsidRPr="0084693D">
        <w:rPr>
          <w:b/>
        </w:rPr>
        <w:t xml:space="preserve">The work to establish these formats and details should be carried out separately from this REL-20 6G work. </w:t>
      </w:r>
    </w:p>
    <w:p w:rsidR="0084693D" w:rsidRDefault="0084693D" w:rsidP="0084693D">
      <w:pPr>
        <w:ind w:left="1134"/>
        <w:rPr>
          <w:b/>
        </w:rPr>
      </w:pPr>
      <w:r w:rsidRPr="0084693D">
        <w:rPr>
          <w:b/>
        </w:rPr>
        <w:t>Either explicit study or based on IM contributions under a dedicated Agenda item is acceptable</w:t>
      </w:r>
      <w:r>
        <w:rPr>
          <w:b/>
        </w:rPr>
        <w:t xml:space="preserve"> for development of KV concept</w:t>
      </w:r>
      <w:r w:rsidRPr="0084693D">
        <w:rPr>
          <w:b/>
        </w:rPr>
        <w:t>.</w:t>
      </w:r>
    </w:p>
    <w:p w:rsidR="0084693D" w:rsidRDefault="0084693D" w:rsidP="0084693D">
      <w:pPr>
        <w:ind w:left="1134" w:hanging="1134"/>
        <w:rPr>
          <w:b/>
        </w:rPr>
      </w:pPr>
      <w:r w:rsidRPr="0084693D">
        <w:rPr>
          <w:b/>
        </w:rPr>
        <w:t xml:space="preserve">Proposal 7: </w:t>
      </w:r>
      <w:r>
        <w:rPr>
          <w:b/>
        </w:rPr>
        <w:tab/>
      </w:r>
      <w:r w:rsidRPr="0084693D">
        <w:rPr>
          <w:b/>
        </w:rPr>
        <w:t xml:space="preserve">Update [6] Don’t 4. Development of a KV whilst not initially constrained, should consider the ability to map to stage 2 and stage 3 feature developments down the line. E.g. through directly related and mapped KVIs. </w:t>
      </w:r>
    </w:p>
    <w:p w:rsidR="00DC7612" w:rsidRDefault="00DC7612" w:rsidP="00DC7612">
      <w:pPr>
        <w:ind w:left="1134" w:hanging="1134"/>
        <w:rPr>
          <w:b/>
        </w:rPr>
      </w:pPr>
      <w:r w:rsidRPr="00675660">
        <w:rPr>
          <w:b/>
        </w:rPr>
        <w:t>Proposal</w:t>
      </w:r>
      <w:r>
        <w:rPr>
          <w:b/>
        </w:rPr>
        <w:t xml:space="preserve"> </w:t>
      </w:r>
      <w:r w:rsidR="0084693D">
        <w:rPr>
          <w:b/>
        </w:rPr>
        <w:t>8</w:t>
      </w:r>
      <w:r w:rsidRPr="00675660">
        <w:rPr>
          <w:b/>
        </w:rPr>
        <w:t xml:space="preserve">: </w:t>
      </w:r>
      <w:r w:rsidR="00B4014F">
        <w:rPr>
          <w:b/>
        </w:rPr>
        <w:tab/>
      </w:r>
      <w:r>
        <w:rPr>
          <w:b/>
        </w:rPr>
        <w:t xml:space="preserve">Update [6] Don’t 2. </w:t>
      </w:r>
      <w:r w:rsidRPr="00675660">
        <w:rPr>
          <w:b/>
        </w:rPr>
        <w:t xml:space="preserve">KV </w:t>
      </w:r>
      <w:r>
        <w:rPr>
          <w:b/>
        </w:rPr>
        <w:t>(</w:t>
      </w:r>
      <w:r w:rsidRPr="00675660">
        <w:rPr>
          <w:b/>
        </w:rPr>
        <w:t>and KVI</w:t>
      </w:r>
      <w:r>
        <w:rPr>
          <w:b/>
        </w:rPr>
        <w:t>)</w:t>
      </w:r>
      <w:r w:rsidRPr="00675660">
        <w:rPr>
          <w:b/>
        </w:rPr>
        <w:t xml:space="preserve"> criteria is not used to gate work proposals. </w:t>
      </w:r>
    </w:p>
    <w:p w:rsidR="00B4014F" w:rsidRDefault="00B4014F" w:rsidP="00B4014F">
      <w:pPr>
        <w:pBdr>
          <w:bottom w:val="single" w:sz="12" w:space="1" w:color="auto"/>
        </w:pBdr>
      </w:pPr>
    </w:p>
    <w:p w:rsidR="00B4014F" w:rsidRPr="00B4014F" w:rsidRDefault="00B4014F" w:rsidP="00B4014F">
      <w:pPr>
        <w:outlineLvl w:val="1"/>
        <w:rPr>
          <w:b/>
          <w:sz w:val="24"/>
        </w:rPr>
      </w:pPr>
      <w:r>
        <w:rPr>
          <w:b/>
          <w:sz w:val="24"/>
        </w:rPr>
        <w:t>4</w:t>
      </w:r>
      <w:r w:rsidRPr="00B4014F">
        <w:rPr>
          <w:b/>
          <w:sz w:val="24"/>
        </w:rPr>
        <w:t xml:space="preserve">. </w:t>
      </w:r>
      <w:r>
        <w:rPr>
          <w:b/>
          <w:sz w:val="24"/>
        </w:rPr>
        <w:t>References</w:t>
      </w:r>
    </w:p>
    <w:p w:rsidR="006253EB" w:rsidRPr="00A63AA7" w:rsidRDefault="006253EB" w:rsidP="0038039B">
      <w:pPr>
        <w:ind w:left="284" w:hanging="284"/>
        <w:rPr>
          <w:sz w:val="20"/>
        </w:rPr>
      </w:pPr>
      <w:r w:rsidRPr="00A63AA7">
        <w:rPr>
          <w:sz w:val="20"/>
        </w:rPr>
        <w:t xml:space="preserve">[1] </w:t>
      </w:r>
      <w:bookmarkStart w:id="6" w:name="_Hlk166803220"/>
      <w:r w:rsidRPr="00A63AA7">
        <w:rPr>
          <w:sz w:val="20"/>
        </w:rPr>
        <w:t>Hexa-X-II Deliverable D1.1 Environmental, social, and economic drivers and goals for 6G, 30/06/2023, Version:1.2</w:t>
      </w:r>
      <w:bookmarkEnd w:id="6"/>
    </w:p>
    <w:p w:rsidR="006253EB" w:rsidRPr="00A63AA7" w:rsidRDefault="006253EB" w:rsidP="0038039B">
      <w:pPr>
        <w:ind w:left="284" w:hanging="284"/>
        <w:rPr>
          <w:sz w:val="20"/>
        </w:rPr>
      </w:pPr>
      <w:r w:rsidRPr="00A63AA7">
        <w:rPr>
          <w:sz w:val="20"/>
        </w:rPr>
        <w:t xml:space="preserve">[2] https://sdgs.un.org/goals </w:t>
      </w:r>
      <w:r w:rsidR="00654CE4" w:rsidRPr="00A63AA7">
        <w:rPr>
          <w:sz w:val="20"/>
        </w:rPr>
        <w:t>Homepage UN Department of Economic and Social Affairs: Sustainable Development – The 17 Goals</w:t>
      </w:r>
    </w:p>
    <w:p w:rsidR="006253EB" w:rsidRPr="00A63AA7" w:rsidRDefault="006253EB" w:rsidP="0038039B">
      <w:pPr>
        <w:ind w:left="284" w:hanging="284"/>
        <w:rPr>
          <w:sz w:val="20"/>
        </w:rPr>
      </w:pPr>
      <w:r w:rsidRPr="00A63AA7">
        <w:rPr>
          <w:sz w:val="20"/>
        </w:rPr>
        <w:t xml:space="preserve">[3] https://unstats.un.org/sdgs </w:t>
      </w:r>
      <w:r w:rsidR="00654CE4" w:rsidRPr="00A63AA7">
        <w:rPr>
          <w:sz w:val="20"/>
        </w:rPr>
        <w:t>Homepage UN Sustainable Development Goal indicators website</w:t>
      </w:r>
    </w:p>
    <w:p w:rsidR="00654CE4" w:rsidRPr="00A63AA7" w:rsidRDefault="00654CE4" w:rsidP="0038039B">
      <w:pPr>
        <w:ind w:left="284" w:hanging="284"/>
        <w:rPr>
          <w:sz w:val="20"/>
        </w:rPr>
      </w:pPr>
      <w:r w:rsidRPr="00A63AA7">
        <w:rPr>
          <w:sz w:val="20"/>
        </w:rPr>
        <w:t xml:space="preserve">[4] </w:t>
      </w:r>
      <w:r w:rsidR="0062229C" w:rsidRPr="00A63AA7">
        <w:rPr>
          <w:sz w:val="20"/>
        </w:rPr>
        <w:t>Recommendation ITU-R M.2160-0 (11/2023) Framework and overall objectives of the future development of IMT for 2030 and beyond</w:t>
      </w:r>
    </w:p>
    <w:p w:rsidR="006253EB" w:rsidRPr="00A63AA7" w:rsidRDefault="00673927" w:rsidP="0038039B">
      <w:pPr>
        <w:ind w:left="284" w:hanging="284"/>
        <w:rPr>
          <w:sz w:val="20"/>
        </w:rPr>
      </w:pPr>
      <w:r w:rsidRPr="00A63AA7">
        <w:rPr>
          <w:sz w:val="20"/>
        </w:rPr>
        <w:t xml:space="preserve">[5] </w:t>
      </w:r>
      <w:r w:rsidR="0038039B" w:rsidRPr="00A63AA7">
        <w:rPr>
          <w:sz w:val="20"/>
        </w:rPr>
        <w:t xml:space="preserve">S1-240100 </w:t>
      </w:r>
      <w:r w:rsidR="00AE0127" w:rsidRPr="00A63AA7">
        <w:rPr>
          <w:rFonts w:eastAsia="Times New Roman" w:cstheme="minorHAnsi"/>
          <w:sz w:val="20"/>
          <w:szCs w:val="24"/>
          <w:lang w:eastAsia="en-GB"/>
        </w:rPr>
        <w:t>An initial proposal to address key societal values in 6G in SA1</w:t>
      </w:r>
      <w:r w:rsidR="0038039B" w:rsidRPr="00A63AA7">
        <w:rPr>
          <w:sz w:val="20"/>
        </w:rPr>
        <w:t xml:space="preserve"> Nokia, Nokia Shanghai Bell</w:t>
      </w:r>
    </w:p>
    <w:p w:rsidR="0062229C" w:rsidRPr="00A63AA7" w:rsidRDefault="0062229C" w:rsidP="0038039B">
      <w:pPr>
        <w:ind w:left="284" w:hanging="284"/>
        <w:rPr>
          <w:sz w:val="20"/>
        </w:rPr>
      </w:pPr>
      <w:r w:rsidRPr="00A63AA7">
        <w:rPr>
          <w:sz w:val="20"/>
        </w:rPr>
        <w:t xml:space="preserve">[6] S1-240230 </w:t>
      </w:r>
      <w:r w:rsidRPr="00A63AA7">
        <w:rPr>
          <w:sz w:val="20"/>
          <w:lang w:val="en-US"/>
        </w:rPr>
        <w:t xml:space="preserve">Next steps regarding KVIs, </w:t>
      </w:r>
      <w:r w:rsidRPr="00A63AA7">
        <w:rPr>
          <w:sz w:val="20"/>
        </w:rPr>
        <w:t>Nokia, Nokia Shanghai Bell</w:t>
      </w:r>
    </w:p>
    <w:p w:rsidR="006253EB" w:rsidRPr="00A63AA7" w:rsidRDefault="005F3ACE" w:rsidP="0038039B">
      <w:pPr>
        <w:ind w:left="284" w:hanging="284"/>
        <w:rPr>
          <w:sz w:val="20"/>
        </w:rPr>
      </w:pPr>
      <w:r w:rsidRPr="00A63AA7">
        <w:rPr>
          <w:sz w:val="20"/>
        </w:rPr>
        <w:t>[7] Hexa-X-II Deliverable D1.2 6G Use Cases and Requirements, https://hexa-x-ii.eu</w:t>
      </w:r>
    </w:p>
    <w:p w:rsidR="005F3ACE" w:rsidRDefault="001B39A0" w:rsidP="0038039B">
      <w:pPr>
        <w:pBdr>
          <w:bottom w:val="single" w:sz="12" w:space="1" w:color="auto"/>
        </w:pBdr>
        <w:ind w:left="284" w:hanging="284"/>
        <w:rPr>
          <w:sz w:val="20"/>
        </w:rPr>
      </w:pPr>
      <w:r w:rsidRPr="00A63AA7">
        <w:rPr>
          <w:sz w:val="20"/>
        </w:rPr>
        <w:t xml:space="preserve">[8] 3GPP working procedures, </w:t>
      </w:r>
      <w:r w:rsidR="00825135" w:rsidRPr="00825135">
        <w:rPr>
          <w:sz w:val="20"/>
        </w:rPr>
        <w:t>https://www.3gpp.org/ftp/information/working_procedures/3gpp_wp.htm</w:t>
      </w:r>
    </w:p>
    <w:p w:rsidR="00825135" w:rsidRPr="00A63AA7" w:rsidRDefault="00825135" w:rsidP="0038039B">
      <w:pPr>
        <w:pBdr>
          <w:bottom w:val="single" w:sz="12" w:space="1" w:color="auto"/>
        </w:pBdr>
        <w:ind w:left="284" w:hanging="284"/>
        <w:rPr>
          <w:sz w:val="20"/>
        </w:rPr>
      </w:pPr>
    </w:p>
    <w:p w:rsidR="0038039B" w:rsidRDefault="00B4014F" w:rsidP="0038039B">
      <w:pPr>
        <w:outlineLvl w:val="1"/>
      </w:pPr>
      <w:bookmarkStart w:id="7" w:name="_Hlk166803152"/>
      <w:r w:rsidRPr="00B4014F">
        <w:rPr>
          <w:b/>
          <w:sz w:val="24"/>
        </w:rPr>
        <w:t xml:space="preserve">5. </w:t>
      </w:r>
      <w:r w:rsidR="006253EB" w:rsidRPr="00B4014F">
        <w:rPr>
          <w:b/>
          <w:sz w:val="24"/>
        </w:rPr>
        <w:t>Annex</w:t>
      </w:r>
      <w:r w:rsidR="0038039B" w:rsidRPr="0038039B">
        <w:t xml:space="preserve"> </w:t>
      </w:r>
      <w:r w:rsidR="0038039B">
        <w:t>- Three Pillars of sustainability goals</w:t>
      </w:r>
      <w:r w:rsidR="0038039B" w:rsidRPr="0038039B">
        <w:t xml:space="preserve"> </w:t>
      </w:r>
      <w:r w:rsidR="0038039B">
        <w:t>mapped to the</w:t>
      </w:r>
      <w:r w:rsidR="0038039B" w:rsidRPr="0038039B">
        <w:t xml:space="preserve"> </w:t>
      </w:r>
      <w:r w:rsidR="0038039B">
        <w:t xml:space="preserve">UN SDG [1] </w:t>
      </w:r>
    </w:p>
    <w:p w:rsidR="006253EB" w:rsidRPr="00B4014F" w:rsidRDefault="006253EB" w:rsidP="0038039B"/>
    <w:p w:rsidR="006253EB" w:rsidRDefault="006253EB" w:rsidP="006253EB">
      <w:r w:rsidRPr="006253EB">
        <w:t>2.1.1 United Nations (UN) Sustainable Development Goals (SDGs)</w:t>
      </w:r>
    </w:p>
    <w:p w:rsidR="006253EB" w:rsidRDefault="006253EB" w:rsidP="006253EB">
      <w:r>
        <w:t>…</w:t>
      </w:r>
    </w:p>
    <w:p w:rsidR="006253EB" w:rsidRDefault="006253EB" w:rsidP="006253EB">
      <w:r>
        <w:t>These 17 goals are further specified into 169 targets, and a high number of indicators which are mainly defined from the perspective of the different member countries. They follow the Millennium Development Goals (MDGs) adopted in 2000 to reduce extreme poverty by 2015. Under the motto "leave no one behind" the aim is to meet the needs of the present without compromising the ability of future generations to meet their own needs [18].</w:t>
      </w:r>
    </w:p>
    <w:p w:rsidR="006253EB" w:rsidRDefault="006253EB" w:rsidP="006253EB">
      <w:r w:rsidRPr="005807DB">
        <w:rPr>
          <w:highlight w:val="yellow"/>
        </w:rPr>
        <w:t>As a foundation for life on Earth</w:t>
      </w:r>
      <w:r>
        <w:t xml:space="preserve"> </w:t>
      </w:r>
      <w:r w:rsidRPr="006253EB">
        <w:rPr>
          <w:b/>
          <w:i/>
        </w:rPr>
        <w:t xml:space="preserve">four of them address </w:t>
      </w:r>
      <w:r w:rsidRPr="005807DB">
        <w:rPr>
          <w:b/>
          <w:i/>
          <w:highlight w:val="yellow"/>
        </w:rPr>
        <w:t>Environment (i.e., 6, 13, 14 and 15)</w:t>
      </w:r>
      <w:r w:rsidRPr="006253EB">
        <w:rPr>
          <w:b/>
          <w:i/>
        </w:rPr>
        <w:t xml:space="preserve">; eight of them address </w:t>
      </w:r>
      <w:r w:rsidRPr="0077455E">
        <w:rPr>
          <w:b/>
          <w:i/>
          <w:highlight w:val="yellow"/>
        </w:rPr>
        <w:t>Society (i.e., 1, 2, 3, 4, 5, 7, 11 and 16)</w:t>
      </w:r>
      <w:r w:rsidRPr="006253EB">
        <w:rPr>
          <w:b/>
          <w:i/>
        </w:rPr>
        <w:t xml:space="preserve">; four address </w:t>
      </w:r>
      <w:r w:rsidRPr="0077455E">
        <w:rPr>
          <w:b/>
          <w:i/>
          <w:highlight w:val="yellow"/>
        </w:rPr>
        <w:t>economy (i.e., 8, 9, 10 and 12)</w:t>
      </w:r>
      <w:r>
        <w:t xml:space="preserve"> and the 17th goal is what binds it all together, i.e., "Partnerships for the goals".</w:t>
      </w:r>
    </w:p>
    <w:p w:rsidR="006253EB" w:rsidRDefault="006253EB" w:rsidP="006253EB">
      <w:r>
        <w:t>The UN SDGs are organized according the three pillars of sustainability as follows.</w:t>
      </w:r>
    </w:p>
    <w:p w:rsidR="006253EB" w:rsidRPr="006253EB" w:rsidRDefault="006253EB" w:rsidP="006253EB">
      <w:pPr>
        <w:rPr>
          <w:b/>
        </w:rPr>
      </w:pPr>
      <w:r w:rsidRPr="006253EB">
        <w:rPr>
          <w:b/>
        </w:rPr>
        <w:t>Environment</w:t>
      </w:r>
    </w:p>
    <w:p w:rsidR="006253EB" w:rsidRDefault="006253EB" w:rsidP="006253EB">
      <w:r>
        <w:t>- SGD 6: Clean water and sanitation – Ensure availability and sustainable management of water and sanitation for all</w:t>
      </w:r>
    </w:p>
    <w:p w:rsidR="006253EB" w:rsidRDefault="006253EB" w:rsidP="006253EB">
      <w:r>
        <w:t>- SDG 13: Climate action – Take urgent action to combat climate change and its impacts</w:t>
      </w:r>
    </w:p>
    <w:p w:rsidR="006253EB" w:rsidRDefault="006253EB" w:rsidP="006253EB">
      <w:r>
        <w:t>- SDG 14: Life below water – Conserve and sustainably use the oceans, seas and marine resources for sustainable development</w:t>
      </w:r>
    </w:p>
    <w:p w:rsidR="006253EB" w:rsidRDefault="006253EB" w:rsidP="006253EB">
      <w:r>
        <w:t>- SDG 15: Life and land – Protect, restore, and promote sustainable use of terrestrial ecosystems, sustainably manage forests, combat desertification, and halt and reverse land degradation and halt biodiversity loss</w:t>
      </w:r>
    </w:p>
    <w:p w:rsidR="006253EB" w:rsidRDefault="006253EB" w:rsidP="006253EB"/>
    <w:p w:rsidR="006253EB" w:rsidRPr="006253EB" w:rsidRDefault="006253EB" w:rsidP="006253EB">
      <w:pPr>
        <w:rPr>
          <w:b/>
        </w:rPr>
      </w:pPr>
      <w:r w:rsidRPr="006253EB">
        <w:rPr>
          <w:b/>
        </w:rPr>
        <w:t>Society</w:t>
      </w:r>
    </w:p>
    <w:p w:rsidR="006253EB" w:rsidRDefault="006253EB" w:rsidP="006253EB">
      <w:r>
        <w:t>- SDG 1: No poverty – End poverty in all its forms everywhere</w:t>
      </w:r>
    </w:p>
    <w:p w:rsidR="006253EB" w:rsidRDefault="006253EB" w:rsidP="006253EB">
      <w:r>
        <w:t>- SDG 2: Zero hunger – End hunger, achieve food security and improved nutrition and promote sustainable agriculture</w:t>
      </w:r>
    </w:p>
    <w:p w:rsidR="006253EB" w:rsidRDefault="006253EB" w:rsidP="006253EB">
      <w:r>
        <w:t>- SDG 3: Good health and well-being – Ensure healthy lives and promote well-being for all at all ages</w:t>
      </w:r>
    </w:p>
    <w:p w:rsidR="006253EB" w:rsidRDefault="006253EB" w:rsidP="006253EB">
      <w:r>
        <w:t>- SDG 4: Quality education – Ensure inclusive and equitable quality education and promote lifelong learning opportunities for all</w:t>
      </w:r>
    </w:p>
    <w:p w:rsidR="006253EB" w:rsidRDefault="006253EB" w:rsidP="006253EB">
      <w:r>
        <w:t>- SDG 5: Gender equality – Achieve gender equality and empower all women and girls</w:t>
      </w:r>
    </w:p>
    <w:p w:rsidR="006253EB" w:rsidRDefault="006253EB" w:rsidP="006253EB">
      <w:r>
        <w:t>- SDG 7: Affordable and clean energy - Ensure access to affordable, reliable, sustainable, and modern energy for all</w:t>
      </w:r>
    </w:p>
    <w:p w:rsidR="006253EB" w:rsidRDefault="006253EB" w:rsidP="006253EB">
      <w:r>
        <w:t>- SDG 11: Sustainable cities and communities – Make cities and human settlements inclusive, safe, resilient, and sustainable</w:t>
      </w:r>
    </w:p>
    <w:p w:rsidR="006253EB" w:rsidRDefault="006253EB" w:rsidP="006253EB">
      <w:r>
        <w:t>- SDG 16: Peace, justice and strong institution – Promote peaceful and inclusive societies for sustainable development, provide access to justice for all and build effective, accountable and inclusive institutions at all levels</w:t>
      </w:r>
    </w:p>
    <w:p w:rsidR="006253EB" w:rsidRDefault="006253EB" w:rsidP="006253EB"/>
    <w:p w:rsidR="006253EB" w:rsidRPr="006253EB" w:rsidRDefault="006253EB" w:rsidP="006253EB">
      <w:pPr>
        <w:rPr>
          <w:b/>
        </w:rPr>
      </w:pPr>
      <w:r w:rsidRPr="006253EB">
        <w:rPr>
          <w:b/>
        </w:rPr>
        <w:t>Economy</w:t>
      </w:r>
    </w:p>
    <w:p w:rsidR="006253EB" w:rsidRDefault="006253EB" w:rsidP="006253EB">
      <w:r>
        <w:t>- SGD 8: Decent work and economic growth – Promote sustained, inclusive, and sustainable economic growth, full and productive employment and decent work for all</w:t>
      </w:r>
    </w:p>
    <w:p w:rsidR="006253EB" w:rsidRDefault="006253EB" w:rsidP="006253EB">
      <w:r>
        <w:t>- SDG 9: Industry, innovation, and infrastructure - Build resilient infrastructure, promote inclusive and sustainable industrialization and foster innovation</w:t>
      </w:r>
    </w:p>
    <w:p w:rsidR="006253EB" w:rsidRDefault="006253EB" w:rsidP="006253EB">
      <w:r>
        <w:t>- SDG 10: Reduced inequality – Reduce inequality within and among countries</w:t>
      </w:r>
    </w:p>
    <w:p w:rsidR="006253EB" w:rsidRDefault="006253EB" w:rsidP="006253EB">
      <w:r>
        <w:t>- SDG 12: Responsible consumption and production – Ensure sustainable consumption and production patterns</w:t>
      </w:r>
    </w:p>
    <w:p w:rsidR="006253EB" w:rsidRDefault="006253EB" w:rsidP="006253EB"/>
    <w:p w:rsidR="006253EB" w:rsidRPr="006253EB" w:rsidRDefault="006253EB" w:rsidP="006253EB">
      <w:pPr>
        <w:rPr>
          <w:b/>
        </w:rPr>
      </w:pPr>
      <w:r w:rsidRPr="006253EB">
        <w:rPr>
          <w:b/>
        </w:rPr>
        <w:t>Overall</w:t>
      </w:r>
    </w:p>
    <w:p w:rsidR="006253EB" w:rsidRDefault="006253EB" w:rsidP="006253EB">
      <w:r>
        <w:t>- SDG 17: Partnerships for the goals – Strengthen the means of implementation and revitalize the global partnership for sustainable development</w:t>
      </w:r>
    </w:p>
    <w:bookmarkEnd w:id="7"/>
    <w:p w:rsidR="006253EB" w:rsidRDefault="006253EB" w:rsidP="006253EB"/>
    <w:sectPr w:rsidR="006253EB" w:rsidSect="00825135">
      <w:pgSz w:w="11906" w:h="16838"/>
      <w:pgMar w:top="851"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F90"/>
    <w:multiLevelType w:val="hybridMultilevel"/>
    <w:tmpl w:val="E4D66E7C"/>
    <w:lvl w:ilvl="0" w:tplc="9FB20DD6">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248576E"/>
    <w:multiLevelType w:val="hybridMultilevel"/>
    <w:tmpl w:val="BD70F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885409"/>
    <w:multiLevelType w:val="hybridMultilevel"/>
    <w:tmpl w:val="099616C8"/>
    <w:lvl w:ilvl="0" w:tplc="9FB20D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FC06C90"/>
    <w:multiLevelType w:val="hybridMultilevel"/>
    <w:tmpl w:val="478C2736"/>
    <w:lvl w:ilvl="0" w:tplc="9FB20DD6">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4E93133F"/>
    <w:multiLevelType w:val="hybridMultilevel"/>
    <w:tmpl w:val="368E5114"/>
    <w:lvl w:ilvl="0" w:tplc="FD2053C2">
      <w:start w:val="1"/>
      <w:numFmt w:val="bullet"/>
      <w:lvlText w:val="•"/>
      <w:lvlJc w:val="left"/>
      <w:pPr>
        <w:tabs>
          <w:tab w:val="num" w:pos="360"/>
        </w:tabs>
        <w:ind w:left="360" w:hanging="360"/>
      </w:pPr>
      <w:rPr>
        <w:rFonts w:ascii="Arial" w:hAnsi="Arial" w:hint="default"/>
      </w:rPr>
    </w:lvl>
    <w:lvl w:ilvl="1" w:tplc="CE82E31E" w:tentative="1">
      <w:start w:val="1"/>
      <w:numFmt w:val="bullet"/>
      <w:lvlText w:val="•"/>
      <w:lvlJc w:val="left"/>
      <w:pPr>
        <w:tabs>
          <w:tab w:val="num" w:pos="1080"/>
        </w:tabs>
        <w:ind w:left="1080" w:hanging="360"/>
      </w:pPr>
      <w:rPr>
        <w:rFonts w:ascii="Arial" w:hAnsi="Arial" w:hint="default"/>
      </w:rPr>
    </w:lvl>
    <w:lvl w:ilvl="2" w:tplc="9D72C50A">
      <w:start w:val="1"/>
      <w:numFmt w:val="decimal"/>
      <w:lvlText w:val="%3."/>
      <w:lvlJc w:val="left"/>
      <w:pPr>
        <w:tabs>
          <w:tab w:val="num" w:pos="1800"/>
        </w:tabs>
        <w:ind w:left="1800" w:hanging="360"/>
      </w:pPr>
    </w:lvl>
    <w:lvl w:ilvl="3" w:tplc="9F40D268" w:tentative="1">
      <w:start w:val="1"/>
      <w:numFmt w:val="bullet"/>
      <w:lvlText w:val="•"/>
      <w:lvlJc w:val="left"/>
      <w:pPr>
        <w:tabs>
          <w:tab w:val="num" w:pos="2520"/>
        </w:tabs>
        <w:ind w:left="2520" w:hanging="360"/>
      </w:pPr>
      <w:rPr>
        <w:rFonts w:ascii="Arial" w:hAnsi="Arial" w:hint="default"/>
      </w:rPr>
    </w:lvl>
    <w:lvl w:ilvl="4" w:tplc="60AC340A" w:tentative="1">
      <w:start w:val="1"/>
      <w:numFmt w:val="bullet"/>
      <w:lvlText w:val="•"/>
      <w:lvlJc w:val="left"/>
      <w:pPr>
        <w:tabs>
          <w:tab w:val="num" w:pos="3240"/>
        </w:tabs>
        <w:ind w:left="3240" w:hanging="360"/>
      </w:pPr>
      <w:rPr>
        <w:rFonts w:ascii="Arial" w:hAnsi="Arial" w:hint="default"/>
      </w:rPr>
    </w:lvl>
    <w:lvl w:ilvl="5" w:tplc="D86EA978" w:tentative="1">
      <w:start w:val="1"/>
      <w:numFmt w:val="bullet"/>
      <w:lvlText w:val="•"/>
      <w:lvlJc w:val="left"/>
      <w:pPr>
        <w:tabs>
          <w:tab w:val="num" w:pos="3960"/>
        </w:tabs>
        <w:ind w:left="3960" w:hanging="360"/>
      </w:pPr>
      <w:rPr>
        <w:rFonts w:ascii="Arial" w:hAnsi="Arial" w:hint="default"/>
      </w:rPr>
    </w:lvl>
    <w:lvl w:ilvl="6" w:tplc="0A7C91B8" w:tentative="1">
      <w:start w:val="1"/>
      <w:numFmt w:val="bullet"/>
      <w:lvlText w:val="•"/>
      <w:lvlJc w:val="left"/>
      <w:pPr>
        <w:tabs>
          <w:tab w:val="num" w:pos="4680"/>
        </w:tabs>
        <w:ind w:left="4680" w:hanging="360"/>
      </w:pPr>
      <w:rPr>
        <w:rFonts w:ascii="Arial" w:hAnsi="Arial" w:hint="default"/>
      </w:rPr>
    </w:lvl>
    <w:lvl w:ilvl="7" w:tplc="DAB6019C" w:tentative="1">
      <w:start w:val="1"/>
      <w:numFmt w:val="bullet"/>
      <w:lvlText w:val="•"/>
      <w:lvlJc w:val="left"/>
      <w:pPr>
        <w:tabs>
          <w:tab w:val="num" w:pos="5400"/>
        </w:tabs>
        <w:ind w:left="5400" w:hanging="360"/>
      </w:pPr>
      <w:rPr>
        <w:rFonts w:ascii="Arial" w:hAnsi="Arial" w:hint="default"/>
      </w:rPr>
    </w:lvl>
    <w:lvl w:ilvl="8" w:tplc="FB64B16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726B4FEC"/>
    <w:multiLevelType w:val="hybridMultilevel"/>
    <w:tmpl w:val="4F4C91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DC7"/>
    <w:rsid w:val="0000419C"/>
    <w:rsid w:val="00004875"/>
    <w:rsid w:val="000F2C3C"/>
    <w:rsid w:val="00124FE8"/>
    <w:rsid w:val="00146FAC"/>
    <w:rsid w:val="0015799B"/>
    <w:rsid w:val="00173FFF"/>
    <w:rsid w:val="001B39A0"/>
    <w:rsid w:val="001F2950"/>
    <w:rsid w:val="002F39D0"/>
    <w:rsid w:val="00332AC7"/>
    <w:rsid w:val="0033664D"/>
    <w:rsid w:val="00336CEF"/>
    <w:rsid w:val="003406CA"/>
    <w:rsid w:val="0038039B"/>
    <w:rsid w:val="003D5327"/>
    <w:rsid w:val="00430DAA"/>
    <w:rsid w:val="004600EE"/>
    <w:rsid w:val="00471FD2"/>
    <w:rsid w:val="004762B9"/>
    <w:rsid w:val="005042E0"/>
    <w:rsid w:val="00565509"/>
    <w:rsid w:val="005807DB"/>
    <w:rsid w:val="00596DC7"/>
    <w:rsid w:val="005F3ACE"/>
    <w:rsid w:val="005F59BE"/>
    <w:rsid w:val="006142E2"/>
    <w:rsid w:val="0062229C"/>
    <w:rsid w:val="006253EB"/>
    <w:rsid w:val="00631A66"/>
    <w:rsid w:val="00654CE4"/>
    <w:rsid w:val="00673927"/>
    <w:rsid w:val="00675660"/>
    <w:rsid w:val="00711D7C"/>
    <w:rsid w:val="0077455E"/>
    <w:rsid w:val="007B6CEC"/>
    <w:rsid w:val="00822FF4"/>
    <w:rsid w:val="00825135"/>
    <w:rsid w:val="0084693D"/>
    <w:rsid w:val="00877998"/>
    <w:rsid w:val="00885B74"/>
    <w:rsid w:val="00934720"/>
    <w:rsid w:val="009351C4"/>
    <w:rsid w:val="009F16DE"/>
    <w:rsid w:val="00A63AA7"/>
    <w:rsid w:val="00A71639"/>
    <w:rsid w:val="00A9771B"/>
    <w:rsid w:val="00AB6CED"/>
    <w:rsid w:val="00AE0127"/>
    <w:rsid w:val="00B4014F"/>
    <w:rsid w:val="00BB085F"/>
    <w:rsid w:val="00BF3C32"/>
    <w:rsid w:val="00C06BAB"/>
    <w:rsid w:val="00C12130"/>
    <w:rsid w:val="00CA28B3"/>
    <w:rsid w:val="00DC7612"/>
    <w:rsid w:val="00E0376C"/>
    <w:rsid w:val="00EA0929"/>
    <w:rsid w:val="00EC3725"/>
    <w:rsid w:val="00EF4A87"/>
    <w:rsid w:val="00F31C2A"/>
    <w:rsid w:val="00F93E72"/>
    <w:rsid w:val="00FC6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769724-CC51-4E52-B183-849EF0480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69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53EB"/>
    <w:rPr>
      <w:color w:val="0563C1" w:themeColor="hyperlink"/>
      <w:u w:val="single"/>
    </w:rPr>
  </w:style>
  <w:style w:type="character" w:styleId="UnresolvedMention">
    <w:name w:val="Unresolved Mention"/>
    <w:basedOn w:val="DefaultParagraphFont"/>
    <w:uiPriority w:val="99"/>
    <w:semiHidden/>
    <w:unhideWhenUsed/>
    <w:rsid w:val="006253EB"/>
    <w:rPr>
      <w:color w:val="605E5C"/>
      <w:shd w:val="clear" w:color="auto" w:fill="E1DFDD"/>
    </w:rPr>
  </w:style>
  <w:style w:type="paragraph" w:styleId="ListParagraph">
    <w:name w:val="List Paragraph"/>
    <w:basedOn w:val="Normal"/>
    <w:uiPriority w:val="34"/>
    <w:qFormat/>
    <w:rsid w:val="006142E2"/>
    <w:pPr>
      <w:ind w:left="720"/>
      <w:contextualSpacing/>
    </w:pPr>
  </w:style>
  <w:style w:type="table" w:styleId="TableGrid">
    <w:name w:val="Table Grid"/>
    <w:basedOn w:val="TableNormal"/>
    <w:uiPriority w:val="39"/>
    <w:rsid w:val="00614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2229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C121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1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985543">
      <w:bodyDiv w:val="1"/>
      <w:marLeft w:val="0"/>
      <w:marRight w:val="0"/>
      <w:marTop w:val="0"/>
      <w:marBottom w:val="0"/>
      <w:divBdr>
        <w:top w:val="none" w:sz="0" w:space="0" w:color="auto"/>
        <w:left w:val="none" w:sz="0" w:space="0" w:color="auto"/>
        <w:bottom w:val="none" w:sz="0" w:space="0" w:color="auto"/>
        <w:right w:val="none" w:sz="0" w:space="0" w:color="auto"/>
      </w:divBdr>
      <w:divsChild>
        <w:div w:id="2003972972">
          <w:marLeft w:val="360"/>
          <w:marRight w:val="0"/>
          <w:marTop w:val="200"/>
          <w:marBottom w:val="0"/>
          <w:divBdr>
            <w:top w:val="none" w:sz="0" w:space="0" w:color="auto"/>
            <w:left w:val="none" w:sz="0" w:space="0" w:color="auto"/>
            <w:bottom w:val="none" w:sz="0" w:space="0" w:color="auto"/>
            <w:right w:val="none" w:sz="0" w:space="0" w:color="auto"/>
          </w:divBdr>
        </w:div>
        <w:div w:id="2055545757">
          <w:marLeft w:val="1800"/>
          <w:marRight w:val="0"/>
          <w:marTop w:val="100"/>
          <w:marBottom w:val="0"/>
          <w:divBdr>
            <w:top w:val="none" w:sz="0" w:space="0" w:color="auto"/>
            <w:left w:val="none" w:sz="0" w:space="0" w:color="auto"/>
            <w:bottom w:val="none" w:sz="0" w:space="0" w:color="auto"/>
            <w:right w:val="none" w:sz="0" w:space="0" w:color="auto"/>
          </w:divBdr>
        </w:div>
        <w:div w:id="1852724249">
          <w:marLeft w:val="1800"/>
          <w:marRight w:val="0"/>
          <w:marTop w:val="100"/>
          <w:marBottom w:val="0"/>
          <w:divBdr>
            <w:top w:val="none" w:sz="0" w:space="0" w:color="auto"/>
            <w:left w:val="none" w:sz="0" w:space="0" w:color="auto"/>
            <w:bottom w:val="none" w:sz="0" w:space="0" w:color="auto"/>
            <w:right w:val="none" w:sz="0" w:space="0" w:color="auto"/>
          </w:divBdr>
        </w:div>
        <w:div w:id="851457002">
          <w:marLeft w:val="1800"/>
          <w:marRight w:val="0"/>
          <w:marTop w:val="100"/>
          <w:marBottom w:val="0"/>
          <w:divBdr>
            <w:top w:val="none" w:sz="0" w:space="0" w:color="auto"/>
            <w:left w:val="none" w:sz="0" w:space="0" w:color="auto"/>
            <w:bottom w:val="none" w:sz="0" w:space="0" w:color="auto"/>
            <w:right w:val="none" w:sz="0" w:space="0" w:color="auto"/>
          </w:divBdr>
        </w:div>
        <w:div w:id="657808270">
          <w:marLeft w:val="1800"/>
          <w:marRight w:val="0"/>
          <w:marTop w:val="100"/>
          <w:marBottom w:val="0"/>
          <w:divBdr>
            <w:top w:val="none" w:sz="0" w:space="0" w:color="auto"/>
            <w:left w:val="none" w:sz="0" w:space="0" w:color="auto"/>
            <w:bottom w:val="none" w:sz="0" w:space="0" w:color="auto"/>
            <w:right w:val="none" w:sz="0" w:space="0" w:color="auto"/>
          </w:divBdr>
        </w:div>
        <w:div w:id="212038033">
          <w:marLeft w:val="360"/>
          <w:marRight w:val="0"/>
          <w:marTop w:val="200"/>
          <w:marBottom w:val="0"/>
          <w:divBdr>
            <w:top w:val="none" w:sz="0" w:space="0" w:color="auto"/>
            <w:left w:val="none" w:sz="0" w:space="0" w:color="auto"/>
            <w:bottom w:val="none" w:sz="0" w:space="0" w:color="auto"/>
            <w:right w:val="none" w:sz="0" w:space="0" w:color="auto"/>
          </w:divBdr>
        </w:div>
        <w:div w:id="241372285">
          <w:marLeft w:val="1987"/>
          <w:marRight w:val="0"/>
          <w:marTop w:val="100"/>
          <w:marBottom w:val="0"/>
          <w:divBdr>
            <w:top w:val="none" w:sz="0" w:space="0" w:color="auto"/>
            <w:left w:val="none" w:sz="0" w:space="0" w:color="auto"/>
            <w:bottom w:val="none" w:sz="0" w:space="0" w:color="auto"/>
            <w:right w:val="none" w:sz="0" w:space="0" w:color="auto"/>
          </w:divBdr>
        </w:div>
        <w:div w:id="1992371609">
          <w:marLeft w:val="1987"/>
          <w:marRight w:val="0"/>
          <w:marTop w:val="100"/>
          <w:marBottom w:val="0"/>
          <w:divBdr>
            <w:top w:val="none" w:sz="0" w:space="0" w:color="auto"/>
            <w:left w:val="none" w:sz="0" w:space="0" w:color="auto"/>
            <w:bottom w:val="none" w:sz="0" w:space="0" w:color="auto"/>
            <w:right w:val="none" w:sz="0" w:space="0" w:color="auto"/>
          </w:divBdr>
        </w:div>
        <w:div w:id="1966160015">
          <w:marLeft w:val="1987"/>
          <w:marRight w:val="0"/>
          <w:marTop w:val="100"/>
          <w:marBottom w:val="0"/>
          <w:divBdr>
            <w:top w:val="none" w:sz="0" w:space="0" w:color="auto"/>
            <w:left w:val="none" w:sz="0" w:space="0" w:color="auto"/>
            <w:bottom w:val="none" w:sz="0" w:space="0" w:color="auto"/>
            <w:right w:val="none" w:sz="0" w:space="0" w:color="auto"/>
          </w:divBdr>
        </w:div>
        <w:div w:id="1687631680">
          <w:marLeft w:val="1987"/>
          <w:marRight w:val="0"/>
          <w:marTop w:val="100"/>
          <w:marBottom w:val="0"/>
          <w:divBdr>
            <w:top w:val="none" w:sz="0" w:space="0" w:color="auto"/>
            <w:left w:val="none" w:sz="0" w:space="0" w:color="auto"/>
            <w:bottom w:val="none" w:sz="0" w:space="0" w:color="auto"/>
            <w:right w:val="none" w:sz="0" w:space="0" w:color="auto"/>
          </w:divBdr>
        </w:div>
      </w:divsChild>
    </w:div>
    <w:div w:id="114238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2437</Words>
  <Characters>13891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Xm2</dc:creator>
  <cp:keywords/>
  <dc:description/>
  <cp:lastModifiedBy>Xm2</cp:lastModifiedBy>
  <cp:revision>2</cp:revision>
  <cp:lastPrinted>2024-05-17T08:52:00Z</cp:lastPrinted>
  <dcterms:created xsi:type="dcterms:W3CDTF">2024-05-17T10:25:00Z</dcterms:created>
  <dcterms:modified xsi:type="dcterms:W3CDTF">2024-05-17T10:25:00Z</dcterms:modified>
</cp:coreProperties>
</file>