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C789F" w14:textId="40048405" w:rsidR="005C20CB" w:rsidRPr="00A767DE" w:rsidRDefault="00F3630E" w:rsidP="00F3630E">
      <w:pPr>
        <w:jc w:val="center"/>
        <w:rPr>
          <w:rFonts w:asciiTheme="minorHAnsi" w:hAnsiTheme="minorHAnsi" w:cstheme="minorHAnsi"/>
          <w:b/>
          <w:bCs/>
          <w:sz w:val="36"/>
          <w:szCs w:val="36"/>
          <w:u w:val="single"/>
        </w:rPr>
      </w:pPr>
      <w:r w:rsidRPr="00F3630E">
        <w:rPr>
          <w:rFonts w:asciiTheme="minorHAnsi" w:hAnsiTheme="minorHAnsi" w:cstheme="minorHAnsi"/>
          <w:b/>
          <w:bCs/>
          <w:sz w:val="36"/>
          <w:szCs w:val="36"/>
          <w:u w:val="single"/>
        </w:rPr>
        <w:t>Feb. 6</w:t>
      </w:r>
      <w:r w:rsidRPr="00F3630E">
        <w:rPr>
          <w:rFonts w:asciiTheme="minorHAnsi" w:hAnsiTheme="minorHAnsi" w:cstheme="minorHAnsi"/>
          <w:b/>
          <w:bCs/>
          <w:sz w:val="36"/>
          <w:szCs w:val="36"/>
          <w:u w:val="single"/>
          <w:vertAlign w:val="superscript"/>
        </w:rPr>
        <w:t>th</w:t>
      </w:r>
      <w:r w:rsidRPr="00F3630E">
        <w:rPr>
          <w:rFonts w:asciiTheme="minorHAnsi" w:hAnsiTheme="minorHAnsi" w:cstheme="minorHAnsi"/>
          <w:b/>
          <w:bCs/>
          <w:sz w:val="36"/>
          <w:szCs w:val="36"/>
          <w:u w:val="single"/>
        </w:rPr>
        <w:t xml:space="preserve"> (Mon.) </w:t>
      </w:r>
      <w:r w:rsidRPr="00A767DE">
        <w:rPr>
          <w:rFonts w:asciiTheme="minorHAnsi" w:hAnsiTheme="minorHAnsi" w:cstheme="minorHAnsi"/>
          <w:b/>
          <w:bCs/>
          <w:sz w:val="36"/>
          <w:szCs w:val="36"/>
          <w:u w:val="single"/>
        </w:rPr>
        <w:t xml:space="preserve">Pre-SA2#155 AIMLsys CC </w:t>
      </w:r>
      <w:r w:rsidR="00A767DE" w:rsidRPr="00A767DE">
        <w:rPr>
          <w:rFonts w:asciiTheme="minorHAnsi" w:hAnsiTheme="minorHAnsi" w:cstheme="minorHAnsi"/>
          <w:b/>
          <w:bCs/>
          <w:sz w:val="36"/>
          <w:szCs w:val="36"/>
          <w:u w:val="single"/>
        </w:rPr>
        <w:t>Meet</w:t>
      </w:r>
      <w:r w:rsidR="00A767DE">
        <w:rPr>
          <w:rFonts w:asciiTheme="minorHAnsi" w:hAnsiTheme="minorHAnsi" w:cstheme="minorHAnsi"/>
          <w:b/>
          <w:bCs/>
          <w:sz w:val="36"/>
          <w:szCs w:val="36"/>
          <w:u w:val="single"/>
        </w:rPr>
        <w:t>ing Notes</w:t>
      </w:r>
    </w:p>
    <w:p w14:paraId="622C1F63" w14:textId="77777777" w:rsidR="005C20CB" w:rsidRPr="00A767DE" w:rsidRDefault="005C20CB" w:rsidP="005C20CB">
      <w:r w:rsidRPr="00A767DE">
        <w:rPr>
          <w:rFonts w:ascii="Calibri" w:hAnsi="Calibri"/>
          <w:i/>
          <w:iCs/>
          <w:sz w:val="26"/>
          <w:szCs w:val="26"/>
          <w:lang w:eastAsia="en-US"/>
        </w:rPr>
        <w:t> </w:t>
      </w:r>
    </w:p>
    <w:p w14:paraId="51BCF893" w14:textId="77777777" w:rsidR="005C20CB" w:rsidRDefault="005C20CB" w:rsidP="005C20CB">
      <w:pPr>
        <w:numPr>
          <w:ilvl w:val="0"/>
          <w:numId w:val="1"/>
        </w:numPr>
      </w:pPr>
      <w:r>
        <w:rPr>
          <w:rFonts w:ascii="Calibri" w:hAnsi="Calibri"/>
          <w:b/>
          <w:bCs/>
          <w:i/>
          <w:iCs/>
          <w:sz w:val="26"/>
          <w:szCs w:val="26"/>
          <w:lang w:val="fr-FR" w:eastAsia="en-US"/>
        </w:rPr>
        <w:t>General AIMLsys Descriptions:  </w:t>
      </w:r>
    </w:p>
    <w:p w14:paraId="5998F08C" w14:textId="77777777" w:rsidR="005C20CB" w:rsidRDefault="005C20CB" w:rsidP="005C20CB">
      <w:r>
        <w:rPr>
          <w:rFonts w:ascii="Calibri" w:hAnsi="Calibri"/>
          <w:b/>
          <w:bCs/>
          <w:i/>
          <w:iCs/>
          <w:sz w:val="26"/>
          <w:szCs w:val="26"/>
          <w:lang w:val="en-GB" w:eastAsia="en-US"/>
        </w:rPr>
        <w:t xml:space="preserve">Next Steps:  </w:t>
      </w:r>
      <w:r>
        <w:rPr>
          <w:rFonts w:ascii="Calibri" w:hAnsi="Calibri"/>
          <w:i/>
          <w:iCs/>
          <w:color w:val="0070C0"/>
          <w:sz w:val="26"/>
          <w:szCs w:val="26"/>
          <w:lang w:val="en-GB" w:eastAsia="en-US"/>
        </w:rPr>
        <w:t>How to</w:t>
      </w:r>
      <w:r>
        <w:rPr>
          <w:rFonts w:ascii="Calibri" w:hAnsi="Calibri"/>
          <w:b/>
          <w:bCs/>
          <w:i/>
          <w:iCs/>
          <w:color w:val="0070C0"/>
          <w:sz w:val="26"/>
          <w:szCs w:val="26"/>
          <w:lang w:val="en-GB" w:eastAsia="en-US"/>
        </w:rPr>
        <w:t xml:space="preserve"> </w:t>
      </w:r>
      <w:r>
        <w:rPr>
          <w:rFonts w:ascii="Calibri" w:hAnsi="Calibri"/>
          <w:i/>
          <w:iCs/>
          <w:color w:val="0070C0"/>
          <w:sz w:val="26"/>
          <w:szCs w:val="26"/>
          <w:lang w:val="en-GB" w:eastAsia="en-US"/>
        </w:rPr>
        <w:t xml:space="preserve">Capture more high-level AIMLsys functionalities  </w:t>
      </w:r>
      <w:r>
        <w:rPr>
          <w:rFonts w:ascii="Calibri" w:hAnsi="Calibri"/>
          <w:b/>
          <w:bCs/>
          <w:i/>
          <w:iCs/>
          <w:color w:val="0070C0"/>
          <w:sz w:val="26"/>
          <w:szCs w:val="26"/>
          <w:lang w:val="en-GB" w:eastAsia="en-US"/>
        </w:rPr>
        <w:t> </w:t>
      </w:r>
      <w:r>
        <w:rPr>
          <w:rFonts w:ascii="Calibri" w:hAnsi="Calibri"/>
          <w:b/>
          <w:bCs/>
          <w:i/>
          <w:iCs/>
          <w:sz w:val="26"/>
          <w:szCs w:val="26"/>
          <w:lang w:eastAsia="en-US"/>
        </w:rPr>
        <w:t>(Host: David &amp; Tricci)</w:t>
      </w:r>
    </w:p>
    <w:p w14:paraId="5B512032" w14:textId="77777777" w:rsidR="005C20CB" w:rsidRDefault="005C20CB" w:rsidP="005C20CB">
      <w:pPr>
        <w:ind w:left="1260"/>
        <w:rPr>
          <w:rStyle w:val="Hyperlink"/>
          <w:rFonts w:ascii="Calibri" w:hAnsi="Calibri"/>
          <w:i/>
          <w:iCs/>
          <w:color w:val="0070C0"/>
          <w:sz w:val="26"/>
          <w:szCs w:val="26"/>
          <w:lang w:eastAsia="en-US"/>
        </w:rPr>
      </w:pPr>
      <w:r>
        <w:rPr>
          <w:rFonts w:ascii="Calibri" w:hAnsi="Calibri"/>
          <w:i/>
          <w:iCs/>
          <w:color w:val="0070C0"/>
          <w:sz w:val="26"/>
          <w:szCs w:val="26"/>
          <w:lang w:eastAsia="en-US"/>
        </w:rPr>
        <w:t xml:space="preserve">Tdoc reference: </w:t>
      </w:r>
      <w:hyperlink r:id="rId5" w:history="1">
        <w:r>
          <w:rPr>
            <w:rStyle w:val="Hyperlink"/>
            <w:rFonts w:ascii="Calibri" w:hAnsi="Calibri"/>
            <w:i/>
            <w:iCs/>
            <w:color w:val="0070C0"/>
            <w:sz w:val="26"/>
            <w:szCs w:val="26"/>
            <w:lang w:eastAsia="en-US"/>
          </w:rPr>
          <w:t>S2-2301579</w:t>
        </w:r>
      </w:hyperlink>
    </w:p>
    <w:p w14:paraId="524D093C" w14:textId="77777777" w:rsidR="005E707E" w:rsidRDefault="005E707E" w:rsidP="005C20CB">
      <w:pPr>
        <w:ind w:left="1260"/>
      </w:pPr>
    </w:p>
    <w:tbl>
      <w:tblPr>
        <w:tblStyle w:val="TableGrid"/>
        <w:tblW w:w="0" w:type="auto"/>
        <w:tblLook w:val="04A0" w:firstRow="1" w:lastRow="0" w:firstColumn="1" w:lastColumn="0" w:noHBand="0" w:noVBand="1"/>
      </w:tblPr>
      <w:tblGrid>
        <w:gridCol w:w="9350"/>
      </w:tblGrid>
      <w:tr w:rsidR="001D5534" w14:paraId="56178D41" w14:textId="77777777" w:rsidTr="001D5534">
        <w:tc>
          <w:tcPr>
            <w:tcW w:w="9350" w:type="dxa"/>
          </w:tcPr>
          <w:p w14:paraId="7068324A" w14:textId="77777777" w:rsidR="001D5534" w:rsidRDefault="001D5534" w:rsidP="001D5534">
            <w:pPr>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Both rapporteurs suggested that, mostly for this general description clause will not be updated until the normative work for most of the KIs become stable.   However, one specific aspect is to decide on the format to capture the high-level descriptions of the functionalities within the AIMLsys.   </w:t>
            </w:r>
            <w:r>
              <w:rPr>
                <w:rFonts w:asciiTheme="minorHAnsi" w:hAnsiTheme="minorHAnsi" w:cstheme="minorHAnsi"/>
                <w:i/>
                <w:iCs/>
              </w:rPr>
              <w:t xml:space="preserve">David further requests AIMLsys colleagues to share the CR, if any, on updating this general clause to the SA2 reflector before the tdoc deadline so that it can collect the feedback the sooner the better. </w:t>
            </w:r>
          </w:p>
          <w:p w14:paraId="685E2582" w14:textId="77777777" w:rsidR="001D5534" w:rsidRDefault="001D5534" w:rsidP="001D5534">
            <w:pPr>
              <w:rPr>
                <w:rFonts w:asciiTheme="minorHAnsi" w:hAnsiTheme="minorHAnsi" w:cstheme="minorHAnsi"/>
                <w:i/>
                <w:iCs/>
              </w:rPr>
            </w:pPr>
          </w:p>
          <w:p w14:paraId="7ED1EA54" w14:textId="77777777" w:rsidR="001D5534" w:rsidRPr="001D5534" w:rsidRDefault="001D5534" w:rsidP="005E707E">
            <w:pPr>
              <w:rPr>
                <w:rFonts w:asciiTheme="minorHAnsi" w:hAnsiTheme="minorHAnsi" w:cstheme="minorHAnsi"/>
                <w:i/>
                <w:iCs/>
              </w:rPr>
            </w:pPr>
            <w:r w:rsidRPr="00FC04FA">
              <w:rPr>
                <w:rFonts w:asciiTheme="minorHAnsi" w:hAnsiTheme="minorHAnsi" w:cstheme="minorHAnsi"/>
                <w:b/>
                <w:bCs/>
                <w:i/>
                <w:iCs/>
              </w:rPr>
              <w:t>Next Step:</w:t>
            </w:r>
            <w:r>
              <w:rPr>
                <w:rFonts w:asciiTheme="minorHAnsi" w:hAnsiTheme="minorHAnsi" w:cstheme="minorHAnsi"/>
                <w:i/>
                <w:iCs/>
              </w:rPr>
              <w:t xml:space="preserve"> David will kick off the discussions on the format to capture the high-level descriptions of the functionalities of the AIMLsys over the SA2 reflector to collect feedback. </w:t>
            </w:r>
          </w:p>
        </w:tc>
      </w:tr>
    </w:tbl>
    <w:p w14:paraId="6092D073" w14:textId="77777777" w:rsidR="001D5534" w:rsidRDefault="001D5534" w:rsidP="005E707E">
      <w:pPr>
        <w:rPr>
          <w:rFonts w:asciiTheme="minorHAnsi" w:hAnsiTheme="minorHAnsi" w:cstheme="minorHAnsi"/>
          <w:b/>
          <w:bCs/>
          <w:i/>
          <w:iCs/>
        </w:rPr>
      </w:pPr>
    </w:p>
    <w:p w14:paraId="7B53C3CF" w14:textId="77777777" w:rsidR="005C20CB" w:rsidRDefault="005C20CB" w:rsidP="005C20CB">
      <w:r>
        <w:rPr>
          <w:rFonts w:ascii="Calibri" w:hAnsi="Calibri"/>
          <w:i/>
          <w:iCs/>
          <w:sz w:val="26"/>
          <w:szCs w:val="26"/>
          <w:lang w:eastAsia="en-US"/>
        </w:rPr>
        <w:t> </w:t>
      </w:r>
    </w:p>
    <w:p w14:paraId="578BDBF3" w14:textId="77777777" w:rsidR="005C20CB" w:rsidRDefault="005C20CB" w:rsidP="005C20CB">
      <w:pPr>
        <w:numPr>
          <w:ilvl w:val="0"/>
          <w:numId w:val="2"/>
        </w:numPr>
      </w:pPr>
      <w:r>
        <w:rPr>
          <w:rFonts w:ascii="Calibri" w:hAnsi="Calibri"/>
          <w:b/>
          <w:bCs/>
          <w:i/>
          <w:iCs/>
          <w:sz w:val="26"/>
          <w:szCs w:val="26"/>
          <w:lang w:val="en-GB" w:eastAsia="en-US"/>
        </w:rPr>
        <w:t xml:space="preserve">KI#1: Monitoring of Network Resource Utilization for the support of Application AI/ML operation </w:t>
      </w:r>
    </w:p>
    <w:p w14:paraId="2B81EDF1" w14:textId="77777777" w:rsidR="005C20CB" w:rsidRDefault="005C20CB" w:rsidP="005C20CB">
      <w:r>
        <w:rPr>
          <w:rFonts w:ascii="Calibri" w:hAnsi="Calibri"/>
          <w:b/>
          <w:bCs/>
          <w:i/>
          <w:iCs/>
          <w:sz w:val="26"/>
          <w:szCs w:val="26"/>
          <w:lang w:val="en-GB" w:eastAsia="en-US"/>
        </w:rPr>
        <w:t xml:space="preserve">Next Steps: </w:t>
      </w:r>
    </w:p>
    <w:p w14:paraId="32920946" w14:textId="77777777" w:rsidR="005C20CB" w:rsidRDefault="005C20CB" w:rsidP="005C20CB">
      <w:pPr>
        <w:numPr>
          <w:ilvl w:val="3"/>
          <w:numId w:val="3"/>
        </w:numPr>
        <w:ind w:left="810"/>
      </w:pPr>
      <w:r>
        <w:rPr>
          <w:rFonts w:ascii="Calibri" w:hAnsi="Calibri"/>
          <w:i/>
          <w:iCs/>
          <w:color w:val="0070C0"/>
          <w:sz w:val="26"/>
          <w:szCs w:val="26"/>
          <w:lang w:val="en-GB" w:eastAsia="en-US"/>
        </w:rPr>
        <w:t xml:space="preserve">Further discussions to conclude on how to invoke the Group-MBR monitoring according TR conclusions </w:t>
      </w:r>
      <w:r>
        <w:rPr>
          <w:rFonts w:ascii="Calibri" w:hAnsi="Calibri"/>
          <w:b/>
          <w:bCs/>
          <w:i/>
          <w:iCs/>
          <w:color w:val="0070C0"/>
          <w:sz w:val="26"/>
          <w:szCs w:val="26"/>
          <w:lang w:val="en-GB" w:eastAsia="en-US"/>
        </w:rPr>
        <w:t> </w:t>
      </w:r>
      <w:r>
        <w:rPr>
          <w:rFonts w:ascii="Calibri" w:hAnsi="Calibri"/>
          <w:b/>
          <w:bCs/>
          <w:i/>
          <w:iCs/>
          <w:sz w:val="26"/>
          <w:szCs w:val="26"/>
          <w:lang w:eastAsia="en-US"/>
        </w:rPr>
        <w:t>(Host: Tricci)</w:t>
      </w:r>
    </w:p>
    <w:p w14:paraId="277A8A4A" w14:textId="77777777" w:rsidR="005C20CB" w:rsidRPr="005C20CB" w:rsidRDefault="005C20CB" w:rsidP="005C20CB">
      <w:pPr>
        <w:numPr>
          <w:ilvl w:val="4"/>
          <w:numId w:val="3"/>
        </w:numPr>
        <w:ind w:left="1170"/>
      </w:pPr>
      <w:r>
        <w:rPr>
          <w:rFonts w:ascii="Calibri" w:hAnsi="Calibri"/>
          <w:i/>
          <w:iCs/>
          <w:color w:val="0070C0"/>
          <w:sz w:val="26"/>
          <w:szCs w:val="26"/>
          <w:lang w:eastAsia="en-US"/>
        </w:rPr>
        <w:t xml:space="preserve">Tdoc reference: </w:t>
      </w:r>
      <w:hyperlink r:id="rId6" w:history="1">
        <w:r>
          <w:rPr>
            <w:rStyle w:val="Hyperlink"/>
            <w:rFonts w:ascii="Calibri" w:hAnsi="Calibri"/>
            <w:i/>
            <w:iCs/>
            <w:sz w:val="26"/>
            <w:szCs w:val="26"/>
            <w:lang w:eastAsia="en-US"/>
          </w:rPr>
          <w:t>S2-2300388</w:t>
        </w:r>
      </w:hyperlink>
    </w:p>
    <w:p w14:paraId="2317F3C7" w14:textId="77777777" w:rsidR="005C20CB" w:rsidRDefault="005C20CB" w:rsidP="005C20CB">
      <w:pPr>
        <w:numPr>
          <w:ilvl w:val="4"/>
          <w:numId w:val="3"/>
        </w:numPr>
        <w:ind w:left="1170"/>
      </w:pPr>
      <w:r>
        <w:object w:dxaOrig="1532" w:dyaOrig="991" w14:anchorId="415562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7" o:title=""/>
          </v:shape>
          <o:OLEObject Type="Embed" ProgID="PowerPoint.Show.12" ShapeID="_x0000_i1025" DrawAspect="Icon" ObjectID="_1737258955" r:id="rId8"/>
        </w:object>
      </w:r>
    </w:p>
    <w:p w14:paraId="68EFEA4A" w14:textId="77777777" w:rsidR="001D5534" w:rsidRDefault="001D5534" w:rsidP="001D5534"/>
    <w:tbl>
      <w:tblPr>
        <w:tblStyle w:val="TableGrid"/>
        <w:tblW w:w="0" w:type="auto"/>
        <w:tblLook w:val="04A0" w:firstRow="1" w:lastRow="0" w:firstColumn="1" w:lastColumn="0" w:noHBand="0" w:noVBand="1"/>
      </w:tblPr>
      <w:tblGrid>
        <w:gridCol w:w="9350"/>
      </w:tblGrid>
      <w:tr w:rsidR="002E50FA" w14:paraId="2E3E55E6" w14:textId="77777777" w:rsidTr="001D5534">
        <w:tc>
          <w:tcPr>
            <w:tcW w:w="9350" w:type="dxa"/>
          </w:tcPr>
          <w:p w14:paraId="56FC0048" w14:textId="77777777" w:rsidR="00B33D48" w:rsidRPr="00B33D48" w:rsidRDefault="00B33D48" w:rsidP="001D5534">
            <w:pPr>
              <w:rPr>
                <w:rFonts w:asciiTheme="minorHAnsi" w:hAnsiTheme="minorHAnsi" w:cstheme="minorHAnsi"/>
                <w:b/>
                <w:bCs/>
                <w:i/>
                <w:iCs/>
              </w:rPr>
            </w:pPr>
            <w:r w:rsidRPr="00B33D48">
              <w:rPr>
                <w:rFonts w:asciiTheme="minorHAnsi" w:hAnsiTheme="minorHAnsi" w:cstheme="minorHAnsi"/>
                <w:b/>
                <w:bCs/>
                <w:i/>
                <w:iCs/>
              </w:rPr>
              <w:t xml:space="preserve">Meeting Notes: </w:t>
            </w:r>
          </w:p>
          <w:p w14:paraId="1CA3BD79" w14:textId="77777777" w:rsidR="00B33D48" w:rsidRPr="00B33D48" w:rsidRDefault="00B33D48" w:rsidP="00B33D48">
            <w:pPr>
              <w:pStyle w:val="ListParagraph"/>
              <w:numPr>
                <w:ilvl w:val="0"/>
                <w:numId w:val="14"/>
              </w:numPr>
              <w:rPr>
                <w:rFonts w:asciiTheme="minorHAnsi" w:hAnsiTheme="minorHAnsi" w:cstheme="minorHAnsi"/>
                <w:i/>
                <w:iCs/>
              </w:rPr>
            </w:pPr>
            <w:r>
              <w:rPr>
                <w:rFonts w:asciiTheme="minorHAnsi" w:hAnsiTheme="minorHAnsi" w:cstheme="minorHAnsi"/>
                <w:i/>
                <w:iCs/>
              </w:rPr>
              <w:t xml:space="preserve">Samsung prepared a list of questions </w:t>
            </w:r>
            <w:r w:rsidR="00AA0C0C">
              <w:rPr>
                <w:rFonts w:asciiTheme="minorHAnsi" w:hAnsiTheme="minorHAnsi" w:cstheme="minorHAnsi"/>
                <w:i/>
                <w:iCs/>
              </w:rPr>
              <w:t xml:space="preserve">for KI#1 &amp; KI#6 </w:t>
            </w:r>
            <w:r>
              <w:rPr>
                <w:rFonts w:asciiTheme="minorHAnsi" w:hAnsiTheme="minorHAnsi" w:cstheme="minorHAnsi"/>
                <w:i/>
                <w:iCs/>
              </w:rPr>
              <w:t>to solicit feedback (see below)</w:t>
            </w:r>
          </w:p>
          <w:p w14:paraId="50A89356" w14:textId="77777777" w:rsidR="00B33D48" w:rsidRPr="00AA0C0C" w:rsidRDefault="00AA0C0C" w:rsidP="00AA0C0C">
            <w:pPr>
              <w:ind w:left="334"/>
              <w:rPr>
                <w:rFonts w:asciiTheme="minorHAnsi" w:hAnsiTheme="minorHAnsi" w:cstheme="minorHAnsi"/>
                <w:i/>
                <w:iCs/>
              </w:rPr>
            </w:pPr>
            <w:r>
              <w:rPr>
                <w:rFonts w:asciiTheme="minorHAnsi" w:hAnsiTheme="minorHAnsi" w:cstheme="minorHAnsi"/>
                <w:b/>
                <w:bCs/>
                <w:i/>
                <w:iCs/>
              </w:rPr>
              <w:t xml:space="preserve">KI#1: </w:t>
            </w:r>
            <w:r w:rsidR="00B33D48" w:rsidRPr="00AA0C0C">
              <w:rPr>
                <w:rFonts w:asciiTheme="minorHAnsi" w:hAnsiTheme="minorHAnsi" w:cstheme="minorHAnsi"/>
                <w:b/>
                <w:bCs/>
                <w:i/>
                <w:iCs/>
              </w:rPr>
              <w:t>Group QoS request &amp; Group-MBR Monitoring</w:t>
            </w:r>
            <w:r w:rsidRPr="00AA0C0C">
              <w:rPr>
                <w:rFonts w:asciiTheme="minorHAnsi" w:hAnsiTheme="minorHAnsi" w:cstheme="minorHAnsi"/>
                <w:b/>
                <w:bCs/>
                <w:i/>
                <w:iCs/>
              </w:rPr>
              <w:t xml:space="preserve"> (more related to KI#1)</w:t>
            </w:r>
          </w:p>
          <w:p w14:paraId="6E2935E9" w14:textId="77777777" w:rsidR="008F4287" w:rsidRDefault="00AA0C0C" w:rsidP="00AA0C0C">
            <w:pPr>
              <w:ind w:left="874"/>
              <w:rPr>
                <w:rFonts w:asciiTheme="minorHAnsi" w:hAnsiTheme="minorHAnsi" w:cstheme="minorHAnsi"/>
                <w:i/>
                <w:iCs/>
              </w:rPr>
            </w:pPr>
            <w:r>
              <w:rPr>
                <w:rFonts w:asciiTheme="minorHAnsi" w:hAnsiTheme="minorHAnsi" w:cstheme="minorHAnsi"/>
                <w:i/>
                <w:iCs/>
              </w:rPr>
              <w:t xml:space="preserve">Q1: </w:t>
            </w:r>
          </w:p>
          <w:p w14:paraId="3E062C86" w14:textId="77777777" w:rsidR="00B33D48" w:rsidRPr="008F4287" w:rsidRDefault="00B33D48" w:rsidP="008F4287">
            <w:pPr>
              <w:pStyle w:val="ListParagraph"/>
              <w:numPr>
                <w:ilvl w:val="2"/>
                <w:numId w:val="14"/>
              </w:numPr>
              <w:rPr>
                <w:rFonts w:asciiTheme="minorHAnsi" w:hAnsiTheme="minorHAnsi" w:cstheme="minorHAnsi"/>
                <w:i/>
                <w:iCs/>
              </w:rPr>
            </w:pPr>
            <w:r w:rsidRPr="008F4287">
              <w:rPr>
                <w:rFonts w:asciiTheme="minorHAnsi" w:hAnsiTheme="minorHAnsi" w:cstheme="minorHAnsi"/>
                <w:i/>
                <w:iCs/>
              </w:rPr>
              <w:t>As per offline discussion, the AF can use new NEF service (e.g., Nnef_AFsessionWithGroupQoS_Create) to setup QoS Flows for a list of UE address and the AF can use the same request to activate Group-MBR Monitoring</w:t>
            </w:r>
          </w:p>
          <w:p w14:paraId="0DE6D458" w14:textId="77777777" w:rsidR="00B33D48" w:rsidRPr="00B33D48" w:rsidRDefault="00B33D48" w:rsidP="008F4287">
            <w:pPr>
              <w:pStyle w:val="ListParagraph"/>
              <w:numPr>
                <w:ilvl w:val="2"/>
                <w:numId w:val="14"/>
              </w:numPr>
              <w:rPr>
                <w:rFonts w:asciiTheme="minorHAnsi" w:hAnsiTheme="minorHAnsi" w:cstheme="minorHAnsi"/>
                <w:i/>
                <w:iCs/>
              </w:rPr>
            </w:pPr>
            <w:r w:rsidRPr="00B33D48">
              <w:rPr>
                <w:rFonts w:asciiTheme="minorHAnsi" w:hAnsiTheme="minorHAnsi" w:cstheme="minorHAnsi"/>
                <w:i/>
                <w:iCs/>
              </w:rPr>
              <w:t>A procedure that covers both aspects is needed (a single 502 CR)</w:t>
            </w:r>
          </w:p>
          <w:p w14:paraId="6B6CE844" w14:textId="77777777" w:rsidR="00B33D48" w:rsidRPr="00AA0C0C" w:rsidRDefault="00AA0C0C" w:rsidP="00AA0C0C">
            <w:pPr>
              <w:ind w:left="424"/>
              <w:rPr>
                <w:rFonts w:asciiTheme="minorHAnsi" w:hAnsiTheme="minorHAnsi" w:cstheme="minorHAnsi"/>
                <w:i/>
                <w:iCs/>
              </w:rPr>
            </w:pPr>
            <w:r>
              <w:rPr>
                <w:rFonts w:asciiTheme="minorHAnsi" w:hAnsiTheme="minorHAnsi" w:cstheme="minorHAnsi"/>
                <w:b/>
                <w:bCs/>
                <w:i/>
                <w:iCs/>
              </w:rPr>
              <w:t xml:space="preserve">B: </w:t>
            </w:r>
            <w:r w:rsidR="00B33D48" w:rsidRPr="00AA0C0C">
              <w:rPr>
                <w:rFonts w:asciiTheme="minorHAnsi" w:hAnsiTheme="minorHAnsi" w:cstheme="minorHAnsi"/>
                <w:b/>
                <w:bCs/>
                <w:i/>
                <w:iCs/>
              </w:rPr>
              <w:t>Some questions for the progress</w:t>
            </w:r>
            <w:r w:rsidRPr="00AA0C0C">
              <w:rPr>
                <w:rFonts w:asciiTheme="minorHAnsi" w:hAnsiTheme="minorHAnsi" w:cstheme="minorHAnsi"/>
                <w:b/>
                <w:bCs/>
                <w:i/>
                <w:iCs/>
              </w:rPr>
              <w:t xml:space="preserve"> (more related to KI#6)</w:t>
            </w:r>
          </w:p>
          <w:p w14:paraId="4C1770AA" w14:textId="77777777" w:rsidR="00B33D48" w:rsidRPr="008F4287" w:rsidRDefault="00B33D48" w:rsidP="008F4287">
            <w:pPr>
              <w:spacing w:after="120"/>
              <w:ind w:left="878"/>
              <w:rPr>
                <w:rFonts w:asciiTheme="minorHAnsi" w:hAnsiTheme="minorHAnsi" w:cstheme="minorHAnsi"/>
                <w:i/>
                <w:iCs/>
              </w:rPr>
            </w:pPr>
            <w:r w:rsidRPr="008F4287">
              <w:rPr>
                <w:rFonts w:asciiTheme="minorHAnsi" w:hAnsiTheme="minorHAnsi" w:cstheme="minorHAnsi"/>
                <w:i/>
                <w:iCs/>
              </w:rPr>
              <w:t xml:space="preserve">Q1. Whether the response message (e.g., </w:t>
            </w:r>
            <w:r w:rsidRPr="008F4287">
              <w:rPr>
                <w:rFonts w:asciiTheme="minorHAnsi" w:hAnsiTheme="minorHAnsi" w:cstheme="minorHAnsi"/>
                <w:i/>
                <w:iCs/>
                <w:lang w:val="en-GB"/>
              </w:rPr>
              <w:t>Nnef_AFSessionWithGroupQoS_Create response)</w:t>
            </w:r>
            <w:r w:rsidRPr="008F4287">
              <w:rPr>
                <w:rFonts w:asciiTheme="minorHAnsi" w:hAnsiTheme="minorHAnsi" w:cstheme="minorHAnsi"/>
                <w:i/>
                <w:iCs/>
              </w:rPr>
              <w:t xml:space="preserve"> to the new request contains 1) aggregated result (i.e., result 1, UE 1, result </w:t>
            </w:r>
            <w:r w:rsidRPr="008F4287">
              <w:rPr>
                <w:rFonts w:asciiTheme="minorHAnsi" w:hAnsiTheme="minorHAnsi" w:cstheme="minorHAnsi"/>
                <w:i/>
                <w:iCs/>
              </w:rPr>
              <w:lastRenderedPageBreak/>
              <w:t>2, UE 2, ...) or 2) result for single UE address (same as AFsessionWithQoS Create response)</w:t>
            </w:r>
          </w:p>
          <w:p w14:paraId="3A49FC41" w14:textId="77777777" w:rsidR="00B33D48" w:rsidRPr="008F4287" w:rsidRDefault="00B33D48" w:rsidP="008F4287">
            <w:pPr>
              <w:spacing w:after="120"/>
              <w:ind w:left="878"/>
              <w:rPr>
                <w:rFonts w:asciiTheme="minorHAnsi" w:hAnsiTheme="minorHAnsi" w:cstheme="minorHAnsi"/>
                <w:i/>
                <w:iCs/>
              </w:rPr>
            </w:pPr>
            <w:r w:rsidRPr="008F4287">
              <w:rPr>
                <w:rFonts w:asciiTheme="minorHAnsi" w:hAnsiTheme="minorHAnsi" w:cstheme="minorHAnsi"/>
                <w:i/>
                <w:iCs/>
              </w:rPr>
              <w:t>Q2. Whether the new request (e.g., Nnef_AFsessionWithGroupQoS_Create request) can be used to activate QoS Monitoring for individual QoS Flows (e.g., UL/DL delay as in AFSessionWithQoS) or not</w:t>
            </w:r>
          </w:p>
          <w:p w14:paraId="435F22EE" w14:textId="77777777" w:rsidR="00B33D48" w:rsidRPr="008F4287" w:rsidRDefault="00B33D48" w:rsidP="008F4287">
            <w:pPr>
              <w:spacing w:after="120"/>
              <w:ind w:left="878"/>
              <w:rPr>
                <w:rFonts w:asciiTheme="minorHAnsi" w:hAnsiTheme="minorHAnsi" w:cstheme="minorHAnsi"/>
                <w:i/>
                <w:iCs/>
              </w:rPr>
            </w:pPr>
            <w:r w:rsidRPr="008F4287">
              <w:rPr>
                <w:rFonts w:asciiTheme="minorHAnsi" w:hAnsiTheme="minorHAnsi" w:cstheme="minorHAnsi"/>
                <w:i/>
                <w:iCs/>
                <w:lang w:val="en-GB"/>
              </w:rPr>
              <w:t>Q3. Whether the Group-MBR Monitoring notification is included in the new notify (e.g., Nnef_AFSessionWithGroupQoS_Notify) or e.g., Nnef_Nnef_EventExposure_Notify)</w:t>
            </w:r>
          </w:p>
          <w:p w14:paraId="33CBCBB8" w14:textId="77777777" w:rsidR="00B33D48" w:rsidRPr="008F4287" w:rsidRDefault="00B33D48" w:rsidP="008F4287">
            <w:pPr>
              <w:spacing w:after="120"/>
              <w:ind w:left="878"/>
              <w:rPr>
                <w:rFonts w:asciiTheme="minorHAnsi" w:hAnsiTheme="minorHAnsi" w:cstheme="minorHAnsi"/>
                <w:i/>
                <w:iCs/>
              </w:rPr>
            </w:pPr>
            <w:r w:rsidRPr="008F4287">
              <w:rPr>
                <w:rFonts w:asciiTheme="minorHAnsi" w:hAnsiTheme="minorHAnsi" w:cstheme="minorHAnsi"/>
                <w:i/>
                <w:iCs/>
              </w:rPr>
              <w:t xml:space="preserve">Q4. Whether the new parameter (i.e., Maximum duration of reporting) that instructs the UPF to send the report up to the pre-defined time is needed? </w:t>
            </w:r>
          </w:p>
          <w:p w14:paraId="2C5321B8" w14:textId="77777777" w:rsidR="00B33D48" w:rsidRPr="008C4D35" w:rsidRDefault="00B33D48" w:rsidP="008C4D35">
            <w:pPr>
              <w:spacing w:after="120"/>
              <w:ind w:left="878"/>
              <w:rPr>
                <w:rFonts w:asciiTheme="minorHAnsi" w:hAnsiTheme="minorHAnsi" w:cstheme="minorHAnsi"/>
                <w:i/>
                <w:iCs/>
              </w:rPr>
            </w:pPr>
            <w:r w:rsidRPr="008F4287">
              <w:rPr>
                <w:rFonts w:asciiTheme="minorHAnsi" w:hAnsiTheme="minorHAnsi" w:cstheme="minorHAnsi"/>
                <w:i/>
                <w:iCs/>
                <w:lang w:val="en-GB"/>
              </w:rPr>
              <w:t>Q5. Whether it is needed to extend the existing service to discover a single UE’s serving PCF address to discover multiple UEs’ serving PCF address(es)?</w:t>
            </w:r>
          </w:p>
          <w:p w14:paraId="0C415B73" w14:textId="77777777" w:rsidR="00AF6D9A" w:rsidRDefault="002F092F" w:rsidP="001D5534">
            <w:pPr>
              <w:rPr>
                <w:rFonts w:asciiTheme="minorHAnsi" w:hAnsiTheme="minorHAnsi" w:cstheme="minorHAnsi"/>
                <w:i/>
                <w:iCs/>
              </w:rPr>
            </w:pPr>
            <w:r w:rsidRPr="00AF6D9A">
              <w:rPr>
                <w:rFonts w:asciiTheme="minorHAnsi" w:hAnsiTheme="minorHAnsi" w:cstheme="minorHAnsi"/>
                <w:b/>
                <w:bCs/>
                <w:i/>
                <w:iCs/>
              </w:rPr>
              <w:t>Huawei:</w:t>
            </w:r>
            <w:r>
              <w:rPr>
                <w:rFonts w:asciiTheme="minorHAnsi" w:hAnsiTheme="minorHAnsi" w:cstheme="minorHAnsi"/>
                <w:i/>
                <w:iCs/>
              </w:rPr>
              <w:t xml:space="preserve"> </w:t>
            </w:r>
          </w:p>
          <w:p w14:paraId="425E08D1" w14:textId="77777777" w:rsidR="00AF6D9A" w:rsidRDefault="002F092F" w:rsidP="001D5534">
            <w:pPr>
              <w:rPr>
                <w:rFonts w:asciiTheme="minorHAnsi" w:hAnsiTheme="minorHAnsi" w:cstheme="minorHAnsi"/>
                <w:i/>
                <w:iCs/>
              </w:rPr>
            </w:pPr>
            <w:r>
              <w:rPr>
                <w:rFonts w:asciiTheme="minorHAnsi" w:hAnsiTheme="minorHAnsi" w:cstheme="minorHAnsi"/>
                <w:i/>
                <w:iCs/>
              </w:rPr>
              <w:t>For A.Q1</w:t>
            </w:r>
            <w:r w:rsidR="00AF6D9A">
              <w:rPr>
                <w:rFonts w:asciiTheme="minorHAnsi" w:hAnsiTheme="minorHAnsi" w:cstheme="minorHAnsi"/>
                <w:i/>
                <w:iCs/>
              </w:rPr>
              <w:t xml:space="preserve">, the group request should be consistent by providing the group response.  </w:t>
            </w:r>
          </w:p>
          <w:p w14:paraId="2C85230D" w14:textId="77777777" w:rsidR="00B33D48" w:rsidRDefault="00AF6D9A" w:rsidP="001D5534">
            <w:pPr>
              <w:rPr>
                <w:rFonts w:asciiTheme="minorHAnsi" w:hAnsiTheme="minorHAnsi" w:cstheme="minorHAnsi"/>
                <w:i/>
                <w:iCs/>
              </w:rPr>
            </w:pPr>
            <w:r>
              <w:rPr>
                <w:rFonts w:asciiTheme="minorHAnsi" w:hAnsiTheme="minorHAnsi" w:cstheme="minorHAnsi"/>
                <w:i/>
                <w:iCs/>
              </w:rPr>
              <w:t xml:space="preserve">For B.Q1, it is indeed that the new service is for group operation, however, it certainly can support the single UE as long as such UE is part of the original group.  The group request should not be used for UE which is not part of the group. </w:t>
            </w:r>
          </w:p>
          <w:p w14:paraId="0A9E7D7F" w14:textId="77777777" w:rsidR="00AF6D9A" w:rsidRDefault="00AF6D9A" w:rsidP="001D5534">
            <w:pPr>
              <w:rPr>
                <w:rFonts w:asciiTheme="minorHAnsi" w:hAnsiTheme="minorHAnsi" w:cstheme="minorHAnsi"/>
                <w:i/>
                <w:iCs/>
              </w:rPr>
            </w:pPr>
            <w:r>
              <w:rPr>
                <w:rFonts w:asciiTheme="minorHAnsi" w:hAnsiTheme="minorHAnsi" w:cstheme="minorHAnsi"/>
                <w:i/>
                <w:iCs/>
              </w:rPr>
              <w:t xml:space="preserve">For B.Q2, the same new service should be able to use for supporting the resource allocation for the UE as well as for activating the QoS monitoring for the group of QoS flows for the selected UEs.  </w:t>
            </w:r>
          </w:p>
          <w:p w14:paraId="7D412775" w14:textId="77777777" w:rsidR="00AF6D9A" w:rsidRDefault="00AF6D9A" w:rsidP="001D5534">
            <w:pPr>
              <w:rPr>
                <w:rFonts w:asciiTheme="minorHAnsi" w:hAnsiTheme="minorHAnsi" w:cstheme="minorHAnsi"/>
                <w:i/>
                <w:iCs/>
              </w:rPr>
            </w:pPr>
            <w:r>
              <w:rPr>
                <w:rFonts w:asciiTheme="minorHAnsi" w:hAnsiTheme="minorHAnsi" w:cstheme="minorHAnsi"/>
                <w:i/>
                <w:iCs/>
              </w:rPr>
              <w:t xml:space="preserve">For B.Q3, the “notify” should also be included for the new service in order to be consistent. </w:t>
            </w:r>
          </w:p>
          <w:p w14:paraId="0698ECFE" w14:textId="12C60A56" w:rsidR="007A3FC9" w:rsidRDefault="00AF6D9A" w:rsidP="001D5534">
            <w:pPr>
              <w:rPr>
                <w:rFonts w:asciiTheme="minorHAnsi" w:hAnsiTheme="minorHAnsi" w:cstheme="minorHAnsi"/>
                <w:i/>
                <w:iCs/>
              </w:rPr>
            </w:pPr>
            <w:r>
              <w:rPr>
                <w:rFonts w:asciiTheme="minorHAnsi" w:hAnsiTheme="minorHAnsi" w:cstheme="minorHAnsi"/>
                <w:i/>
                <w:iCs/>
              </w:rPr>
              <w:t xml:space="preserve">For B.Q4, </w:t>
            </w:r>
            <w:r w:rsidR="00EC1A18">
              <w:rPr>
                <w:rFonts w:asciiTheme="minorHAnsi" w:hAnsiTheme="minorHAnsi" w:cstheme="minorHAnsi"/>
                <w:i/>
                <w:iCs/>
              </w:rPr>
              <w:t xml:space="preserve">As for the parameter “Maximum duration of reporting”, it may not be necessary if the “update” service is introduced to update the new list/sub-list of UEs.  OPPO suggested to have further offline discussions on this specific parameter due to lack of time. </w:t>
            </w:r>
          </w:p>
          <w:p w14:paraId="6C52161C" w14:textId="77777777" w:rsidR="000E106A" w:rsidRDefault="000E106A" w:rsidP="001D5534">
            <w:pPr>
              <w:rPr>
                <w:rFonts w:asciiTheme="minorHAnsi" w:hAnsiTheme="minorHAnsi" w:cstheme="minorHAnsi"/>
                <w:i/>
                <w:iCs/>
              </w:rPr>
            </w:pPr>
          </w:p>
          <w:p w14:paraId="186134C1" w14:textId="77777777" w:rsidR="007A3FC9" w:rsidRDefault="000E106A" w:rsidP="007A3FC9">
            <w:pPr>
              <w:rPr>
                <w:rFonts w:asciiTheme="minorHAnsi" w:hAnsiTheme="minorHAnsi" w:cstheme="minorHAnsi"/>
                <w:i/>
                <w:iCs/>
              </w:rPr>
            </w:pPr>
            <w:r>
              <w:rPr>
                <w:rFonts w:asciiTheme="minorHAnsi" w:hAnsiTheme="minorHAnsi" w:cstheme="minorHAnsi"/>
                <w:b/>
                <w:bCs/>
                <w:i/>
                <w:iCs/>
              </w:rPr>
              <w:t>Ericsson</w:t>
            </w:r>
            <w:r w:rsidR="007A3FC9" w:rsidRPr="00AF6D9A">
              <w:rPr>
                <w:rFonts w:asciiTheme="minorHAnsi" w:hAnsiTheme="minorHAnsi" w:cstheme="minorHAnsi"/>
                <w:b/>
                <w:bCs/>
                <w:i/>
                <w:iCs/>
              </w:rPr>
              <w:t>:</w:t>
            </w:r>
            <w:r w:rsidR="007A3FC9">
              <w:rPr>
                <w:rFonts w:asciiTheme="minorHAnsi" w:hAnsiTheme="minorHAnsi" w:cstheme="minorHAnsi"/>
                <w:i/>
                <w:iCs/>
              </w:rPr>
              <w:t xml:space="preserve"> </w:t>
            </w:r>
          </w:p>
          <w:p w14:paraId="14FD34EB" w14:textId="77777777" w:rsidR="000E106A" w:rsidRDefault="000E106A" w:rsidP="007A3FC9">
            <w:pPr>
              <w:rPr>
                <w:rFonts w:asciiTheme="minorHAnsi" w:hAnsiTheme="minorHAnsi" w:cstheme="minorHAnsi"/>
                <w:i/>
                <w:iCs/>
              </w:rPr>
            </w:pPr>
            <w:r>
              <w:rPr>
                <w:rFonts w:asciiTheme="minorHAnsi" w:hAnsiTheme="minorHAnsi" w:cstheme="minorHAnsi"/>
                <w:i/>
                <w:iCs/>
              </w:rPr>
              <w:t xml:space="preserve">For A.Q1, based on the internal discussions within Ericsson, it is unclear for the benefit for the aggregating the request just between the AF and the NEF.   Ericsson is open to hear more feedback from other companies.   However, Ericsson certainly see the benefit to aggregate the report for the group monitoring.   </w:t>
            </w:r>
          </w:p>
          <w:p w14:paraId="3C714897" w14:textId="77777777" w:rsidR="000E106A" w:rsidRDefault="000E106A" w:rsidP="007A3FC9">
            <w:pPr>
              <w:rPr>
                <w:rFonts w:asciiTheme="minorHAnsi" w:hAnsiTheme="minorHAnsi" w:cstheme="minorHAnsi"/>
                <w:i/>
                <w:iCs/>
              </w:rPr>
            </w:pPr>
            <w:r>
              <w:rPr>
                <w:rFonts w:asciiTheme="minorHAnsi" w:hAnsiTheme="minorHAnsi" w:cstheme="minorHAnsi"/>
                <w:i/>
                <w:iCs/>
              </w:rPr>
              <w:t xml:space="preserve">For B.Q1, </w:t>
            </w:r>
            <w:r w:rsidR="00EC1A18">
              <w:rPr>
                <w:rFonts w:asciiTheme="minorHAnsi" w:hAnsiTheme="minorHAnsi" w:cstheme="minorHAnsi"/>
                <w:i/>
                <w:iCs/>
              </w:rPr>
              <w:t>same view as Huawei.</w:t>
            </w:r>
          </w:p>
          <w:p w14:paraId="0346B884" w14:textId="77777777" w:rsidR="00EC1A18" w:rsidRDefault="00EC1A18" w:rsidP="007A3FC9">
            <w:pPr>
              <w:rPr>
                <w:rFonts w:asciiTheme="minorHAnsi" w:hAnsiTheme="minorHAnsi" w:cstheme="minorHAnsi"/>
                <w:i/>
                <w:iCs/>
              </w:rPr>
            </w:pPr>
            <w:r>
              <w:rPr>
                <w:rFonts w:asciiTheme="minorHAnsi" w:hAnsiTheme="minorHAnsi" w:cstheme="minorHAnsi"/>
                <w:i/>
                <w:iCs/>
              </w:rPr>
              <w:t>For B.Q2, same view as Huawei</w:t>
            </w:r>
          </w:p>
          <w:p w14:paraId="576BE0EC" w14:textId="77777777" w:rsidR="00EC1A18" w:rsidRDefault="00EC1A18" w:rsidP="007A3FC9">
            <w:pPr>
              <w:rPr>
                <w:rFonts w:asciiTheme="minorHAnsi" w:hAnsiTheme="minorHAnsi" w:cstheme="minorHAnsi"/>
                <w:i/>
                <w:iCs/>
              </w:rPr>
            </w:pPr>
            <w:r>
              <w:rPr>
                <w:rFonts w:asciiTheme="minorHAnsi" w:hAnsiTheme="minorHAnsi" w:cstheme="minorHAnsi"/>
                <w:i/>
                <w:iCs/>
              </w:rPr>
              <w:t>For B.Q3, same view as Huawei</w:t>
            </w:r>
          </w:p>
          <w:p w14:paraId="0FCC0712" w14:textId="77777777" w:rsidR="00EC1A18" w:rsidRDefault="00EC1A18" w:rsidP="007A3FC9">
            <w:pPr>
              <w:rPr>
                <w:rFonts w:asciiTheme="minorHAnsi" w:hAnsiTheme="minorHAnsi" w:cstheme="minorHAnsi"/>
                <w:i/>
                <w:iCs/>
              </w:rPr>
            </w:pPr>
          </w:p>
          <w:p w14:paraId="451007AD" w14:textId="77777777" w:rsidR="00EC1A18" w:rsidRDefault="00EC1A18" w:rsidP="007A3FC9">
            <w:pPr>
              <w:rPr>
                <w:rFonts w:asciiTheme="minorHAnsi" w:hAnsiTheme="minorHAnsi" w:cstheme="minorHAnsi"/>
                <w:i/>
                <w:iCs/>
                <w:u w:val="words"/>
              </w:rPr>
            </w:pPr>
            <w:r w:rsidRPr="00EC1A18">
              <w:rPr>
                <w:rFonts w:asciiTheme="minorHAnsi" w:hAnsiTheme="minorHAnsi" w:cstheme="minorHAnsi"/>
                <w:b/>
                <w:bCs/>
              </w:rPr>
              <w:t xml:space="preserve">InterDigital: </w:t>
            </w:r>
            <w:r w:rsidRPr="00EC1A18">
              <w:rPr>
                <w:rFonts w:asciiTheme="minorHAnsi" w:hAnsiTheme="minorHAnsi" w:cstheme="minorHAnsi"/>
                <w:i/>
                <w:iCs/>
              </w:rPr>
              <w:t>For single UE’s QoS flow monitoring,</w:t>
            </w:r>
            <w:r>
              <w:rPr>
                <w:rFonts w:asciiTheme="minorHAnsi" w:hAnsiTheme="minorHAnsi" w:cstheme="minorHAnsi"/>
                <w:b/>
                <w:bCs/>
              </w:rPr>
              <w:t xml:space="preserve"> </w:t>
            </w:r>
            <w:r w:rsidR="00CC5D08">
              <w:rPr>
                <w:rFonts w:asciiTheme="minorHAnsi" w:hAnsiTheme="minorHAnsi" w:cstheme="minorHAnsi"/>
                <w:i/>
                <w:iCs/>
              </w:rPr>
              <w:t>why the new service instead of the existing Nnef</w:t>
            </w:r>
            <w:r w:rsidR="00CC5D08" w:rsidRPr="00CC5D08">
              <w:rPr>
                <w:rFonts w:asciiTheme="minorHAnsi" w:hAnsiTheme="minorHAnsi" w:cstheme="minorHAnsi"/>
                <w:i/>
                <w:iCs/>
              </w:rPr>
              <w:t>_AFSessionWithQoS service</w:t>
            </w:r>
            <w:r w:rsidR="00CC5D08">
              <w:rPr>
                <w:rFonts w:asciiTheme="minorHAnsi" w:hAnsiTheme="minorHAnsi" w:cstheme="minorHAnsi"/>
                <w:i/>
                <w:iCs/>
              </w:rPr>
              <w:t xml:space="preserve"> is used?</w:t>
            </w:r>
            <w:r w:rsidR="00CC5D08" w:rsidRPr="00CC5D08">
              <w:rPr>
                <w:rFonts w:asciiTheme="minorHAnsi" w:hAnsiTheme="minorHAnsi" w:cstheme="minorHAnsi"/>
                <w:i/>
                <w:iCs/>
              </w:rPr>
              <w:t xml:space="preserve">   Ericsson </w:t>
            </w:r>
            <w:r w:rsidR="00CC5D08">
              <w:rPr>
                <w:rFonts w:asciiTheme="minorHAnsi" w:hAnsiTheme="minorHAnsi" w:cstheme="minorHAnsi"/>
                <w:i/>
                <w:iCs/>
              </w:rPr>
              <w:t>clarified</w:t>
            </w:r>
            <w:r w:rsidR="00CC5D08" w:rsidRPr="00CC5D08">
              <w:rPr>
                <w:rFonts w:asciiTheme="minorHAnsi" w:hAnsiTheme="minorHAnsi" w:cstheme="minorHAnsi"/>
                <w:i/>
                <w:iCs/>
              </w:rPr>
              <w:t xml:space="preserve"> that, if the UE is part of the group, then, for consistency of the coordinating the resource allocation and resource monitoring, the new service should be used.  Otherwise, the existing Nnef_AFSessionWithQoS service should be used.</w:t>
            </w:r>
            <w:r w:rsidR="00CC5D08">
              <w:rPr>
                <w:rFonts w:asciiTheme="minorHAnsi" w:hAnsiTheme="minorHAnsi" w:cstheme="minorHAnsi"/>
                <w:i/>
                <w:iCs/>
                <w:u w:val="words"/>
              </w:rPr>
              <w:t xml:space="preserve">   </w:t>
            </w:r>
          </w:p>
          <w:p w14:paraId="015BDEDF" w14:textId="77777777" w:rsidR="00863572" w:rsidRDefault="00863572" w:rsidP="007A3FC9">
            <w:pPr>
              <w:rPr>
                <w:rFonts w:asciiTheme="minorHAnsi" w:hAnsiTheme="minorHAnsi" w:cstheme="minorHAnsi"/>
                <w:i/>
                <w:iCs/>
                <w:u w:val="words"/>
              </w:rPr>
            </w:pPr>
          </w:p>
          <w:p w14:paraId="3C81CC48" w14:textId="77777777" w:rsidR="00863572" w:rsidRPr="00B33D48" w:rsidRDefault="00863572" w:rsidP="00863572">
            <w:pPr>
              <w:rPr>
                <w:rFonts w:asciiTheme="minorHAnsi" w:hAnsiTheme="minorHAnsi" w:cstheme="minorHAnsi"/>
                <w:b/>
                <w:bCs/>
                <w:i/>
                <w:iCs/>
              </w:rPr>
            </w:pPr>
            <w:r w:rsidRPr="00B33D48">
              <w:rPr>
                <w:rFonts w:asciiTheme="minorHAnsi" w:hAnsiTheme="minorHAnsi" w:cstheme="minorHAnsi"/>
                <w:b/>
                <w:bCs/>
                <w:i/>
                <w:iCs/>
              </w:rPr>
              <w:t xml:space="preserve">Next Step: </w:t>
            </w:r>
          </w:p>
          <w:p w14:paraId="5A86B3A2" w14:textId="77777777" w:rsidR="00863572" w:rsidRPr="00B33D48" w:rsidRDefault="00863572" w:rsidP="00863572">
            <w:pPr>
              <w:pStyle w:val="ListParagraph"/>
              <w:numPr>
                <w:ilvl w:val="0"/>
                <w:numId w:val="14"/>
              </w:numPr>
              <w:rPr>
                <w:rFonts w:asciiTheme="minorHAnsi" w:hAnsiTheme="minorHAnsi" w:cstheme="minorHAnsi"/>
                <w:i/>
                <w:iCs/>
              </w:rPr>
            </w:pPr>
            <w:r>
              <w:rPr>
                <w:rFonts w:asciiTheme="minorHAnsi" w:hAnsiTheme="minorHAnsi" w:cstheme="minorHAnsi"/>
                <w:i/>
                <w:iCs/>
              </w:rPr>
              <w:t xml:space="preserve">Samsung will kick off the offline discussions to continue the discussions on this KI. </w:t>
            </w:r>
          </w:p>
          <w:p w14:paraId="33C8825F" w14:textId="1303518A" w:rsidR="00863572" w:rsidRPr="00CC5D08" w:rsidRDefault="00863572" w:rsidP="007A3FC9">
            <w:pPr>
              <w:rPr>
                <w:rFonts w:asciiTheme="minorHAnsi" w:hAnsiTheme="minorHAnsi" w:cstheme="minorHAnsi"/>
                <w:i/>
                <w:iCs/>
                <w:u w:val="words"/>
              </w:rPr>
            </w:pPr>
          </w:p>
        </w:tc>
      </w:tr>
    </w:tbl>
    <w:p w14:paraId="772BAA10" w14:textId="77777777" w:rsidR="001D5534" w:rsidRDefault="001D5534" w:rsidP="001D5534"/>
    <w:p w14:paraId="61281BCD" w14:textId="77777777" w:rsidR="001D5534" w:rsidRDefault="001D5534" w:rsidP="001D5534"/>
    <w:p w14:paraId="5ABF6834" w14:textId="77777777" w:rsidR="005C20CB" w:rsidRDefault="005C20CB" w:rsidP="005C20CB">
      <w:pPr>
        <w:numPr>
          <w:ilvl w:val="3"/>
          <w:numId w:val="3"/>
        </w:numPr>
        <w:ind w:left="810"/>
      </w:pPr>
      <w:r>
        <w:rPr>
          <w:rFonts w:ascii="Calibri" w:hAnsi="Calibri"/>
          <w:i/>
          <w:iCs/>
          <w:color w:val="0070C0"/>
          <w:sz w:val="26"/>
          <w:szCs w:val="26"/>
          <w:lang w:val="en-GB" w:eastAsia="en-US"/>
        </w:rPr>
        <w:t xml:space="preserve">Further discussions to conclude on new NEF monitoring events </w:t>
      </w:r>
      <w:r>
        <w:rPr>
          <w:rFonts w:ascii="Calibri" w:hAnsi="Calibri"/>
          <w:b/>
          <w:bCs/>
          <w:i/>
          <w:iCs/>
          <w:sz w:val="26"/>
          <w:szCs w:val="26"/>
          <w:lang w:eastAsia="en-US"/>
        </w:rPr>
        <w:t>(Host: David – together with KI#3)</w:t>
      </w:r>
    </w:p>
    <w:p w14:paraId="7C0D7FD5" w14:textId="5ACCFD51" w:rsidR="005C20CB" w:rsidRPr="005C20CB" w:rsidRDefault="005C20CB" w:rsidP="005C20CB">
      <w:pPr>
        <w:numPr>
          <w:ilvl w:val="4"/>
          <w:numId w:val="3"/>
        </w:numPr>
        <w:ind w:left="1170"/>
      </w:pPr>
      <w:r>
        <w:rPr>
          <w:rFonts w:ascii="Calibri" w:hAnsi="Calibri"/>
          <w:i/>
          <w:iCs/>
          <w:color w:val="0070C0"/>
          <w:sz w:val="26"/>
          <w:szCs w:val="26"/>
          <w:lang w:val="en-GB" w:eastAsia="en-US"/>
        </w:rPr>
        <w:t xml:space="preserve">Tdoc reference: </w:t>
      </w:r>
      <w:hyperlink r:id="rId9" w:history="1">
        <w:r>
          <w:rPr>
            <w:rStyle w:val="Hyperlink"/>
            <w:rFonts w:ascii="Calibri" w:hAnsi="Calibri"/>
            <w:i/>
            <w:iCs/>
            <w:sz w:val="26"/>
            <w:szCs w:val="26"/>
            <w:lang w:val="en-GB" w:eastAsia="en-US"/>
          </w:rPr>
          <w:t>S2-230</w:t>
        </w:r>
        <w:r>
          <w:rPr>
            <w:rStyle w:val="Hyperlink"/>
            <w:rFonts w:ascii="Calibri" w:hAnsi="Calibri"/>
            <w:i/>
            <w:iCs/>
            <w:sz w:val="26"/>
            <w:szCs w:val="26"/>
            <w:lang w:val="en-GB" w:eastAsia="en-US"/>
          </w:rPr>
          <w:t>0</w:t>
        </w:r>
        <w:r>
          <w:rPr>
            <w:rStyle w:val="Hyperlink"/>
            <w:rFonts w:ascii="Calibri" w:hAnsi="Calibri"/>
            <w:i/>
            <w:iCs/>
            <w:sz w:val="26"/>
            <w:szCs w:val="26"/>
            <w:lang w:val="en-GB" w:eastAsia="en-US"/>
          </w:rPr>
          <w:t>755</w:t>
        </w:r>
      </w:hyperlink>
      <w:r w:rsidR="003636BC">
        <w:rPr>
          <w:rFonts w:ascii="Calibri" w:hAnsi="Calibri"/>
          <w:i/>
          <w:iCs/>
          <w:color w:val="0070C0"/>
          <w:sz w:val="26"/>
          <w:szCs w:val="26"/>
          <w:lang w:val="en-GB" w:eastAsia="en-US"/>
        </w:rPr>
        <w:t xml:space="preserve"> (CR# 3786</w:t>
      </w:r>
      <w:r w:rsidR="00B42144">
        <w:rPr>
          <w:rFonts w:ascii="Calibri" w:hAnsi="Calibri"/>
          <w:i/>
          <w:iCs/>
          <w:color w:val="0070C0"/>
          <w:sz w:val="26"/>
          <w:szCs w:val="26"/>
          <w:lang w:val="en-GB" w:eastAsia="en-US"/>
        </w:rPr>
        <w:t xml:space="preserve"> for TS 23.502</w:t>
      </w:r>
      <w:r w:rsidR="003636BC">
        <w:rPr>
          <w:rFonts w:ascii="Calibri" w:hAnsi="Calibri"/>
          <w:i/>
          <w:iCs/>
          <w:color w:val="0070C0"/>
          <w:sz w:val="26"/>
          <w:szCs w:val="26"/>
          <w:lang w:val="en-GB" w:eastAsia="en-US"/>
        </w:rPr>
        <w:t xml:space="preserve">) – </w:t>
      </w:r>
      <w:r w:rsidR="003636BC" w:rsidRPr="003636BC">
        <w:rPr>
          <w:rFonts w:ascii="Calibri" w:hAnsi="Calibri"/>
          <w:i/>
          <w:iCs/>
          <w:color w:val="0070C0"/>
          <w:sz w:val="26"/>
          <w:szCs w:val="26"/>
          <w:highlight w:val="yellow"/>
          <w:lang w:val="en-GB" w:eastAsia="en-US"/>
        </w:rPr>
        <w:t>S2-23</w:t>
      </w:r>
      <w:r w:rsidR="005E707E">
        <w:rPr>
          <w:rFonts w:ascii="Calibri" w:hAnsi="Calibri"/>
          <w:i/>
          <w:iCs/>
          <w:color w:val="0070C0"/>
          <w:sz w:val="26"/>
          <w:szCs w:val="26"/>
          <w:highlight w:val="yellow"/>
          <w:lang w:val="en-GB" w:eastAsia="en-US"/>
        </w:rPr>
        <w:t>0</w:t>
      </w:r>
      <w:r w:rsidR="003636BC" w:rsidRPr="003636BC">
        <w:rPr>
          <w:rFonts w:ascii="Calibri" w:hAnsi="Calibri"/>
          <w:i/>
          <w:iCs/>
          <w:color w:val="0070C0"/>
          <w:sz w:val="26"/>
          <w:szCs w:val="26"/>
          <w:highlight w:val="yellow"/>
          <w:lang w:val="en-GB" w:eastAsia="en-US"/>
        </w:rPr>
        <w:t>1471 (vivo)</w:t>
      </w:r>
    </w:p>
    <w:p w14:paraId="444D74E4" w14:textId="79D72026" w:rsidR="005C20CB" w:rsidRDefault="005C20CB" w:rsidP="005C20CB">
      <w:pPr>
        <w:rPr>
          <w:rFonts w:ascii="Calibri" w:hAnsi="Calibri"/>
          <w:i/>
          <w:iCs/>
          <w:sz w:val="26"/>
          <w:szCs w:val="26"/>
          <w:lang w:eastAsia="en-US"/>
        </w:rPr>
      </w:pPr>
      <w:r>
        <w:rPr>
          <w:rFonts w:ascii="Calibri" w:hAnsi="Calibri"/>
          <w:i/>
          <w:iCs/>
          <w:sz w:val="26"/>
          <w:szCs w:val="26"/>
          <w:lang w:eastAsia="en-US"/>
        </w:rPr>
        <w:t> </w:t>
      </w:r>
    </w:p>
    <w:tbl>
      <w:tblPr>
        <w:tblStyle w:val="TableGrid"/>
        <w:tblW w:w="0" w:type="auto"/>
        <w:tblLook w:val="04A0" w:firstRow="1" w:lastRow="0" w:firstColumn="1" w:lastColumn="0" w:noHBand="0" w:noVBand="1"/>
      </w:tblPr>
      <w:tblGrid>
        <w:gridCol w:w="9350"/>
      </w:tblGrid>
      <w:tr w:rsidR="00C16849" w14:paraId="200ABC7B" w14:textId="77777777" w:rsidTr="00C16849">
        <w:tc>
          <w:tcPr>
            <w:tcW w:w="9350" w:type="dxa"/>
          </w:tcPr>
          <w:p w14:paraId="3BF11DAB" w14:textId="77777777" w:rsidR="00C16849" w:rsidRDefault="00FE765B" w:rsidP="00FE765B">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1104E73D" w14:textId="76F71585" w:rsidR="00FE765B" w:rsidRDefault="00FE765B" w:rsidP="00B42144">
            <w:pPr>
              <w:spacing w:before="120" w:after="120"/>
              <w:rPr>
                <w:rFonts w:ascii="Calibri" w:hAnsi="Calibri"/>
                <w:i/>
                <w:iCs/>
              </w:rPr>
            </w:pPr>
            <w:r w:rsidRPr="00A41135">
              <w:rPr>
                <w:rFonts w:ascii="Calibri" w:hAnsi="Calibri"/>
                <w:b/>
                <w:bCs/>
                <w:i/>
                <w:iCs/>
              </w:rPr>
              <w:t>Samsung:</w:t>
            </w:r>
            <w:r>
              <w:rPr>
                <w:rFonts w:ascii="Calibri" w:hAnsi="Calibri"/>
                <w:i/>
                <w:iCs/>
              </w:rPr>
              <w:t xml:space="preserve"> Present the next step to prepare more detailed CR to describe the support for the three new NEF events, i.e. Session Inactivity Time, Traffic Volume and UL/DL data rate</w:t>
            </w:r>
            <w:r w:rsidR="00A41135">
              <w:rPr>
                <w:rFonts w:ascii="Calibri" w:hAnsi="Calibri"/>
                <w:i/>
                <w:iCs/>
              </w:rPr>
              <w:t>,</w:t>
            </w:r>
            <w:r>
              <w:rPr>
                <w:rFonts w:ascii="Calibri" w:hAnsi="Calibri"/>
                <w:i/>
                <w:iCs/>
              </w:rPr>
              <w:t xml:space="preserve"> as part of the NEF Event Exposure service.  These events are not target for the group operation as the Group-MBR monitoring</w:t>
            </w:r>
            <w:r w:rsidR="00B42144">
              <w:rPr>
                <w:rFonts w:ascii="Calibri" w:hAnsi="Calibri"/>
                <w:i/>
                <w:iCs/>
              </w:rPr>
              <w:t xml:space="preserve"> and also it does not associate with any particular threshold.</w:t>
            </w:r>
          </w:p>
          <w:p w14:paraId="36337D6C" w14:textId="77777777" w:rsidR="00B42144" w:rsidRDefault="00B42144" w:rsidP="00B42144">
            <w:pPr>
              <w:spacing w:before="120" w:after="120"/>
              <w:rPr>
                <w:rFonts w:ascii="Calibri" w:hAnsi="Calibri"/>
                <w:i/>
                <w:iCs/>
                <w:sz w:val="26"/>
                <w:szCs w:val="26"/>
                <w:lang w:eastAsia="en-US"/>
              </w:rPr>
            </w:pPr>
            <w:r w:rsidRPr="00B42144">
              <w:rPr>
                <w:rFonts w:ascii="Calibri" w:hAnsi="Calibri"/>
                <w:b/>
                <w:bCs/>
                <w:i/>
                <w:iCs/>
                <w:sz w:val="26"/>
                <w:szCs w:val="26"/>
                <w:lang w:eastAsia="en-US"/>
              </w:rPr>
              <w:t>AT&amp;T:</w:t>
            </w:r>
            <w:r>
              <w:rPr>
                <w:rFonts w:ascii="Calibri" w:hAnsi="Calibri"/>
                <w:i/>
                <w:iCs/>
                <w:sz w:val="26"/>
                <w:szCs w:val="26"/>
                <w:lang w:eastAsia="en-US"/>
              </w:rPr>
              <w:t xml:space="preserve"> Asking whether it will be new CR?  Samsung responded that, it will be a revision of the postponed CR from last meeting.   </w:t>
            </w:r>
          </w:p>
          <w:p w14:paraId="1523B2ED" w14:textId="77777777" w:rsidR="00B42144" w:rsidRDefault="00B42144" w:rsidP="00B42144">
            <w:pPr>
              <w:spacing w:before="120" w:after="120"/>
              <w:rPr>
                <w:rFonts w:ascii="Calibri" w:hAnsi="Calibri"/>
                <w:i/>
                <w:iCs/>
                <w:sz w:val="26"/>
                <w:szCs w:val="26"/>
                <w:lang w:eastAsia="en-US"/>
              </w:rPr>
            </w:pPr>
            <w:r w:rsidRPr="00B42144">
              <w:rPr>
                <w:rFonts w:ascii="Calibri" w:hAnsi="Calibri"/>
                <w:b/>
                <w:bCs/>
                <w:i/>
                <w:iCs/>
                <w:sz w:val="26"/>
                <w:szCs w:val="26"/>
                <w:lang w:eastAsia="en-US"/>
              </w:rPr>
              <w:t>OPPO:</w:t>
            </w:r>
            <w:r>
              <w:rPr>
                <w:rFonts w:ascii="Calibri" w:hAnsi="Calibri"/>
                <w:i/>
                <w:iCs/>
                <w:sz w:val="26"/>
                <w:szCs w:val="26"/>
                <w:lang w:eastAsia="en-US"/>
              </w:rPr>
              <w:t xml:space="preserve"> Suggesting Samsung to refer to the similar CR from vivo (S2-2301471) related to XRM which has been approved in last SA2 that utilizes the UPF event exposure that supports data rate monitoring similar to what Samsung’s CR seemed to imply.  </w:t>
            </w:r>
          </w:p>
          <w:p w14:paraId="3FCD731C" w14:textId="77777777" w:rsidR="00B42144" w:rsidRDefault="00B42144" w:rsidP="00B42144">
            <w:pPr>
              <w:spacing w:before="120" w:after="120"/>
              <w:rPr>
                <w:rFonts w:ascii="Calibri" w:hAnsi="Calibri"/>
                <w:i/>
                <w:iCs/>
                <w:sz w:val="26"/>
                <w:szCs w:val="26"/>
                <w:lang w:eastAsia="en-US"/>
              </w:rPr>
            </w:pPr>
            <w:r w:rsidRPr="000409B1">
              <w:rPr>
                <w:rFonts w:ascii="Calibri" w:hAnsi="Calibri"/>
                <w:b/>
                <w:bCs/>
                <w:i/>
                <w:iCs/>
                <w:sz w:val="26"/>
                <w:szCs w:val="26"/>
                <w:lang w:eastAsia="en-US"/>
              </w:rPr>
              <w:t>Huawei:</w:t>
            </w:r>
            <w:r>
              <w:rPr>
                <w:rFonts w:ascii="Calibri" w:hAnsi="Calibri"/>
                <w:i/>
                <w:iCs/>
                <w:sz w:val="26"/>
                <w:szCs w:val="26"/>
                <w:lang w:eastAsia="en-US"/>
              </w:rPr>
              <w:t xml:space="preserve"> </w:t>
            </w:r>
            <w:r w:rsidR="002E4EDD">
              <w:rPr>
                <w:rFonts w:ascii="Calibri" w:hAnsi="Calibri"/>
                <w:i/>
                <w:iCs/>
                <w:sz w:val="26"/>
                <w:szCs w:val="26"/>
                <w:lang w:eastAsia="en-US"/>
              </w:rPr>
              <w:t xml:space="preserve">In order </w:t>
            </w:r>
            <w:r w:rsidR="000409B1">
              <w:rPr>
                <w:rFonts w:ascii="Calibri" w:hAnsi="Calibri"/>
                <w:i/>
                <w:iCs/>
                <w:sz w:val="26"/>
                <w:szCs w:val="26"/>
                <w:lang w:eastAsia="en-US"/>
              </w:rPr>
              <w:t xml:space="preserve">to determine whether new NEF event is needed, first thing first is to determine what the scope of the new event.  If the scope is target for individual QoS flow monitoring, then, the existing Nnef_AFSessionWithQoS should be reused.  The only one among these events that seems to be distinct and useful is the “Session Inactivity Time” which monitoring the UE’s inactivity in order to determine whether AF should trigger the application operation. </w:t>
            </w:r>
          </w:p>
          <w:p w14:paraId="0344289D" w14:textId="7B413556" w:rsidR="000409B1" w:rsidRDefault="000409B1" w:rsidP="00B42144">
            <w:pPr>
              <w:spacing w:before="120" w:after="120"/>
              <w:rPr>
                <w:rFonts w:ascii="Calibri" w:hAnsi="Calibri"/>
                <w:i/>
                <w:iCs/>
                <w:sz w:val="26"/>
                <w:szCs w:val="26"/>
                <w:lang w:eastAsia="en-US"/>
              </w:rPr>
            </w:pPr>
            <w:r w:rsidRPr="000409B1">
              <w:rPr>
                <w:rFonts w:ascii="Calibri" w:hAnsi="Calibri"/>
                <w:b/>
                <w:bCs/>
                <w:i/>
                <w:iCs/>
                <w:sz w:val="26"/>
                <w:szCs w:val="26"/>
                <w:lang w:eastAsia="en-US"/>
              </w:rPr>
              <w:t>Samsung:</w:t>
            </w:r>
            <w:r>
              <w:rPr>
                <w:rFonts w:ascii="Calibri" w:hAnsi="Calibri"/>
                <w:i/>
                <w:iCs/>
                <w:sz w:val="26"/>
                <w:szCs w:val="26"/>
                <w:lang w:eastAsia="en-US"/>
              </w:rPr>
              <w:t xml:space="preserve"> Would like to clarify that, Samsung originally has proposed to leverage the Nnef_AFSessionWithQoS but it was pushed back and hence, Samsung suggested to use the NEF Event Exposure service instead.   Further offline discussions are needed in order to determine for which approach to use. </w:t>
            </w:r>
          </w:p>
          <w:p w14:paraId="408DDAF5" w14:textId="77777777" w:rsidR="000409B1" w:rsidRPr="0033695B" w:rsidRDefault="000409B1" w:rsidP="00B42144">
            <w:pPr>
              <w:spacing w:before="120" w:after="120"/>
              <w:rPr>
                <w:rFonts w:ascii="Calibri" w:hAnsi="Calibri"/>
                <w:b/>
                <w:bCs/>
                <w:i/>
                <w:iCs/>
                <w:sz w:val="26"/>
                <w:szCs w:val="26"/>
                <w:lang w:eastAsia="en-US"/>
              </w:rPr>
            </w:pPr>
            <w:r w:rsidRPr="0033695B">
              <w:rPr>
                <w:rFonts w:ascii="Calibri" w:hAnsi="Calibri"/>
                <w:b/>
                <w:bCs/>
                <w:i/>
                <w:iCs/>
                <w:sz w:val="26"/>
                <w:szCs w:val="26"/>
                <w:lang w:eastAsia="en-US"/>
              </w:rPr>
              <w:t xml:space="preserve">Next Step: </w:t>
            </w:r>
          </w:p>
          <w:p w14:paraId="1F266C05" w14:textId="59F43A00" w:rsidR="000409B1" w:rsidRPr="000409B1" w:rsidRDefault="000409B1" w:rsidP="000409B1">
            <w:pPr>
              <w:pStyle w:val="ListParagraph"/>
              <w:numPr>
                <w:ilvl w:val="0"/>
                <w:numId w:val="14"/>
              </w:numPr>
              <w:spacing w:before="120" w:after="120"/>
              <w:rPr>
                <w:rFonts w:ascii="Calibri" w:hAnsi="Calibri"/>
                <w:i/>
                <w:iCs/>
                <w:sz w:val="26"/>
                <w:szCs w:val="26"/>
                <w:lang w:eastAsia="en-US"/>
              </w:rPr>
            </w:pPr>
            <w:r>
              <w:rPr>
                <w:rFonts w:ascii="Calibri" w:hAnsi="Calibri"/>
                <w:i/>
                <w:iCs/>
                <w:sz w:val="26"/>
                <w:szCs w:val="26"/>
                <w:lang w:eastAsia="en-US"/>
              </w:rPr>
              <w:t xml:space="preserve">Samsung will review the vivo’s CR and share the revised CR from previous meeting to </w:t>
            </w:r>
            <w:r w:rsidR="0033695B">
              <w:rPr>
                <w:rFonts w:ascii="Calibri" w:hAnsi="Calibri"/>
                <w:i/>
                <w:iCs/>
                <w:sz w:val="26"/>
                <w:szCs w:val="26"/>
                <w:lang w:eastAsia="en-US"/>
              </w:rPr>
              <w:t xml:space="preserve">start the discussions of the new events. </w:t>
            </w:r>
          </w:p>
        </w:tc>
      </w:tr>
    </w:tbl>
    <w:p w14:paraId="4CF951EE" w14:textId="13C908AE" w:rsidR="00C16849" w:rsidRDefault="00C16849" w:rsidP="005C20CB">
      <w:pPr>
        <w:rPr>
          <w:rFonts w:ascii="Calibri" w:hAnsi="Calibri"/>
          <w:i/>
          <w:iCs/>
          <w:sz w:val="26"/>
          <w:szCs w:val="26"/>
          <w:lang w:eastAsia="en-US"/>
        </w:rPr>
      </w:pPr>
    </w:p>
    <w:p w14:paraId="225EC04C" w14:textId="77777777" w:rsidR="00C16849" w:rsidRDefault="00C16849" w:rsidP="005C20CB"/>
    <w:p w14:paraId="6A8A36D4" w14:textId="77777777" w:rsidR="005C20CB" w:rsidRDefault="005C20CB" w:rsidP="005C20CB">
      <w:pPr>
        <w:numPr>
          <w:ilvl w:val="0"/>
          <w:numId w:val="4"/>
        </w:numPr>
      </w:pPr>
      <w:r>
        <w:rPr>
          <w:rFonts w:ascii="Calibri" w:hAnsi="Calibri"/>
          <w:b/>
          <w:bCs/>
          <w:i/>
          <w:iCs/>
          <w:sz w:val="26"/>
          <w:szCs w:val="26"/>
          <w:lang w:val="en-GB" w:eastAsia="en-US"/>
        </w:rPr>
        <w:t>KI#3: 5GC information exposure to authorized 3</w:t>
      </w:r>
      <w:r>
        <w:rPr>
          <w:rFonts w:ascii="Calibri" w:hAnsi="Calibri"/>
          <w:b/>
          <w:bCs/>
          <w:i/>
          <w:iCs/>
          <w:sz w:val="26"/>
          <w:szCs w:val="26"/>
          <w:vertAlign w:val="superscript"/>
          <w:lang w:val="en-GB" w:eastAsia="en-US"/>
        </w:rPr>
        <w:t>rd</w:t>
      </w:r>
      <w:r>
        <w:rPr>
          <w:rFonts w:ascii="Calibri" w:hAnsi="Calibri"/>
          <w:b/>
          <w:bCs/>
          <w:i/>
          <w:iCs/>
          <w:sz w:val="26"/>
          <w:szCs w:val="26"/>
          <w:lang w:val="en-GB" w:eastAsia="en-US"/>
        </w:rPr>
        <w:t xml:space="preserve"> party for application layer AI/ML operation </w:t>
      </w:r>
    </w:p>
    <w:p w14:paraId="53664159" w14:textId="77777777" w:rsidR="005C20CB" w:rsidRDefault="005C20CB" w:rsidP="005C20CB">
      <w:r>
        <w:rPr>
          <w:rFonts w:ascii="Calibri" w:hAnsi="Calibri"/>
          <w:b/>
          <w:bCs/>
          <w:i/>
          <w:iCs/>
          <w:sz w:val="26"/>
          <w:szCs w:val="26"/>
          <w:lang w:val="en-GB" w:eastAsia="en-US"/>
        </w:rPr>
        <w:t xml:space="preserve">Next Steps: </w:t>
      </w:r>
    </w:p>
    <w:p w14:paraId="14E5E779" w14:textId="77777777" w:rsidR="005C20CB" w:rsidRDefault="005C20CB" w:rsidP="005C20CB">
      <w:pPr>
        <w:numPr>
          <w:ilvl w:val="3"/>
          <w:numId w:val="5"/>
        </w:numPr>
        <w:ind w:left="900"/>
      </w:pPr>
      <w:r>
        <w:rPr>
          <w:rFonts w:ascii="Calibri" w:hAnsi="Calibri"/>
          <w:i/>
          <w:iCs/>
          <w:color w:val="0070C0"/>
          <w:sz w:val="26"/>
          <w:szCs w:val="26"/>
          <w:lang w:val="en-GB" w:eastAsia="en-US"/>
        </w:rPr>
        <w:t xml:space="preserve">Determine User Consent checking for member selection assistance only when SA3 concludes </w:t>
      </w:r>
      <w:r>
        <w:rPr>
          <w:rFonts w:ascii="Calibri" w:hAnsi="Calibri"/>
          <w:b/>
          <w:bCs/>
          <w:i/>
          <w:iCs/>
          <w:sz w:val="26"/>
          <w:szCs w:val="26"/>
          <w:lang w:eastAsia="en-US"/>
        </w:rPr>
        <w:t>(Host: David)</w:t>
      </w:r>
    </w:p>
    <w:p w14:paraId="52EDD543" w14:textId="727D591D" w:rsidR="005C20CB" w:rsidRPr="00870063" w:rsidRDefault="005C20CB" w:rsidP="005C20CB">
      <w:pPr>
        <w:numPr>
          <w:ilvl w:val="4"/>
          <w:numId w:val="5"/>
        </w:numPr>
        <w:ind w:left="1260"/>
        <w:rPr>
          <w:rStyle w:val="Hyperlink"/>
          <w:color w:val="auto"/>
          <w:u w:val="none"/>
        </w:rPr>
      </w:pPr>
      <w:r>
        <w:rPr>
          <w:rFonts w:ascii="Calibri" w:hAnsi="Calibri"/>
          <w:i/>
          <w:iCs/>
          <w:color w:val="0070C0"/>
          <w:sz w:val="26"/>
          <w:szCs w:val="26"/>
          <w:lang w:eastAsia="en-US"/>
        </w:rPr>
        <w:lastRenderedPageBreak/>
        <w:t xml:space="preserve">Tdoc reference: </w:t>
      </w:r>
      <w:hyperlink r:id="rId10" w:history="1">
        <w:r>
          <w:rPr>
            <w:rStyle w:val="Hyperlink"/>
            <w:rFonts w:ascii="Calibri" w:hAnsi="Calibri"/>
            <w:i/>
            <w:iCs/>
            <w:sz w:val="26"/>
            <w:szCs w:val="26"/>
            <w:lang w:eastAsia="en-US"/>
          </w:rPr>
          <w:t>S2-2301205</w:t>
        </w:r>
      </w:hyperlink>
    </w:p>
    <w:p w14:paraId="4DD0AFD6" w14:textId="6FF9C24A" w:rsidR="00870063" w:rsidRDefault="00870063" w:rsidP="00870063"/>
    <w:tbl>
      <w:tblPr>
        <w:tblStyle w:val="TableGrid"/>
        <w:tblW w:w="0" w:type="auto"/>
        <w:tblLook w:val="04A0" w:firstRow="1" w:lastRow="0" w:firstColumn="1" w:lastColumn="0" w:noHBand="0" w:noVBand="1"/>
      </w:tblPr>
      <w:tblGrid>
        <w:gridCol w:w="9350"/>
      </w:tblGrid>
      <w:tr w:rsidR="00870063" w:rsidRPr="003403FC" w14:paraId="402CCD31" w14:textId="77777777" w:rsidTr="00870063">
        <w:tc>
          <w:tcPr>
            <w:tcW w:w="9350" w:type="dxa"/>
          </w:tcPr>
          <w:p w14:paraId="73019725" w14:textId="77777777" w:rsidR="00F419B9" w:rsidRDefault="00F419B9" w:rsidP="00F419B9">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02E52C8D" w14:textId="77777777" w:rsidR="00870063" w:rsidRDefault="00F419B9" w:rsidP="00F419B9">
            <w:pPr>
              <w:spacing w:before="120" w:after="120"/>
              <w:rPr>
                <w:rFonts w:ascii="Calibri" w:hAnsi="Calibri"/>
                <w:i/>
                <w:iCs/>
              </w:rPr>
            </w:pPr>
            <w:r w:rsidRPr="00A41135">
              <w:rPr>
                <w:rFonts w:ascii="Calibri" w:hAnsi="Calibri"/>
                <w:b/>
                <w:bCs/>
                <w:i/>
                <w:iCs/>
              </w:rPr>
              <w:t>Samsung:</w:t>
            </w:r>
            <w:r>
              <w:rPr>
                <w:rFonts w:ascii="Calibri" w:hAnsi="Calibri"/>
                <w:i/>
                <w:iCs/>
              </w:rPr>
              <w:t xml:space="preserve"> </w:t>
            </w:r>
            <w:r>
              <w:rPr>
                <w:rFonts w:ascii="Calibri" w:hAnsi="Calibri"/>
                <w:i/>
                <w:iCs/>
              </w:rPr>
              <w:t xml:space="preserve">Reminded AIMLsys colleagues that based on previous agreement, SA2 is not going to proceed with any normative proposal on this user consent issue until SA3 completes their normative work on this specific aspect.   </w:t>
            </w:r>
          </w:p>
          <w:p w14:paraId="65C7780D" w14:textId="77777777" w:rsidR="00F419B9" w:rsidRDefault="00F419B9" w:rsidP="00F419B9">
            <w:pPr>
              <w:spacing w:before="120" w:after="120"/>
              <w:rPr>
                <w:rFonts w:ascii="Calibri" w:hAnsi="Calibri"/>
                <w:i/>
                <w:iCs/>
              </w:rPr>
            </w:pPr>
            <w:r>
              <w:rPr>
                <w:rFonts w:ascii="Calibri" w:hAnsi="Calibri"/>
                <w:b/>
                <w:bCs/>
                <w:i/>
                <w:iCs/>
              </w:rPr>
              <w:t>OPPO</w:t>
            </w:r>
            <w:r w:rsidRPr="00A41135">
              <w:rPr>
                <w:rFonts w:ascii="Calibri" w:hAnsi="Calibri"/>
                <w:b/>
                <w:bCs/>
                <w:i/>
                <w:iCs/>
              </w:rPr>
              <w:t>:</w:t>
            </w:r>
            <w:r>
              <w:rPr>
                <w:rFonts w:ascii="Calibri" w:hAnsi="Calibri"/>
                <w:i/>
                <w:iCs/>
              </w:rPr>
              <w:t xml:space="preserve"> </w:t>
            </w:r>
            <w:r>
              <w:rPr>
                <w:rFonts w:ascii="Calibri" w:hAnsi="Calibri"/>
                <w:i/>
                <w:iCs/>
              </w:rPr>
              <w:t xml:space="preserve">Would suggest the Google’s CR, if it is being revised, it should remove any specific aspect related to KI#7.  According to the TR conclusion, user consent is for KI#3 and not related to KI#7.  Samsung agreed.   </w:t>
            </w:r>
          </w:p>
          <w:p w14:paraId="4FC0FFB1" w14:textId="77777777" w:rsidR="003403FC" w:rsidRPr="003403FC" w:rsidRDefault="003403FC" w:rsidP="00F419B9">
            <w:pPr>
              <w:spacing w:before="120" w:after="120"/>
              <w:rPr>
                <w:rFonts w:asciiTheme="minorHAnsi" w:hAnsiTheme="minorHAnsi" w:cstheme="minorHAnsi"/>
                <w:i/>
                <w:iCs/>
              </w:rPr>
            </w:pPr>
            <w:r>
              <w:rPr>
                <w:rFonts w:ascii="Calibri" w:hAnsi="Calibri"/>
                <w:b/>
                <w:bCs/>
                <w:i/>
                <w:iCs/>
              </w:rPr>
              <w:t>Next Step</w:t>
            </w:r>
            <w:r w:rsidRPr="00A41135">
              <w:rPr>
                <w:rFonts w:ascii="Calibri" w:hAnsi="Calibri"/>
                <w:b/>
                <w:bCs/>
                <w:i/>
                <w:iCs/>
              </w:rPr>
              <w:t>:</w:t>
            </w:r>
            <w:r>
              <w:rPr>
                <w:rFonts w:ascii="Calibri" w:hAnsi="Calibri"/>
                <w:i/>
                <w:iCs/>
              </w:rPr>
              <w:t xml:space="preserve"> </w:t>
            </w:r>
          </w:p>
          <w:p w14:paraId="75FB2E51" w14:textId="5DB6668A" w:rsidR="003403FC" w:rsidRPr="003403FC" w:rsidRDefault="003403FC" w:rsidP="003403FC">
            <w:pPr>
              <w:pStyle w:val="ListParagraph"/>
              <w:numPr>
                <w:ilvl w:val="0"/>
                <w:numId w:val="14"/>
              </w:numPr>
              <w:spacing w:before="120" w:after="120"/>
            </w:pPr>
            <w:r w:rsidRPr="003403FC">
              <w:rPr>
                <w:rFonts w:asciiTheme="minorHAnsi" w:hAnsiTheme="minorHAnsi" w:cstheme="minorHAnsi"/>
                <w:i/>
                <w:iCs/>
              </w:rPr>
              <w:t>Wait for SA3 conclusion on this subject.</w:t>
            </w:r>
            <w:r>
              <w:t xml:space="preserve"> </w:t>
            </w:r>
          </w:p>
        </w:tc>
      </w:tr>
    </w:tbl>
    <w:p w14:paraId="61D2DB3F" w14:textId="77777777" w:rsidR="00870063" w:rsidRPr="003403FC" w:rsidRDefault="00870063" w:rsidP="00870063"/>
    <w:p w14:paraId="091B500C" w14:textId="77777777" w:rsidR="005C20CB" w:rsidRDefault="005C20CB" w:rsidP="005C20CB">
      <w:pPr>
        <w:numPr>
          <w:ilvl w:val="3"/>
          <w:numId w:val="5"/>
        </w:numPr>
        <w:ind w:left="900"/>
      </w:pPr>
      <w:r>
        <w:rPr>
          <w:rFonts w:ascii="Calibri" w:hAnsi="Calibri"/>
          <w:i/>
          <w:iCs/>
          <w:color w:val="0070C0"/>
          <w:sz w:val="26"/>
          <w:szCs w:val="26"/>
          <w:lang w:val="en-GB" w:eastAsia="en-US"/>
        </w:rPr>
        <w:t>Coordinate with KI#1 to decide on what additional NEF event is needed to support AI/ML operation  </w:t>
      </w:r>
      <w:r>
        <w:rPr>
          <w:rFonts w:ascii="Calibri" w:hAnsi="Calibri"/>
          <w:b/>
          <w:bCs/>
          <w:i/>
          <w:iCs/>
          <w:sz w:val="26"/>
          <w:szCs w:val="26"/>
          <w:lang w:eastAsia="en-US"/>
        </w:rPr>
        <w:t>(Host: David – together with KI#1)</w:t>
      </w:r>
    </w:p>
    <w:p w14:paraId="77DA94A1" w14:textId="77777777" w:rsidR="005C20CB" w:rsidRDefault="005C20CB" w:rsidP="005C20CB">
      <w:pPr>
        <w:numPr>
          <w:ilvl w:val="4"/>
          <w:numId w:val="5"/>
        </w:numPr>
        <w:ind w:left="1260"/>
      </w:pPr>
      <w:r>
        <w:rPr>
          <w:rFonts w:ascii="Calibri" w:hAnsi="Calibri"/>
          <w:i/>
          <w:iCs/>
          <w:color w:val="0070C0"/>
          <w:sz w:val="26"/>
          <w:szCs w:val="26"/>
          <w:lang w:val="en-GB" w:eastAsia="en-US"/>
        </w:rPr>
        <w:t xml:space="preserve">Tdoc reference: </w:t>
      </w:r>
      <w:hyperlink r:id="rId11" w:history="1">
        <w:r>
          <w:rPr>
            <w:rStyle w:val="Hyperlink"/>
            <w:rFonts w:ascii="Calibri" w:hAnsi="Calibri"/>
            <w:i/>
            <w:iCs/>
            <w:sz w:val="26"/>
            <w:szCs w:val="26"/>
            <w:lang w:val="en-GB" w:eastAsia="en-US"/>
          </w:rPr>
          <w:t>S2-2300755</w:t>
        </w:r>
      </w:hyperlink>
    </w:p>
    <w:p w14:paraId="1784CE24" w14:textId="77777777" w:rsidR="005C20CB" w:rsidRDefault="005C20CB" w:rsidP="005C20CB">
      <w:r>
        <w:rPr>
          <w:rFonts w:ascii="Calibri" w:hAnsi="Calibri"/>
          <w:i/>
          <w:iCs/>
          <w:color w:val="1F497D"/>
          <w:sz w:val="26"/>
          <w:szCs w:val="26"/>
          <w:lang w:eastAsia="en-US"/>
        </w:rPr>
        <w:t> </w:t>
      </w:r>
    </w:p>
    <w:p w14:paraId="5CE4F30C" w14:textId="77777777" w:rsidR="005C20CB" w:rsidRDefault="005C20CB" w:rsidP="005C20CB">
      <w:pPr>
        <w:numPr>
          <w:ilvl w:val="0"/>
          <w:numId w:val="4"/>
        </w:numPr>
      </w:pPr>
      <w:r>
        <w:rPr>
          <w:rFonts w:ascii="Calibri" w:hAnsi="Calibri"/>
          <w:b/>
          <w:bCs/>
          <w:i/>
          <w:iCs/>
          <w:sz w:val="26"/>
          <w:szCs w:val="26"/>
          <w:lang w:val="en-GB" w:eastAsia="en-US"/>
        </w:rPr>
        <w:t xml:space="preserve">KI#4: Enhancing External Parameter Provisioning </w:t>
      </w:r>
    </w:p>
    <w:p w14:paraId="564D077F" w14:textId="77777777" w:rsidR="005C20CB" w:rsidRDefault="005C20CB" w:rsidP="005C20CB">
      <w:r>
        <w:rPr>
          <w:rFonts w:ascii="Calibri" w:hAnsi="Calibri"/>
          <w:b/>
          <w:bCs/>
          <w:i/>
          <w:iCs/>
          <w:sz w:val="26"/>
          <w:szCs w:val="26"/>
          <w:lang w:val="en-GB" w:eastAsia="en-US"/>
        </w:rPr>
        <w:t xml:space="preserve">Next Steps: </w:t>
      </w:r>
    </w:p>
    <w:p w14:paraId="642581CE" w14:textId="77777777" w:rsidR="005C20CB" w:rsidRDefault="005C20CB" w:rsidP="005C20CB">
      <w:pPr>
        <w:numPr>
          <w:ilvl w:val="3"/>
          <w:numId w:val="5"/>
        </w:numPr>
        <w:ind w:left="900"/>
      </w:pPr>
      <w:r>
        <w:rPr>
          <w:rFonts w:ascii="Calibri" w:hAnsi="Calibri"/>
          <w:i/>
          <w:iCs/>
          <w:color w:val="0070C0"/>
          <w:sz w:val="26"/>
          <w:szCs w:val="26"/>
          <w:lang w:val="en-GB" w:eastAsia="en-US"/>
        </w:rPr>
        <w:t xml:space="preserve">Discuss NF request to be notified about Expected UE behaviour parameters </w:t>
      </w:r>
      <w:r>
        <w:rPr>
          <w:rFonts w:ascii="Calibri" w:hAnsi="Calibri"/>
          <w:b/>
          <w:bCs/>
          <w:i/>
          <w:iCs/>
          <w:sz w:val="26"/>
          <w:szCs w:val="26"/>
          <w:lang w:eastAsia="en-US"/>
        </w:rPr>
        <w:t>(Host: David)</w:t>
      </w:r>
    </w:p>
    <w:p w14:paraId="0DF1A08B" w14:textId="77777777" w:rsidR="005C20CB" w:rsidRPr="005C20CB" w:rsidRDefault="005C20CB" w:rsidP="005C20CB">
      <w:pPr>
        <w:numPr>
          <w:ilvl w:val="4"/>
          <w:numId w:val="5"/>
        </w:numPr>
        <w:ind w:left="1260"/>
      </w:pPr>
      <w:r>
        <w:rPr>
          <w:rFonts w:ascii="Calibri" w:hAnsi="Calibri"/>
          <w:i/>
          <w:iCs/>
          <w:color w:val="0070C0"/>
          <w:sz w:val="26"/>
          <w:szCs w:val="26"/>
          <w:lang w:val="en-GB" w:eastAsia="en-US"/>
        </w:rPr>
        <w:t xml:space="preserve">Tdoc reference: </w:t>
      </w:r>
      <w:hyperlink r:id="rId12" w:history="1">
        <w:r>
          <w:rPr>
            <w:rStyle w:val="Hyperlink"/>
            <w:rFonts w:ascii="Calibri" w:hAnsi="Calibri"/>
            <w:i/>
            <w:iCs/>
            <w:sz w:val="26"/>
            <w:szCs w:val="26"/>
            <w:lang w:val="en-GB" w:eastAsia="en-US"/>
          </w:rPr>
          <w:t>S2-2301580</w:t>
        </w:r>
      </w:hyperlink>
      <w:r>
        <w:rPr>
          <w:rFonts w:ascii="Calibri" w:hAnsi="Calibri"/>
          <w:i/>
          <w:iCs/>
          <w:color w:val="0070C0"/>
          <w:sz w:val="26"/>
          <w:szCs w:val="26"/>
          <w:lang w:val="en-GB" w:eastAsia="en-US"/>
        </w:rPr>
        <w:t xml:space="preserve"> </w:t>
      </w:r>
    </w:p>
    <w:p w14:paraId="09A8ACC5" w14:textId="77777777" w:rsidR="005C20CB" w:rsidRPr="00F3630E" w:rsidRDefault="005C20CB" w:rsidP="005C20CB">
      <w:pPr>
        <w:numPr>
          <w:ilvl w:val="4"/>
          <w:numId w:val="5"/>
        </w:numPr>
        <w:ind w:left="1260"/>
      </w:pPr>
      <w:r>
        <w:rPr>
          <w:rFonts w:ascii="Calibri" w:hAnsi="Calibri"/>
          <w:i/>
          <w:iCs/>
          <w:color w:val="0070C0"/>
          <w:sz w:val="26"/>
          <w:szCs w:val="26"/>
          <w:lang w:val="en-GB" w:eastAsia="en-US"/>
        </w:rPr>
        <w:t xml:space="preserve"> </w:t>
      </w:r>
      <w:bookmarkStart w:id="0" w:name="_MON_1737167939"/>
      <w:bookmarkEnd w:id="0"/>
      <w:r w:rsidR="00CD443B">
        <w:rPr>
          <w:rFonts w:ascii="Calibri" w:hAnsi="Calibri"/>
          <w:i/>
          <w:iCs/>
          <w:color w:val="0070C0"/>
          <w:sz w:val="26"/>
          <w:szCs w:val="26"/>
          <w:lang w:val="en-GB" w:eastAsia="en-US"/>
        </w:rPr>
        <w:object w:dxaOrig="1532" w:dyaOrig="991" w14:anchorId="03B638B9">
          <v:shape id="_x0000_i1026" type="#_x0000_t75" style="width:76.4pt;height:49.45pt" o:ole="">
            <v:imagedata r:id="rId13" o:title=""/>
          </v:shape>
          <o:OLEObject Type="Embed" ProgID="Word.Document.12" ShapeID="_x0000_i1026" DrawAspect="Icon" ObjectID="_1737258956" r:id="rId14">
            <o:FieldCodes>\s</o:FieldCodes>
          </o:OLEObject>
        </w:object>
      </w:r>
    </w:p>
    <w:bookmarkStart w:id="1" w:name="_MON_1737168464"/>
    <w:bookmarkEnd w:id="1"/>
    <w:p w14:paraId="26F8C4DB" w14:textId="6D53CA27" w:rsidR="00F3630E" w:rsidRDefault="00F3630E" w:rsidP="005C20CB">
      <w:pPr>
        <w:numPr>
          <w:ilvl w:val="4"/>
          <w:numId w:val="5"/>
        </w:numPr>
        <w:ind w:left="1260"/>
      </w:pPr>
      <w:r>
        <w:object w:dxaOrig="1532" w:dyaOrig="991" w14:anchorId="00AAD073">
          <v:shape id="_x0000_i1027" type="#_x0000_t75" style="width:76.4pt;height:49.45pt" o:ole="">
            <v:imagedata r:id="rId15" o:title=""/>
          </v:shape>
          <o:OLEObject Type="Embed" ProgID="Word.Document.12" ShapeID="_x0000_i1027" DrawAspect="Icon" ObjectID="_1737258957" r:id="rId16">
            <o:FieldCodes>\s</o:FieldCodes>
          </o:OLEObject>
        </w:object>
      </w:r>
    </w:p>
    <w:p w14:paraId="427F3A72" w14:textId="25F2000E" w:rsidR="003403FC" w:rsidRDefault="003403FC" w:rsidP="003403FC"/>
    <w:tbl>
      <w:tblPr>
        <w:tblStyle w:val="TableGrid"/>
        <w:tblW w:w="0" w:type="auto"/>
        <w:tblLook w:val="04A0" w:firstRow="1" w:lastRow="0" w:firstColumn="1" w:lastColumn="0" w:noHBand="0" w:noVBand="1"/>
      </w:tblPr>
      <w:tblGrid>
        <w:gridCol w:w="9350"/>
      </w:tblGrid>
      <w:tr w:rsidR="003403FC" w:rsidRPr="005B7087" w14:paraId="0C73B4F1" w14:textId="77777777" w:rsidTr="003403FC">
        <w:tc>
          <w:tcPr>
            <w:tcW w:w="9350" w:type="dxa"/>
          </w:tcPr>
          <w:p w14:paraId="5326CC33" w14:textId="77777777" w:rsidR="008C591F" w:rsidRDefault="008C591F" w:rsidP="008C591F">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1BF0F7A4" w14:textId="77777777" w:rsidR="003403FC" w:rsidRPr="005B7087" w:rsidRDefault="005B7087" w:rsidP="005B7087">
            <w:pPr>
              <w:rPr>
                <w:rFonts w:asciiTheme="minorHAnsi" w:hAnsiTheme="minorHAnsi" w:cstheme="minorHAnsi"/>
                <w:i/>
                <w:iCs/>
              </w:rPr>
            </w:pPr>
            <w:r>
              <w:rPr>
                <w:rFonts w:ascii="Calibri" w:hAnsi="Calibri"/>
                <w:b/>
                <w:bCs/>
                <w:i/>
                <w:iCs/>
              </w:rPr>
              <w:t>Nokia</w:t>
            </w:r>
            <w:r w:rsidR="008C591F" w:rsidRPr="00A41135">
              <w:rPr>
                <w:rFonts w:ascii="Calibri" w:hAnsi="Calibri"/>
                <w:b/>
                <w:bCs/>
                <w:i/>
                <w:iCs/>
              </w:rPr>
              <w:t>:</w:t>
            </w:r>
            <w:r w:rsidR="008C591F">
              <w:rPr>
                <w:rFonts w:ascii="Calibri" w:hAnsi="Calibri"/>
                <w:i/>
                <w:iCs/>
              </w:rPr>
              <w:t xml:space="preserve"> </w:t>
            </w:r>
            <w:r>
              <w:rPr>
                <w:rFonts w:ascii="Calibri" w:hAnsi="Calibri"/>
                <w:i/>
                <w:iCs/>
              </w:rPr>
              <w:t xml:space="preserve">Trying to clarify several aspects for the provisioning of multiple Expected UE behavior parameters.  </w:t>
            </w:r>
          </w:p>
          <w:p w14:paraId="5D8C4899" w14:textId="4C96A20B" w:rsidR="005B7087" w:rsidRPr="005B7087" w:rsidRDefault="005B7087" w:rsidP="005B7087">
            <w:pPr>
              <w:pStyle w:val="ListParagraph"/>
              <w:numPr>
                <w:ilvl w:val="0"/>
                <w:numId w:val="14"/>
              </w:numPr>
              <w:contextualSpacing w:val="0"/>
              <w:rPr>
                <w:rFonts w:asciiTheme="minorHAnsi" w:hAnsiTheme="minorHAnsi" w:cstheme="minorHAnsi"/>
                <w:i/>
                <w:iCs/>
              </w:rPr>
            </w:pPr>
            <w:r w:rsidRPr="005B7087">
              <w:rPr>
                <w:rFonts w:asciiTheme="minorHAnsi" w:hAnsiTheme="minorHAnsi" w:cstheme="minorHAnsi"/>
                <w:i/>
                <w:iCs/>
              </w:rPr>
              <w:t>AF may provide multiple parameters for the same UE with different confident levels</w:t>
            </w:r>
            <w:r w:rsidR="00C404B5">
              <w:rPr>
                <w:rFonts w:asciiTheme="minorHAnsi" w:hAnsiTheme="minorHAnsi" w:cstheme="minorHAnsi"/>
                <w:i/>
                <w:iCs/>
              </w:rPr>
              <w:t>, or</w:t>
            </w:r>
          </w:p>
          <w:p w14:paraId="2506344F" w14:textId="77777777" w:rsidR="005B7087" w:rsidRPr="00A42DFD" w:rsidRDefault="005B7087" w:rsidP="005B7087">
            <w:pPr>
              <w:pStyle w:val="ListParagraph"/>
              <w:numPr>
                <w:ilvl w:val="0"/>
                <w:numId w:val="14"/>
              </w:numPr>
              <w:contextualSpacing w:val="0"/>
            </w:pPr>
            <w:r w:rsidRPr="005B7087">
              <w:rPr>
                <w:rFonts w:asciiTheme="minorHAnsi" w:hAnsiTheme="minorHAnsi" w:cstheme="minorHAnsi"/>
                <w:i/>
                <w:iCs/>
              </w:rPr>
              <w:t xml:space="preserve">Multiple AFs provision </w:t>
            </w:r>
            <w:r w:rsidR="00C404B5">
              <w:rPr>
                <w:rFonts w:asciiTheme="minorHAnsi" w:hAnsiTheme="minorHAnsi" w:cstheme="minorHAnsi"/>
                <w:i/>
                <w:iCs/>
              </w:rPr>
              <w:t>different</w:t>
            </w:r>
            <w:r w:rsidRPr="005B7087">
              <w:rPr>
                <w:rFonts w:asciiTheme="minorHAnsi" w:hAnsiTheme="minorHAnsi" w:cstheme="minorHAnsi"/>
                <w:i/>
                <w:iCs/>
              </w:rPr>
              <w:t xml:space="preserve"> parameters with</w:t>
            </w:r>
            <w:r>
              <w:rPr>
                <w:rFonts w:asciiTheme="minorHAnsi" w:hAnsiTheme="minorHAnsi" w:cstheme="minorHAnsi"/>
                <w:i/>
                <w:iCs/>
              </w:rPr>
              <w:t xml:space="preserve"> </w:t>
            </w:r>
            <w:r w:rsidR="00C404B5">
              <w:rPr>
                <w:rFonts w:asciiTheme="minorHAnsi" w:hAnsiTheme="minorHAnsi" w:cstheme="minorHAnsi"/>
                <w:i/>
                <w:iCs/>
              </w:rPr>
              <w:t xml:space="preserve">different confident levels and different accuracy levels, however, it is unclear how this case is handled and hence required more discussions.  More specifically, how and what kind of subscription info or local policy can be used to support such provisioning?   Given the confident level and the accuracy level are arbitrary values decided by the AF, </w:t>
            </w:r>
            <w:r w:rsidR="00A42DFD">
              <w:rPr>
                <w:rFonts w:asciiTheme="minorHAnsi" w:hAnsiTheme="minorHAnsi" w:cstheme="minorHAnsi"/>
                <w:i/>
                <w:iCs/>
              </w:rPr>
              <w:t xml:space="preserve">it is unclear how this scenario is handled.   As a result, Nokia proposed to remove such descriptions from the CR for now and to add two ENs to capture the open issues.  </w:t>
            </w:r>
          </w:p>
          <w:p w14:paraId="36AC18D8" w14:textId="736E299A" w:rsidR="00A42DFD" w:rsidRDefault="00A42DFD" w:rsidP="00A42DFD">
            <w:pPr>
              <w:spacing w:before="120" w:after="120"/>
              <w:rPr>
                <w:rFonts w:ascii="Calibri" w:hAnsi="Calibri"/>
                <w:i/>
                <w:iCs/>
              </w:rPr>
            </w:pPr>
            <w:r>
              <w:rPr>
                <w:rFonts w:ascii="Calibri" w:hAnsi="Calibri"/>
                <w:b/>
                <w:bCs/>
                <w:i/>
                <w:iCs/>
              </w:rPr>
              <w:lastRenderedPageBreak/>
              <w:t>AT&amp;T</w:t>
            </w:r>
            <w:r w:rsidRPr="00A41135">
              <w:rPr>
                <w:rFonts w:ascii="Calibri" w:hAnsi="Calibri"/>
                <w:b/>
                <w:bCs/>
                <w:i/>
                <w:iCs/>
              </w:rPr>
              <w:t>:</w:t>
            </w:r>
            <w:r>
              <w:rPr>
                <w:rFonts w:ascii="Calibri" w:hAnsi="Calibri"/>
                <w:i/>
                <w:iCs/>
              </w:rPr>
              <w:t xml:space="preserve"> </w:t>
            </w:r>
            <w:r>
              <w:rPr>
                <w:rFonts w:ascii="Calibri" w:hAnsi="Calibri"/>
                <w:i/>
                <w:iCs/>
              </w:rPr>
              <w:t xml:space="preserve">Asking if new provision mechanism is proposed by this CR for the new parameters and which WG is responsible to maintain the parameter, i.e. SA2 vs. SA5?   </w:t>
            </w:r>
          </w:p>
          <w:p w14:paraId="27F2B453" w14:textId="77777777" w:rsidR="00A42DFD" w:rsidRDefault="00A42DFD" w:rsidP="00A42DFD">
            <w:pPr>
              <w:spacing w:before="120" w:after="120"/>
              <w:rPr>
                <w:rFonts w:ascii="Calibri" w:hAnsi="Calibri"/>
                <w:i/>
                <w:iCs/>
              </w:rPr>
            </w:pPr>
            <w:r w:rsidRPr="00A42DFD">
              <w:rPr>
                <w:rFonts w:ascii="Calibri" w:hAnsi="Calibri"/>
                <w:b/>
                <w:bCs/>
                <w:i/>
                <w:iCs/>
              </w:rPr>
              <w:t>Samsung:</w:t>
            </w:r>
            <w:r>
              <w:rPr>
                <w:rFonts w:ascii="Calibri" w:hAnsi="Calibri"/>
                <w:i/>
                <w:iCs/>
              </w:rPr>
              <w:t xml:space="preserve">  Clarifying that no new mechanism is proposed for parameters provisioning, and the new parameters are maintained by SA2. </w:t>
            </w:r>
          </w:p>
          <w:p w14:paraId="2C9EBB4E" w14:textId="77777777" w:rsidR="00A42DFD" w:rsidRDefault="00A42DFD" w:rsidP="00A42DFD">
            <w:pPr>
              <w:spacing w:before="120" w:after="120"/>
              <w:rPr>
                <w:rFonts w:ascii="Calibri" w:hAnsi="Calibri"/>
                <w:i/>
                <w:iCs/>
              </w:rPr>
            </w:pPr>
            <w:r>
              <w:rPr>
                <w:rFonts w:ascii="Calibri" w:hAnsi="Calibri"/>
                <w:b/>
                <w:bCs/>
                <w:i/>
                <w:iCs/>
              </w:rPr>
              <w:t>Ericsson</w:t>
            </w:r>
            <w:r w:rsidRPr="00A42DFD">
              <w:rPr>
                <w:rFonts w:ascii="Calibri" w:hAnsi="Calibri"/>
                <w:b/>
                <w:bCs/>
                <w:i/>
                <w:iCs/>
              </w:rPr>
              <w:t>:</w:t>
            </w:r>
            <w:r>
              <w:rPr>
                <w:rFonts w:ascii="Calibri" w:hAnsi="Calibri"/>
                <w:i/>
                <w:iCs/>
              </w:rPr>
              <w:t xml:space="preserve">  </w:t>
            </w:r>
            <w:r w:rsidR="00E62423">
              <w:rPr>
                <w:rFonts w:ascii="Calibri" w:hAnsi="Calibri"/>
                <w:i/>
                <w:iCs/>
              </w:rPr>
              <w:t xml:space="preserve">Sharing the similar concern as Samsung, however, proposing to align the descriptions for the AMF and SMF for handling the provisioning.   </w:t>
            </w:r>
          </w:p>
          <w:p w14:paraId="1710B65F" w14:textId="77777777" w:rsidR="002D1B50" w:rsidRDefault="002D1B50" w:rsidP="00A42DFD">
            <w:pPr>
              <w:spacing w:before="120" w:after="120"/>
              <w:rPr>
                <w:rFonts w:ascii="Calibri" w:hAnsi="Calibri"/>
                <w:i/>
                <w:iCs/>
              </w:rPr>
            </w:pPr>
            <w:r>
              <w:rPr>
                <w:rFonts w:ascii="Calibri" w:hAnsi="Calibri"/>
                <w:b/>
                <w:bCs/>
                <w:i/>
                <w:iCs/>
              </w:rPr>
              <w:t>Next Step</w:t>
            </w:r>
            <w:r w:rsidRPr="00A42DFD">
              <w:rPr>
                <w:rFonts w:ascii="Calibri" w:hAnsi="Calibri"/>
                <w:b/>
                <w:bCs/>
                <w:i/>
                <w:iCs/>
              </w:rPr>
              <w:t>:</w:t>
            </w:r>
            <w:r>
              <w:rPr>
                <w:rFonts w:ascii="Calibri" w:hAnsi="Calibri"/>
                <w:i/>
                <w:iCs/>
              </w:rPr>
              <w:t xml:space="preserve">  </w:t>
            </w:r>
          </w:p>
          <w:p w14:paraId="160D0489" w14:textId="4D122929" w:rsidR="002D1B50" w:rsidRPr="005B7087" w:rsidRDefault="002D1B50" w:rsidP="002D1B50">
            <w:pPr>
              <w:pStyle w:val="ListParagraph"/>
              <w:numPr>
                <w:ilvl w:val="0"/>
                <w:numId w:val="14"/>
              </w:numPr>
              <w:spacing w:before="120" w:after="120"/>
            </w:pPr>
            <w:r>
              <w:rPr>
                <w:rFonts w:ascii="Calibri" w:hAnsi="Calibri"/>
                <w:i/>
                <w:iCs/>
              </w:rPr>
              <w:t xml:space="preserve">Continue the discussions over the SA2 reflector. </w:t>
            </w:r>
          </w:p>
        </w:tc>
      </w:tr>
    </w:tbl>
    <w:p w14:paraId="4FF8EE5B" w14:textId="77777777" w:rsidR="003403FC" w:rsidRPr="005B7087" w:rsidRDefault="003403FC" w:rsidP="003403FC"/>
    <w:p w14:paraId="30A4BD62" w14:textId="77777777" w:rsidR="005C20CB" w:rsidRPr="005B7087" w:rsidRDefault="005C20CB" w:rsidP="005C20CB">
      <w:r w:rsidRPr="005B7087">
        <w:rPr>
          <w:rFonts w:ascii="Calibri" w:hAnsi="Calibri"/>
          <w:i/>
          <w:iCs/>
          <w:color w:val="1F497D"/>
          <w:sz w:val="22"/>
          <w:szCs w:val="22"/>
          <w:lang w:eastAsia="en-US"/>
        </w:rPr>
        <w:t> </w:t>
      </w:r>
    </w:p>
    <w:p w14:paraId="3B021871" w14:textId="77777777" w:rsidR="005C20CB" w:rsidRDefault="005C20CB" w:rsidP="005C20CB">
      <w:pPr>
        <w:numPr>
          <w:ilvl w:val="0"/>
          <w:numId w:val="6"/>
        </w:numPr>
      </w:pPr>
      <w:r>
        <w:rPr>
          <w:rFonts w:ascii="Calibri" w:hAnsi="Calibri"/>
          <w:b/>
          <w:bCs/>
          <w:i/>
          <w:iCs/>
          <w:sz w:val="26"/>
          <w:szCs w:val="26"/>
          <w:lang w:eastAsia="en-US"/>
        </w:rPr>
        <w:t xml:space="preserve">KI#5: 5GC Enhancements to enable Application AI/ML Traffic Transport </w:t>
      </w:r>
    </w:p>
    <w:p w14:paraId="5A707799" w14:textId="77777777" w:rsidR="005C20CB" w:rsidRDefault="005C20CB" w:rsidP="005C20CB">
      <w:r>
        <w:rPr>
          <w:rFonts w:ascii="Calibri" w:hAnsi="Calibri"/>
          <w:b/>
          <w:bCs/>
          <w:i/>
          <w:iCs/>
          <w:sz w:val="26"/>
          <w:szCs w:val="26"/>
          <w:lang w:eastAsia="en-US"/>
        </w:rPr>
        <w:t xml:space="preserve">Next Steps: </w:t>
      </w:r>
    </w:p>
    <w:p w14:paraId="27A90C8A" w14:textId="625E1EF1" w:rsidR="005C20CB" w:rsidRPr="00117DF1" w:rsidRDefault="005C20CB" w:rsidP="005C20CB">
      <w:pPr>
        <w:numPr>
          <w:ilvl w:val="3"/>
          <w:numId w:val="7"/>
        </w:numPr>
        <w:ind w:left="900"/>
      </w:pPr>
      <w:r>
        <w:rPr>
          <w:rFonts w:ascii="Calibri" w:hAnsi="Calibri"/>
          <w:i/>
          <w:iCs/>
          <w:color w:val="0070C0"/>
          <w:sz w:val="26"/>
          <w:szCs w:val="26"/>
          <w:lang w:eastAsia="en-US"/>
        </w:rPr>
        <w:t xml:space="preserve">Determine whether Time Window input filter is needed for DN Performance Analytics support AIML operation </w:t>
      </w:r>
      <w:r>
        <w:rPr>
          <w:rFonts w:ascii="Calibri" w:hAnsi="Calibri"/>
          <w:b/>
          <w:bCs/>
          <w:i/>
          <w:iCs/>
          <w:sz w:val="26"/>
          <w:szCs w:val="26"/>
          <w:lang w:eastAsia="en-US"/>
        </w:rPr>
        <w:t>(Host: Tricci)</w:t>
      </w:r>
    </w:p>
    <w:p w14:paraId="4FD5E6FB" w14:textId="5C0B0672" w:rsidR="00117DF1" w:rsidRDefault="00117DF1" w:rsidP="00117DF1"/>
    <w:tbl>
      <w:tblPr>
        <w:tblStyle w:val="TableGrid"/>
        <w:tblW w:w="0" w:type="auto"/>
        <w:tblLook w:val="04A0" w:firstRow="1" w:lastRow="0" w:firstColumn="1" w:lastColumn="0" w:noHBand="0" w:noVBand="1"/>
      </w:tblPr>
      <w:tblGrid>
        <w:gridCol w:w="9350"/>
      </w:tblGrid>
      <w:tr w:rsidR="00117DF1" w14:paraId="324D8306" w14:textId="77777777" w:rsidTr="00117DF1">
        <w:tc>
          <w:tcPr>
            <w:tcW w:w="9350" w:type="dxa"/>
          </w:tcPr>
          <w:p w14:paraId="5FDEF891" w14:textId="77777777" w:rsidR="00B44373" w:rsidRDefault="00B44373" w:rsidP="00B44373">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6D2EAA70" w14:textId="07B24143" w:rsidR="00117DF1" w:rsidRDefault="00B44373" w:rsidP="00B44373">
            <w:pPr>
              <w:spacing w:before="120" w:after="120"/>
            </w:pPr>
            <w:r>
              <w:rPr>
                <w:rFonts w:ascii="Calibri" w:hAnsi="Calibri"/>
                <w:b/>
                <w:bCs/>
                <w:i/>
                <w:iCs/>
              </w:rPr>
              <w:t>Huawei</w:t>
            </w:r>
            <w:r w:rsidRPr="00A41135">
              <w:rPr>
                <w:rFonts w:ascii="Calibri" w:hAnsi="Calibri"/>
                <w:b/>
                <w:bCs/>
                <w:i/>
                <w:iCs/>
              </w:rPr>
              <w:t>:</w:t>
            </w:r>
            <w:r>
              <w:rPr>
                <w:rFonts w:ascii="Calibri" w:hAnsi="Calibri"/>
                <w:i/>
                <w:iCs/>
              </w:rPr>
              <w:t xml:space="preserve"> </w:t>
            </w:r>
            <w:r w:rsidR="00555504">
              <w:rPr>
                <w:rFonts w:ascii="Calibri" w:hAnsi="Calibri"/>
                <w:i/>
                <w:iCs/>
              </w:rPr>
              <w:t xml:space="preserve">After further evaluation, Huawei agrees that the Temporal Validity Time in today DN Performance Analytics can be used to support the time window.  However, the descriptions for the Temporal Validity Time should be improved to make it more.  Hence, Huawei is planning to submit R17 CR in the </w:t>
            </w:r>
            <w:r w:rsidR="00A33783">
              <w:rPr>
                <w:rFonts w:ascii="Calibri" w:hAnsi="Calibri"/>
                <w:i/>
                <w:iCs/>
              </w:rPr>
              <w:t>April</w:t>
            </w:r>
            <w:r w:rsidR="00555504">
              <w:rPr>
                <w:rFonts w:ascii="Calibri" w:hAnsi="Calibri"/>
                <w:i/>
                <w:iCs/>
              </w:rPr>
              <w:t xml:space="preserve"> meeting to add some clarification.   For AIMLsys, this issue is closed. </w:t>
            </w:r>
          </w:p>
        </w:tc>
      </w:tr>
    </w:tbl>
    <w:p w14:paraId="68ECF891" w14:textId="77777777" w:rsidR="00117DF1" w:rsidRDefault="00117DF1" w:rsidP="00117DF1"/>
    <w:p w14:paraId="1B52C973" w14:textId="09A1E656" w:rsidR="005C20CB" w:rsidRPr="00117DF1" w:rsidRDefault="005C20CB" w:rsidP="005C20CB">
      <w:pPr>
        <w:numPr>
          <w:ilvl w:val="3"/>
          <w:numId w:val="7"/>
        </w:numPr>
        <w:ind w:left="900"/>
      </w:pPr>
      <w:r>
        <w:rPr>
          <w:rFonts w:ascii="Calibri" w:hAnsi="Calibri"/>
          <w:i/>
          <w:iCs/>
          <w:color w:val="0070C0"/>
          <w:sz w:val="26"/>
          <w:szCs w:val="26"/>
          <w:lang w:eastAsia="en-US"/>
        </w:rPr>
        <w:t xml:space="preserve">Determine whether UE info can be used to support the PDTQ Negotiation </w:t>
      </w:r>
      <w:r>
        <w:rPr>
          <w:rFonts w:ascii="Calibri" w:hAnsi="Calibri"/>
          <w:b/>
          <w:bCs/>
          <w:i/>
          <w:iCs/>
          <w:sz w:val="26"/>
          <w:szCs w:val="26"/>
          <w:lang w:eastAsia="en-US"/>
        </w:rPr>
        <w:t>(Host: Tricci)</w:t>
      </w:r>
    </w:p>
    <w:p w14:paraId="230E276B" w14:textId="710AF3DB" w:rsidR="00117DF1" w:rsidRDefault="00117DF1" w:rsidP="00117DF1"/>
    <w:tbl>
      <w:tblPr>
        <w:tblStyle w:val="TableGrid"/>
        <w:tblW w:w="0" w:type="auto"/>
        <w:tblLook w:val="04A0" w:firstRow="1" w:lastRow="0" w:firstColumn="1" w:lastColumn="0" w:noHBand="0" w:noVBand="1"/>
      </w:tblPr>
      <w:tblGrid>
        <w:gridCol w:w="9350"/>
      </w:tblGrid>
      <w:tr w:rsidR="00117DF1" w14:paraId="1D39A01C" w14:textId="77777777" w:rsidTr="00117DF1">
        <w:tc>
          <w:tcPr>
            <w:tcW w:w="9350" w:type="dxa"/>
          </w:tcPr>
          <w:p w14:paraId="04EDA8D3" w14:textId="77777777" w:rsidR="00B44373" w:rsidRDefault="00B44373" w:rsidP="00B44373">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2185AA15" w14:textId="60924EAF" w:rsidR="00117DF1" w:rsidRDefault="00B44373" w:rsidP="00B44373">
            <w:pPr>
              <w:spacing w:before="120" w:after="120"/>
              <w:rPr>
                <w:rFonts w:ascii="Calibri" w:hAnsi="Calibri"/>
                <w:i/>
                <w:iCs/>
              </w:rPr>
            </w:pPr>
            <w:r>
              <w:rPr>
                <w:rFonts w:ascii="Calibri" w:hAnsi="Calibri"/>
                <w:b/>
                <w:bCs/>
                <w:i/>
                <w:iCs/>
              </w:rPr>
              <w:t>Ericsson</w:t>
            </w:r>
            <w:r w:rsidRPr="00A41135">
              <w:rPr>
                <w:rFonts w:ascii="Calibri" w:hAnsi="Calibri"/>
                <w:b/>
                <w:bCs/>
                <w:i/>
                <w:iCs/>
              </w:rPr>
              <w:t>:</w:t>
            </w:r>
            <w:r>
              <w:rPr>
                <w:rFonts w:ascii="Calibri" w:hAnsi="Calibri"/>
                <w:i/>
                <w:iCs/>
              </w:rPr>
              <w:t xml:space="preserve"> </w:t>
            </w:r>
            <w:r w:rsidR="00C23275">
              <w:rPr>
                <w:rFonts w:ascii="Calibri" w:hAnsi="Calibri"/>
                <w:i/>
                <w:iCs/>
              </w:rPr>
              <w:t xml:space="preserve">It is unclear </w:t>
            </w:r>
            <w:r w:rsidR="00CD6395">
              <w:rPr>
                <w:rFonts w:ascii="Calibri" w:hAnsi="Calibri"/>
                <w:i/>
                <w:iCs/>
              </w:rPr>
              <w:t>why there is a need to leverage the UE info to support the PDTQ</w:t>
            </w:r>
            <w:r w:rsidR="00D116F7">
              <w:rPr>
                <w:rFonts w:ascii="Calibri" w:hAnsi="Calibri"/>
                <w:i/>
                <w:iCs/>
              </w:rPr>
              <w:t xml:space="preserve"> policy</w:t>
            </w:r>
            <w:r w:rsidR="00CD6395">
              <w:rPr>
                <w:rFonts w:ascii="Calibri" w:hAnsi="Calibri"/>
                <w:i/>
                <w:iCs/>
              </w:rPr>
              <w:t xml:space="preserve"> negotiation.  Not until the motivation is clear, Ericsson cannot support to include also UE info.  </w:t>
            </w:r>
          </w:p>
          <w:p w14:paraId="0E178F59" w14:textId="77777777" w:rsidR="00CD6395" w:rsidRDefault="00CD6395" w:rsidP="00B44373">
            <w:pPr>
              <w:spacing w:before="120" w:after="120"/>
              <w:rPr>
                <w:rFonts w:asciiTheme="minorHAnsi" w:hAnsiTheme="minorHAnsi" w:cstheme="minorHAnsi"/>
                <w:i/>
                <w:iCs/>
              </w:rPr>
            </w:pPr>
            <w:r w:rsidRPr="00D116F7">
              <w:rPr>
                <w:rFonts w:asciiTheme="minorHAnsi" w:hAnsiTheme="minorHAnsi" w:cstheme="minorHAnsi"/>
                <w:b/>
                <w:bCs/>
                <w:i/>
                <w:iCs/>
              </w:rPr>
              <w:t>Huawei:</w:t>
            </w:r>
            <w:r>
              <w:rPr>
                <w:rFonts w:asciiTheme="minorHAnsi" w:hAnsiTheme="minorHAnsi" w:cstheme="minorHAnsi"/>
                <w:i/>
                <w:iCs/>
              </w:rPr>
              <w:t xml:space="preserve"> </w:t>
            </w:r>
            <w:r w:rsidRPr="00CD6395">
              <w:rPr>
                <w:rFonts w:asciiTheme="minorHAnsi" w:hAnsiTheme="minorHAnsi" w:cstheme="minorHAnsi"/>
                <w:i/>
                <w:iCs/>
              </w:rPr>
              <w:t xml:space="preserve"> </w:t>
            </w:r>
            <w:r w:rsidR="00A33783">
              <w:rPr>
                <w:rFonts w:asciiTheme="minorHAnsi" w:hAnsiTheme="minorHAnsi" w:cstheme="minorHAnsi"/>
                <w:i/>
                <w:iCs/>
              </w:rPr>
              <w:t xml:space="preserve">Agreeing with Ericsson that </w:t>
            </w:r>
            <w:r w:rsidR="00D116F7">
              <w:rPr>
                <w:rFonts w:asciiTheme="minorHAnsi" w:hAnsiTheme="minorHAnsi" w:cstheme="minorHAnsi"/>
                <w:i/>
                <w:iCs/>
              </w:rPr>
              <w:t xml:space="preserve">it is unnecessary to refer to the UE info for the PDTQ policy negotiation. </w:t>
            </w:r>
          </w:p>
          <w:p w14:paraId="3C34F43E" w14:textId="77777777" w:rsidR="00F14376" w:rsidRPr="00F14376" w:rsidRDefault="00F14376" w:rsidP="00B44373">
            <w:pPr>
              <w:spacing w:before="120" w:after="120"/>
              <w:rPr>
                <w:rFonts w:asciiTheme="minorHAnsi" w:hAnsiTheme="minorHAnsi" w:cstheme="minorHAnsi"/>
                <w:b/>
                <w:bCs/>
                <w:i/>
                <w:iCs/>
              </w:rPr>
            </w:pPr>
            <w:r w:rsidRPr="00F14376">
              <w:rPr>
                <w:rFonts w:asciiTheme="minorHAnsi" w:hAnsiTheme="minorHAnsi" w:cstheme="minorHAnsi"/>
                <w:b/>
                <w:bCs/>
                <w:i/>
                <w:iCs/>
              </w:rPr>
              <w:t xml:space="preserve">Next Step: </w:t>
            </w:r>
          </w:p>
          <w:p w14:paraId="0DD771E9" w14:textId="2451BE51" w:rsidR="00F14376" w:rsidRPr="00F14376" w:rsidRDefault="00F14376" w:rsidP="00F14376">
            <w:pPr>
              <w:pStyle w:val="ListParagraph"/>
              <w:numPr>
                <w:ilvl w:val="0"/>
                <w:numId w:val="14"/>
              </w:numPr>
              <w:spacing w:before="120" w:after="120"/>
              <w:rPr>
                <w:rFonts w:asciiTheme="minorHAnsi" w:hAnsiTheme="minorHAnsi" w:cstheme="minorHAnsi"/>
                <w:i/>
                <w:iCs/>
              </w:rPr>
            </w:pPr>
            <w:r>
              <w:rPr>
                <w:rFonts w:asciiTheme="minorHAnsi" w:hAnsiTheme="minorHAnsi" w:cstheme="minorHAnsi"/>
                <w:i/>
                <w:iCs/>
              </w:rPr>
              <w:t xml:space="preserve">Due to lack of time, OPPO prefers to have further discussion offline because in certain scenario, the AoI info may not used and therefore, the UE info could be needed. </w:t>
            </w:r>
          </w:p>
        </w:tc>
      </w:tr>
    </w:tbl>
    <w:p w14:paraId="4C3A1D68" w14:textId="77777777" w:rsidR="00117DF1" w:rsidRDefault="00117DF1" w:rsidP="00117DF1"/>
    <w:p w14:paraId="520706E9" w14:textId="77777777" w:rsidR="005C20CB" w:rsidRDefault="005C20CB" w:rsidP="005C20CB">
      <w:pPr>
        <w:numPr>
          <w:ilvl w:val="3"/>
          <w:numId w:val="7"/>
        </w:numPr>
        <w:ind w:left="900"/>
      </w:pPr>
      <w:r>
        <w:rPr>
          <w:rFonts w:ascii="Calibri" w:hAnsi="Calibri"/>
          <w:i/>
          <w:iCs/>
          <w:color w:val="0070C0"/>
          <w:sz w:val="26"/>
          <w:szCs w:val="26"/>
          <w:lang w:eastAsia="en-US"/>
        </w:rPr>
        <w:t xml:space="preserve">Determine how to apply and revoke the PDTQ policy to UE </w:t>
      </w:r>
      <w:r>
        <w:rPr>
          <w:rFonts w:ascii="Calibri" w:hAnsi="Calibri"/>
          <w:b/>
          <w:bCs/>
          <w:i/>
          <w:iCs/>
          <w:sz w:val="26"/>
          <w:szCs w:val="26"/>
          <w:lang w:eastAsia="en-US"/>
        </w:rPr>
        <w:t>(Host: Tricci)</w:t>
      </w:r>
    </w:p>
    <w:p w14:paraId="72A0F315" w14:textId="7F6CC197" w:rsidR="005C20CB" w:rsidRPr="00117DF1" w:rsidRDefault="005C20CB" w:rsidP="005C20CB">
      <w:pPr>
        <w:numPr>
          <w:ilvl w:val="4"/>
          <w:numId w:val="7"/>
        </w:numPr>
        <w:ind w:left="1260"/>
        <w:rPr>
          <w:rStyle w:val="Hyperlink"/>
          <w:color w:val="auto"/>
          <w:u w:val="none"/>
        </w:rPr>
      </w:pPr>
      <w:r>
        <w:rPr>
          <w:rFonts w:ascii="Calibri" w:hAnsi="Calibri"/>
          <w:i/>
          <w:iCs/>
          <w:color w:val="0070C0"/>
          <w:sz w:val="26"/>
          <w:szCs w:val="26"/>
          <w:lang w:val="en-GB" w:eastAsia="en-US"/>
        </w:rPr>
        <w:t xml:space="preserve">Tdoc reference: </w:t>
      </w:r>
      <w:hyperlink r:id="rId17" w:history="1">
        <w:r>
          <w:rPr>
            <w:rStyle w:val="Hyperlink"/>
            <w:rFonts w:ascii="Calibri" w:hAnsi="Calibri"/>
            <w:i/>
            <w:iCs/>
            <w:sz w:val="26"/>
            <w:szCs w:val="26"/>
            <w:lang w:val="en-GB" w:eastAsia="en-US"/>
          </w:rPr>
          <w:t>S2-2301582</w:t>
        </w:r>
      </w:hyperlink>
    </w:p>
    <w:p w14:paraId="0A4BA9C1" w14:textId="13BC1A2C" w:rsidR="00117DF1" w:rsidRDefault="00117DF1" w:rsidP="00117DF1"/>
    <w:tbl>
      <w:tblPr>
        <w:tblStyle w:val="TableGrid"/>
        <w:tblW w:w="0" w:type="auto"/>
        <w:tblLook w:val="04A0" w:firstRow="1" w:lastRow="0" w:firstColumn="1" w:lastColumn="0" w:noHBand="0" w:noVBand="1"/>
      </w:tblPr>
      <w:tblGrid>
        <w:gridCol w:w="9350"/>
      </w:tblGrid>
      <w:tr w:rsidR="00117DF1" w14:paraId="0C32DE1A" w14:textId="77777777" w:rsidTr="00117DF1">
        <w:tc>
          <w:tcPr>
            <w:tcW w:w="9350" w:type="dxa"/>
          </w:tcPr>
          <w:p w14:paraId="3C00BE41" w14:textId="77777777" w:rsidR="00B44373" w:rsidRDefault="00B44373" w:rsidP="00B44373">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52B4B07A" w14:textId="77777777" w:rsidR="00117DF1" w:rsidRDefault="00555504" w:rsidP="00B44373">
            <w:pPr>
              <w:spacing w:before="120" w:after="120"/>
              <w:rPr>
                <w:rFonts w:ascii="Calibri" w:hAnsi="Calibri"/>
                <w:i/>
                <w:iCs/>
              </w:rPr>
            </w:pPr>
            <w:r>
              <w:rPr>
                <w:rFonts w:ascii="Calibri" w:hAnsi="Calibri"/>
                <w:b/>
                <w:bCs/>
                <w:i/>
                <w:iCs/>
              </w:rPr>
              <w:t>Ericsson</w:t>
            </w:r>
            <w:r w:rsidR="00B44373" w:rsidRPr="00A41135">
              <w:rPr>
                <w:rFonts w:ascii="Calibri" w:hAnsi="Calibri"/>
                <w:b/>
                <w:bCs/>
                <w:i/>
                <w:iCs/>
              </w:rPr>
              <w:t>:</w:t>
            </w:r>
            <w:r w:rsidR="00B44373">
              <w:rPr>
                <w:rFonts w:ascii="Calibri" w:hAnsi="Calibri"/>
                <w:i/>
                <w:iCs/>
              </w:rPr>
              <w:t xml:space="preserve"> </w:t>
            </w:r>
            <w:r>
              <w:rPr>
                <w:rFonts w:ascii="Calibri" w:hAnsi="Calibri"/>
                <w:i/>
                <w:iCs/>
              </w:rPr>
              <w:t xml:space="preserve">For applying the PDTQ policy, the existing AF session procedure should be sufficient. As for revoking the PDTQ policy, Ericsson is open for further discussions.  </w:t>
            </w:r>
          </w:p>
          <w:p w14:paraId="2078F706" w14:textId="77777777" w:rsidR="00555504" w:rsidRDefault="00555504" w:rsidP="00B44373">
            <w:pPr>
              <w:spacing w:before="120" w:after="120"/>
              <w:rPr>
                <w:rFonts w:asciiTheme="minorHAnsi" w:hAnsiTheme="minorHAnsi" w:cstheme="minorHAnsi"/>
                <w:i/>
                <w:iCs/>
              </w:rPr>
            </w:pPr>
            <w:r w:rsidRPr="00555504">
              <w:rPr>
                <w:rFonts w:asciiTheme="minorHAnsi" w:hAnsiTheme="minorHAnsi" w:cstheme="minorHAnsi"/>
                <w:b/>
                <w:bCs/>
                <w:i/>
                <w:iCs/>
              </w:rPr>
              <w:t xml:space="preserve">Huawei: </w:t>
            </w:r>
            <w:r w:rsidR="00D116F7" w:rsidRPr="00D116F7">
              <w:rPr>
                <w:rFonts w:asciiTheme="minorHAnsi" w:hAnsiTheme="minorHAnsi" w:cstheme="minorHAnsi"/>
                <w:i/>
                <w:iCs/>
              </w:rPr>
              <w:t>From Huawei’s perspective,</w:t>
            </w:r>
            <w:r w:rsidR="00D116F7">
              <w:rPr>
                <w:rFonts w:asciiTheme="minorHAnsi" w:hAnsiTheme="minorHAnsi" w:cstheme="minorHAnsi"/>
                <w:b/>
                <w:bCs/>
                <w:i/>
                <w:iCs/>
              </w:rPr>
              <w:t xml:space="preserve"> </w:t>
            </w:r>
            <w:r w:rsidR="00D116F7" w:rsidRPr="00A91160">
              <w:rPr>
                <w:rFonts w:asciiTheme="minorHAnsi" w:hAnsiTheme="minorHAnsi" w:cstheme="minorHAnsi"/>
                <w:i/>
                <w:iCs/>
              </w:rPr>
              <w:t>unlike BDT policy which supports charging, the PDTQ policy is just for recommendation to the AF for when to send the traffic corresponding to the desired QoS</w:t>
            </w:r>
            <w:r w:rsidR="00A91160">
              <w:rPr>
                <w:rFonts w:asciiTheme="minorHAnsi" w:hAnsiTheme="minorHAnsi" w:cstheme="minorHAnsi"/>
                <w:i/>
                <w:iCs/>
              </w:rPr>
              <w:t xml:space="preserve"> for the group of UE</w:t>
            </w:r>
            <w:r w:rsidR="00D116F7" w:rsidRPr="00A91160">
              <w:rPr>
                <w:rFonts w:asciiTheme="minorHAnsi" w:hAnsiTheme="minorHAnsi" w:cstheme="minorHAnsi"/>
                <w:i/>
                <w:iCs/>
              </w:rPr>
              <w:t xml:space="preserve">.   </w:t>
            </w:r>
            <w:r w:rsidR="00A91160" w:rsidRPr="00A91160">
              <w:rPr>
                <w:rFonts w:asciiTheme="minorHAnsi" w:hAnsiTheme="minorHAnsi" w:cstheme="minorHAnsi"/>
                <w:i/>
                <w:iCs/>
              </w:rPr>
              <w:t>Hence, there is no need for revocation of the PDTQ policy since it is not tied to specific charging or accounting</w:t>
            </w:r>
            <w:r w:rsidR="00A91160">
              <w:rPr>
                <w:rFonts w:asciiTheme="minorHAnsi" w:hAnsiTheme="minorHAnsi" w:cstheme="minorHAnsi"/>
                <w:i/>
                <w:iCs/>
              </w:rPr>
              <w:t xml:space="preserve">.   </w:t>
            </w:r>
          </w:p>
          <w:p w14:paraId="4911D2A1" w14:textId="77777777" w:rsidR="00F14376" w:rsidRDefault="00F14376" w:rsidP="00B44373">
            <w:pPr>
              <w:spacing w:before="120" w:after="120"/>
              <w:rPr>
                <w:rFonts w:asciiTheme="minorHAnsi" w:hAnsiTheme="minorHAnsi" w:cstheme="minorHAnsi"/>
                <w:b/>
                <w:bCs/>
                <w:i/>
                <w:iCs/>
              </w:rPr>
            </w:pPr>
            <w:r>
              <w:rPr>
                <w:rFonts w:asciiTheme="minorHAnsi" w:hAnsiTheme="minorHAnsi" w:cstheme="minorHAnsi"/>
                <w:b/>
                <w:bCs/>
                <w:i/>
                <w:iCs/>
              </w:rPr>
              <w:t xml:space="preserve">Next Step: </w:t>
            </w:r>
          </w:p>
          <w:p w14:paraId="2DFADE67" w14:textId="6E70BB36" w:rsidR="00F14376" w:rsidRPr="00F14376" w:rsidRDefault="00F14376" w:rsidP="00F14376">
            <w:pPr>
              <w:pStyle w:val="ListParagraph"/>
              <w:numPr>
                <w:ilvl w:val="0"/>
                <w:numId w:val="14"/>
              </w:numPr>
              <w:spacing w:before="120" w:after="120"/>
              <w:rPr>
                <w:rFonts w:asciiTheme="minorHAnsi" w:hAnsiTheme="minorHAnsi" w:cstheme="minorHAnsi"/>
                <w:i/>
                <w:iCs/>
              </w:rPr>
            </w:pPr>
            <w:r w:rsidRPr="00F14376">
              <w:rPr>
                <w:rFonts w:asciiTheme="minorHAnsi" w:hAnsiTheme="minorHAnsi" w:cstheme="minorHAnsi"/>
                <w:i/>
                <w:iCs/>
              </w:rPr>
              <w:t xml:space="preserve">Due to lack of time, </w:t>
            </w:r>
            <w:r>
              <w:rPr>
                <w:rFonts w:asciiTheme="minorHAnsi" w:hAnsiTheme="minorHAnsi" w:cstheme="minorHAnsi"/>
                <w:i/>
                <w:iCs/>
              </w:rPr>
              <w:t xml:space="preserve">OPPO prefers to have further discussion offline.  Indeed that for Rel18, there is no discussion on how to associate the PDTQ policy with accounting.  However, in the future release, the accounting support would be needed as suggested by AT&amp;T during the KI#6 discussions. </w:t>
            </w:r>
          </w:p>
        </w:tc>
      </w:tr>
    </w:tbl>
    <w:p w14:paraId="3244C148" w14:textId="77777777" w:rsidR="00117DF1" w:rsidRDefault="00117DF1" w:rsidP="00117DF1"/>
    <w:p w14:paraId="239A4FB0" w14:textId="77777777" w:rsidR="005C20CB" w:rsidRDefault="005C20CB" w:rsidP="005C20CB">
      <w:pPr>
        <w:ind w:left="1260"/>
      </w:pPr>
      <w:r>
        <w:rPr>
          <w:rFonts w:ascii="Calibri" w:hAnsi="Calibri"/>
          <w:i/>
          <w:iCs/>
          <w:sz w:val="26"/>
          <w:szCs w:val="26"/>
          <w:lang w:eastAsia="en-US"/>
        </w:rPr>
        <w:t> </w:t>
      </w:r>
    </w:p>
    <w:p w14:paraId="71EFCB81" w14:textId="77777777" w:rsidR="005C20CB" w:rsidRDefault="005C20CB" w:rsidP="005C20CB">
      <w:pPr>
        <w:numPr>
          <w:ilvl w:val="0"/>
          <w:numId w:val="7"/>
        </w:numPr>
        <w:ind w:left="360"/>
      </w:pPr>
      <w:r>
        <w:rPr>
          <w:rFonts w:ascii="Calibri" w:hAnsi="Calibri"/>
          <w:b/>
          <w:bCs/>
          <w:i/>
          <w:iCs/>
          <w:sz w:val="26"/>
          <w:szCs w:val="26"/>
          <w:lang w:eastAsia="en-US"/>
        </w:rPr>
        <w:t xml:space="preserve">KI#6: </w:t>
      </w:r>
      <w:r>
        <w:rPr>
          <w:rFonts w:ascii="Calibri" w:hAnsi="Calibri"/>
          <w:b/>
          <w:bCs/>
          <w:i/>
          <w:iCs/>
          <w:sz w:val="26"/>
          <w:szCs w:val="26"/>
          <w:lang w:val="en-GB" w:eastAsia="en-US"/>
        </w:rPr>
        <w:t xml:space="preserve">QoS and Policy enhancement </w:t>
      </w:r>
    </w:p>
    <w:p w14:paraId="175F1963" w14:textId="77777777" w:rsidR="005C20CB" w:rsidRDefault="005C20CB" w:rsidP="005C20CB">
      <w:r>
        <w:rPr>
          <w:rFonts w:ascii="Calibri" w:hAnsi="Calibri"/>
          <w:b/>
          <w:bCs/>
          <w:i/>
          <w:iCs/>
          <w:sz w:val="26"/>
          <w:szCs w:val="26"/>
          <w:lang w:val="en-GB" w:eastAsia="en-US"/>
        </w:rPr>
        <w:t xml:space="preserve">Next Steps: </w:t>
      </w:r>
    </w:p>
    <w:p w14:paraId="365DB8D1" w14:textId="77777777" w:rsidR="005C20CB" w:rsidRPr="005C20CB" w:rsidRDefault="005C20CB" w:rsidP="005C20CB">
      <w:pPr>
        <w:numPr>
          <w:ilvl w:val="3"/>
          <w:numId w:val="8"/>
        </w:numPr>
        <w:ind w:left="900"/>
      </w:pPr>
      <w:r>
        <w:rPr>
          <w:rFonts w:ascii="Calibri" w:hAnsi="Calibri"/>
          <w:i/>
          <w:iCs/>
          <w:color w:val="0070C0"/>
          <w:sz w:val="26"/>
          <w:szCs w:val="26"/>
          <w:lang w:val="en-GB" w:eastAsia="en-US"/>
        </w:rPr>
        <w:t>Discuss and conclude whether new 5QI is needed, awaiting SA1 response on clarifications on 22.261 KPI values</w:t>
      </w:r>
      <w:r>
        <w:rPr>
          <w:rFonts w:ascii="Calibri" w:hAnsi="Calibri"/>
          <w:i/>
          <w:iCs/>
          <w:color w:val="1F497D"/>
          <w:sz w:val="26"/>
          <w:szCs w:val="26"/>
          <w:lang w:val="en-GB" w:eastAsia="en-US"/>
        </w:rPr>
        <w:t xml:space="preserve">. </w:t>
      </w:r>
      <w:r>
        <w:rPr>
          <w:rFonts w:ascii="Calibri" w:hAnsi="Calibri"/>
          <w:i/>
          <w:iCs/>
          <w:color w:val="7030A0"/>
          <w:sz w:val="26"/>
          <w:szCs w:val="26"/>
          <w:lang w:val="en-GB" w:eastAsia="en-US"/>
        </w:rPr>
        <w:t xml:space="preserve">Discuss Editor’s Note in S2-2301580 on AIML traffic detection </w:t>
      </w:r>
      <w:r>
        <w:rPr>
          <w:rFonts w:ascii="Calibri" w:hAnsi="Calibri"/>
          <w:b/>
          <w:bCs/>
          <w:i/>
          <w:iCs/>
          <w:sz w:val="26"/>
          <w:szCs w:val="26"/>
          <w:lang w:eastAsia="en-US"/>
        </w:rPr>
        <w:t>(Host: David)</w:t>
      </w:r>
    </w:p>
    <w:p w14:paraId="4487F933" w14:textId="77777777" w:rsidR="005C20CB" w:rsidRPr="005C20CB" w:rsidRDefault="00000000" w:rsidP="005C20CB">
      <w:pPr>
        <w:pStyle w:val="ListParagraph"/>
        <w:numPr>
          <w:ilvl w:val="1"/>
          <w:numId w:val="8"/>
        </w:numPr>
        <w:ind w:left="1260"/>
        <w:rPr>
          <w:rFonts w:ascii="Calibri" w:hAnsi="Calibri"/>
          <w:color w:val="1F497D"/>
          <w:lang w:val="en-GB" w:eastAsia="en-US"/>
        </w:rPr>
      </w:pPr>
      <w:hyperlink r:id="rId18" w:history="1">
        <w:r w:rsidR="005C20CB" w:rsidRPr="005C20CB">
          <w:rPr>
            <w:rStyle w:val="Hyperlink"/>
            <w:rFonts w:ascii="Calibri" w:hAnsi="Calibri"/>
            <w:lang w:val="en-GB" w:eastAsia="en-US"/>
          </w:rPr>
          <w:t>https://www.3gpp.org/ftp/tsg_sa/WG2_Arch/TSGS2_155_Athens_2023-02/INBOX/DRAFTS/AIMLsys/AIMLsysKI6_AIML%20traffic%20detection%20and%205QI%20related%20issues.ppt</w:t>
        </w:r>
        <w:r w:rsidR="005C20CB" w:rsidRPr="005C20CB">
          <w:rPr>
            <w:rStyle w:val="Hyperlink"/>
            <w:rFonts w:ascii="Calibri" w:hAnsi="Calibri"/>
            <w:lang w:val="en-GB" w:eastAsia="en-US"/>
          </w:rPr>
          <w:t>x</w:t>
        </w:r>
      </w:hyperlink>
      <w:r w:rsidR="005C20CB" w:rsidRPr="005C20CB">
        <w:rPr>
          <w:rFonts w:ascii="Calibri" w:hAnsi="Calibri"/>
          <w:color w:val="1F497D"/>
          <w:lang w:val="en-GB" w:eastAsia="en-US"/>
        </w:rPr>
        <w:t xml:space="preserve"> </w:t>
      </w:r>
    </w:p>
    <w:p w14:paraId="2F6FFA1C" w14:textId="27801192" w:rsidR="005C20CB" w:rsidRDefault="005C20CB" w:rsidP="005C20CB">
      <w:pPr>
        <w:pStyle w:val="ListParagraph"/>
        <w:ind w:left="900"/>
        <w:rPr>
          <w:rFonts w:ascii="Calibri" w:hAnsi="Calibri"/>
          <w:color w:val="1F497D"/>
          <w:sz w:val="22"/>
          <w:szCs w:val="22"/>
          <w:lang w:val="en-GB" w:eastAsia="en-US"/>
        </w:rPr>
      </w:pPr>
    </w:p>
    <w:tbl>
      <w:tblPr>
        <w:tblStyle w:val="TableGrid"/>
        <w:tblW w:w="0" w:type="auto"/>
        <w:tblInd w:w="85" w:type="dxa"/>
        <w:tblLook w:val="04A0" w:firstRow="1" w:lastRow="0" w:firstColumn="1" w:lastColumn="0" w:noHBand="0" w:noVBand="1"/>
      </w:tblPr>
      <w:tblGrid>
        <w:gridCol w:w="9265"/>
      </w:tblGrid>
      <w:tr w:rsidR="001501FB" w:rsidRPr="000C62CB" w14:paraId="49C44042" w14:textId="77777777" w:rsidTr="001501FB">
        <w:tc>
          <w:tcPr>
            <w:tcW w:w="9265" w:type="dxa"/>
          </w:tcPr>
          <w:p w14:paraId="59C67CCE" w14:textId="77777777" w:rsidR="0071763F" w:rsidRDefault="0071763F" w:rsidP="0071763F">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0F796D9A" w14:textId="6E472228" w:rsidR="001501FB" w:rsidRDefault="00D2679B" w:rsidP="0071763F">
            <w:pPr>
              <w:pStyle w:val="ListParagraph"/>
              <w:spacing w:before="120" w:after="120"/>
              <w:ind w:left="-29"/>
              <w:contextualSpacing w:val="0"/>
              <w:rPr>
                <w:rFonts w:ascii="Calibri" w:hAnsi="Calibri"/>
                <w:i/>
                <w:iCs/>
              </w:rPr>
            </w:pPr>
            <w:r>
              <w:rPr>
                <w:rFonts w:ascii="Calibri" w:hAnsi="Calibri"/>
                <w:b/>
                <w:bCs/>
                <w:i/>
                <w:iCs/>
              </w:rPr>
              <w:t>Samsung</w:t>
            </w:r>
            <w:r w:rsidR="0071763F" w:rsidRPr="00A41135">
              <w:rPr>
                <w:rFonts w:ascii="Calibri" w:hAnsi="Calibri"/>
                <w:b/>
                <w:bCs/>
                <w:i/>
                <w:iCs/>
              </w:rPr>
              <w:t>:</w:t>
            </w:r>
            <w:r w:rsidR="0071763F">
              <w:rPr>
                <w:rFonts w:ascii="Calibri" w:hAnsi="Calibri"/>
                <w:i/>
                <w:iCs/>
              </w:rPr>
              <w:t xml:space="preserve"> Trying</w:t>
            </w:r>
            <w:r w:rsidR="0071763F">
              <w:rPr>
                <w:rFonts w:ascii="Calibri" w:hAnsi="Calibri"/>
                <w:i/>
                <w:iCs/>
              </w:rPr>
              <w:t xml:space="preserve"> to justify why the new 5QI(s) are needed based on the SA1’s requirement. </w:t>
            </w:r>
          </w:p>
          <w:p w14:paraId="3E47E712" w14:textId="2F546AC2" w:rsidR="0071763F" w:rsidRDefault="00B62CF2" w:rsidP="0071763F">
            <w:pPr>
              <w:pStyle w:val="ListParagraph"/>
              <w:spacing w:before="120" w:after="120"/>
              <w:ind w:left="-29"/>
              <w:contextualSpacing w:val="0"/>
              <w:rPr>
                <w:rFonts w:ascii="Calibri" w:hAnsi="Calibri"/>
                <w:i/>
                <w:iCs/>
              </w:rPr>
            </w:pPr>
            <w:r>
              <w:rPr>
                <w:rFonts w:ascii="Calibri" w:hAnsi="Calibri"/>
                <w:b/>
                <w:bCs/>
                <w:i/>
                <w:iCs/>
              </w:rPr>
              <w:t xml:space="preserve">AT&amp;T: </w:t>
            </w:r>
            <w:r w:rsidRPr="00B62CF2">
              <w:rPr>
                <w:rFonts w:ascii="Calibri" w:hAnsi="Calibri"/>
                <w:i/>
                <w:iCs/>
              </w:rPr>
              <w:t>Suggesting that</w:t>
            </w:r>
            <w:r>
              <w:rPr>
                <w:rFonts w:ascii="Calibri" w:hAnsi="Calibri"/>
                <w:i/>
                <w:iCs/>
              </w:rPr>
              <w:t xml:space="preserve"> unless all AIML traffic belongs to the “same” 5QI, otherwise, it would be difficult to introduce new 5QI. </w:t>
            </w:r>
            <w:r w:rsidR="006D148A">
              <w:rPr>
                <w:rFonts w:ascii="Calibri" w:hAnsi="Calibri"/>
                <w:i/>
                <w:iCs/>
              </w:rPr>
              <w:t xml:space="preserve">From AT&amp;T perspective, there will be different types of AIMLsys which will different QoS profile.  </w:t>
            </w:r>
          </w:p>
          <w:p w14:paraId="4DD5D135" w14:textId="0FAEADD4" w:rsidR="00B62CF2" w:rsidRDefault="003E0C3A" w:rsidP="0071763F">
            <w:pPr>
              <w:pStyle w:val="ListParagraph"/>
              <w:spacing w:before="120" w:after="120"/>
              <w:ind w:left="-29"/>
              <w:contextualSpacing w:val="0"/>
              <w:rPr>
                <w:rFonts w:ascii="Calibri" w:hAnsi="Calibri"/>
                <w:color w:val="1F497D"/>
                <w:sz w:val="22"/>
                <w:szCs w:val="22"/>
                <w:lang w:val="en-GB" w:eastAsia="en-US"/>
              </w:rPr>
            </w:pPr>
            <w:r>
              <w:rPr>
                <w:rFonts w:ascii="Calibri" w:hAnsi="Calibri"/>
                <w:b/>
                <w:bCs/>
                <w:i/>
                <w:iCs/>
              </w:rPr>
              <w:t>Huawei</w:t>
            </w:r>
            <w:r>
              <w:rPr>
                <w:rFonts w:ascii="Calibri" w:hAnsi="Calibri"/>
                <w:b/>
                <w:bCs/>
                <w:i/>
                <w:iCs/>
              </w:rPr>
              <w:t xml:space="preserve">: </w:t>
            </w:r>
            <w:r w:rsidR="00082943" w:rsidRPr="00082943">
              <w:rPr>
                <w:rFonts w:ascii="Calibri" w:hAnsi="Calibri"/>
                <w:i/>
                <w:iCs/>
              </w:rPr>
              <w:t>Disagreeing</w:t>
            </w:r>
            <w:r w:rsidR="003F6528" w:rsidRPr="003F6528">
              <w:rPr>
                <w:rFonts w:ascii="Calibri" w:hAnsi="Calibri"/>
                <w:i/>
                <w:iCs/>
              </w:rPr>
              <w:t xml:space="preserve"> </w:t>
            </w:r>
            <w:r w:rsidR="00082943">
              <w:rPr>
                <w:rFonts w:ascii="Calibri" w:hAnsi="Calibri"/>
                <w:i/>
                <w:iCs/>
              </w:rPr>
              <w:t>on the</w:t>
            </w:r>
            <w:r w:rsidR="00D2679B">
              <w:rPr>
                <w:rFonts w:ascii="Calibri" w:hAnsi="Calibri"/>
                <w:i/>
                <w:iCs/>
              </w:rPr>
              <w:t xml:space="preserve"> Samsung</w:t>
            </w:r>
            <w:r w:rsidR="00082943">
              <w:rPr>
                <w:rFonts w:ascii="Calibri" w:hAnsi="Calibri"/>
                <w:i/>
                <w:iCs/>
              </w:rPr>
              <w:t xml:space="preserve">’s argument for the need of 5QI to support the traffic detection for the AI/ML traffic.   </w:t>
            </w:r>
            <w:r w:rsidR="003F6528">
              <w:rPr>
                <w:rFonts w:ascii="Calibri" w:hAnsi="Calibri"/>
                <w:i/>
                <w:iCs/>
              </w:rPr>
              <w:t xml:space="preserve">Traffic detection is based on pre-defined traffic filter.  </w:t>
            </w:r>
            <w:r w:rsidR="00D2679B">
              <w:rPr>
                <w:rFonts w:ascii="Calibri" w:hAnsi="Calibri"/>
                <w:i/>
                <w:iCs/>
              </w:rPr>
              <w:t>In the context of AIMLsys for traffic detection, the required traffic filter</w:t>
            </w:r>
            <w:r w:rsidR="00DB42F0">
              <w:rPr>
                <w:rFonts w:ascii="Calibri" w:hAnsi="Calibri"/>
                <w:i/>
                <w:iCs/>
              </w:rPr>
              <w:t xml:space="preserve"> (e.g. DPI)</w:t>
            </w:r>
            <w:r w:rsidR="00D2679B">
              <w:rPr>
                <w:rFonts w:ascii="Calibri" w:hAnsi="Calibri"/>
                <w:i/>
                <w:iCs/>
              </w:rPr>
              <w:t xml:space="preserve"> </w:t>
            </w:r>
            <w:r w:rsidR="003202F0">
              <w:rPr>
                <w:rFonts w:ascii="Calibri" w:hAnsi="Calibri"/>
                <w:i/>
                <w:iCs/>
              </w:rPr>
              <w:t xml:space="preserve">to be used for traffic detection and charging </w:t>
            </w:r>
            <w:r w:rsidR="00082943">
              <w:rPr>
                <w:rFonts w:ascii="Calibri" w:hAnsi="Calibri"/>
                <w:i/>
                <w:iCs/>
              </w:rPr>
              <w:t xml:space="preserve">can be defined without the dependency of new 5QI.   The new 5QI, if required, for the AIML traffic, it should be based on the traffic </w:t>
            </w:r>
            <w:r w:rsidR="00FC462E">
              <w:rPr>
                <w:rFonts w:ascii="Calibri" w:hAnsi="Calibri"/>
                <w:i/>
                <w:iCs/>
              </w:rPr>
              <w:t>characteristic</w:t>
            </w:r>
            <w:r w:rsidR="00082943">
              <w:rPr>
                <w:rFonts w:ascii="Calibri" w:hAnsi="Calibri"/>
                <w:i/>
                <w:iCs/>
              </w:rPr>
              <w:t xml:space="preserve"> and not due to supporting traffic detection.  </w:t>
            </w:r>
            <w:r w:rsidR="00D2679B">
              <w:rPr>
                <w:rFonts w:ascii="Calibri" w:hAnsi="Calibri"/>
                <w:i/>
                <w:iCs/>
              </w:rPr>
              <w:t xml:space="preserve"> </w:t>
            </w:r>
            <w:r w:rsidR="003F6528" w:rsidRPr="003F6528">
              <w:rPr>
                <w:rFonts w:ascii="Calibri" w:hAnsi="Calibri"/>
                <w:color w:val="1F497D"/>
                <w:sz w:val="22"/>
                <w:szCs w:val="22"/>
                <w:lang w:val="en-GB" w:eastAsia="en-US"/>
              </w:rPr>
              <w:t xml:space="preserve"> </w:t>
            </w:r>
          </w:p>
          <w:p w14:paraId="27098735" w14:textId="77777777" w:rsidR="00EA308E" w:rsidRDefault="00EA308E" w:rsidP="0071763F">
            <w:pPr>
              <w:pStyle w:val="ListParagraph"/>
              <w:spacing w:before="120" w:after="120"/>
              <w:ind w:left="-29"/>
              <w:contextualSpacing w:val="0"/>
              <w:rPr>
                <w:rFonts w:ascii="Calibri" w:hAnsi="Calibri"/>
                <w:i/>
                <w:iCs/>
                <w:lang w:val="en-GB" w:eastAsia="en-US"/>
              </w:rPr>
            </w:pPr>
            <w:r>
              <w:rPr>
                <w:rFonts w:ascii="Calibri" w:hAnsi="Calibri"/>
                <w:b/>
                <w:bCs/>
                <w:i/>
                <w:iCs/>
              </w:rPr>
              <w:t>OPPO:</w:t>
            </w:r>
            <w:r>
              <w:rPr>
                <w:rFonts w:ascii="Calibri" w:hAnsi="Calibri"/>
                <w:color w:val="1F497D"/>
                <w:sz w:val="22"/>
                <w:szCs w:val="22"/>
                <w:lang w:val="en-GB" w:eastAsia="en-US"/>
              </w:rPr>
              <w:t xml:space="preserve"> </w:t>
            </w:r>
            <w:r w:rsidRPr="00EA308E">
              <w:rPr>
                <w:rFonts w:ascii="Calibri" w:hAnsi="Calibri"/>
                <w:i/>
                <w:iCs/>
                <w:lang w:val="en-GB" w:eastAsia="en-US"/>
              </w:rPr>
              <w:t>Comment</w:t>
            </w:r>
            <w:r>
              <w:rPr>
                <w:rFonts w:ascii="Calibri" w:hAnsi="Calibri"/>
                <w:i/>
                <w:iCs/>
                <w:lang w:val="en-GB" w:eastAsia="en-US"/>
              </w:rPr>
              <w:t xml:space="preserve">ing on the considerations whether the training data set to have same 5QI or not?  For AIMLsys in R18, there are three main types of AIML operation – Model splitting, Model downloading and FL.   From OPPO’s perspective, Model downloading and FL could have the same 5QI because they both transfer data models.  But for the Model splitting, the </w:t>
            </w:r>
            <w:r>
              <w:rPr>
                <w:rFonts w:ascii="Calibri" w:hAnsi="Calibri"/>
                <w:i/>
                <w:iCs/>
                <w:lang w:val="en-GB" w:eastAsia="en-US"/>
              </w:rPr>
              <w:lastRenderedPageBreak/>
              <w:t xml:space="preserve">operation is used to influence the training result and hence, it should belong to different 5QI.  Therefore, at least two types of 5QIs may be needed.  </w:t>
            </w:r>
          </w:p>
          <w:p w14:paraId="255BEC3A" w14:textId="627DC04A" w:rsidR="00D457E3" w:rsidRDefault="00D457E3" w:rsidP="0071763F">
            <w:pPr>
              <w:pStyle w:val="ListParagraph"/>
              <w:spacing w:before="120" w:after="120"/>
              <w:ind w:left="-29"/>
              <w:contextualSpacing w:val="0"/>
              <w:rPr>
                <w:rFonts w:ascii="Calibri" w:hAnsi="Calibri"/>
                <w:i/>
                <w:iCs/>
                <w:lang w:val="en-GB" w:eastAsia="en-US"/>
              </w:rPr>
            </w:pPr>
            <w:r>
              <w:rPr>
                <w:rFonts w:ascii="Calibri" w:hAnsi="Calibri"/>
                <w:b/>
                <w:bCs/>
                <w:i/>
                <w:iCs/>
              </w:rPr>
              <w:t>AT&amp;T:</w:t>
            </w:r>
            <w:r>
              <w:rPr>
                <w:rFonts w:ascii="Calibri" w:hAnsi="Calibri"/>
                <w:color w:val="1F497D"/>
                <w:sz w:val="22"/>
                <w:szCs w:val="22"/>
                <w:lang w:val="en-GB" w:eastAsia="en-US"/>
              </w:rPr>
              <w:t xml:space="preserve"> </w:t>
            </w:r>
            <w:r w:rsidRPr="00D457E3">
              <w:rPr>
                <w:rFonts w:ascii="Calibri" w:hAnsi="Calibri"/>
                <w:i/>
                <w:iCs/>
                <w:lang w:val="en-GB" w:eastAsia="en-US"/>
              </w:rPr>
              <w:t xml:space="preserve">For the AIML </w:t>
            </w:r>
            <w:r>
              <w:rPr>
                <w:rFonts w:ascii="Calibri" w:hAnsi="Calibri"/>
                <w:i/>
                <w:iCs/>
                <w:lang w:val="en-GB" w:eastAsia="en-US"/>
              </w:rPr>
              <w:t xml:space="preserve">training data, the UE </w:t>
            </w:r>
            <w:r w:rsidR="004E7BAE">
              <w:rPr>
                <w:rFonts w:ascii="Calibri" w:hAnsi="Calibri"/>
                <w:i/>
                <w:iCs/>
                <w:lang w:val="en-GB" w:eastAsia="en-US"/>
              </w:rPr>
              <w:t>is</w:t>
            </w:r>
            <w:r>
              <w:rPr>
                <w:rFonts w:ascii="Calibri" w:hAnsi="Calibri"/>
                <w:i/>
                <w:iCs/>
                <w:lang w:val="en-GB" w:eastAsia="en-US"/>
              </w:rPr>
              <w:t xml:space="preserve"> not expected to be charged.  Hence, it is important to ensure the AIML traffic can be differentiated by accounting/charging so the user will not be charged falsely.  </w:t>
            </w:r>
          </w:p>
          <w:p w14:paraId="2E7170DB" w14:textId="77777777" w:rsidR="004E7BAE" w:rsidRDefault="000C62CB" w:rsidP="0071763F">
            <w:pPr>
              <w:pStyle w:val="ListParagraph"/>
              <w:spacing w:before="120" w:after="120"/>
              <w:ind w:left="-29"/>
              <w:contextualSpacing w:val="0"/>
              <w:rPr>
                <w:rFonts w:ascii="Calibri" w:hAnsi="Calibri"/>
                <w:i/>
                <w:iCs/>
              </w:rPr>
            </w:pPr>
            <w:r w:rsidRPr="000C62CB">
              <w:rPr>
                <w:rFonts w:ascii="Calibri" w:hAnsi="Calibri"/>
                <w:b/>
                <w:bCs/>
                <w:i/>
                <w:iCs/>
              </w:rPr>
              <w:t xml:space="preserve">Lenovo:  </w:t>
            </w:r>
            <w:r w:rsidRPr="000C62CB">
              <w:rPr>
                <w:rFonts w:ascii="Calibri" w:hAnsi="Calibri"/>
                <w:i/>
                <w:iCs/>
              </w:rPr>
              <w:t>From Lenovo’s perspective,</w:t>
            </w:r>
            <w:r w:rsidRPr="000C62CB">
              <w:rPr>
                <w:rFonts w:ascii="Calibri" w:hAnsi="Calibri"/>
                <w:b/>
                <w:bCs/>
                <w:i/>
                <w:iCs/>
              </w:rPr>
              <w:t xml:space="preserve"> </w:t>
            </w:r>
            <w:r w:rsidRPr="000C62CB">
              <w:rPr>
                <w:rFonts w:ascii="Calibri" w:hAnsi="Calibri"/>
                <w:i/>
                <w:iCs/>
              </w:rPr>
              <w:t xml:space="preserve">more than 2 5QIs are needed </w:t>
            </w:r>
            <w:r>
              <w:rPr>
                <w:rFonts w:ascii="Calibri" w:hAnsi="Calibri"/>
                <w:i/>
                <w:iCs/>
              </w:rPr>
              <w:t xml:space="preserve">because there could be different levels of splitting and </w:t>
            </w:r>
            <w:r w:rsidR="004E7BAE">
              <w:rPr>
                <w:rFonts w:ascii="Calibri" w:hAnsi="Calibri"/>
                <w:i/>
                <w:iCs/>
              </w:rPr>
              <w:t xml:space="preserve">also different size of model downloading.   </w:t>
            </w:r>
          </w:p>
          <w:p w14:paraId="1D611FA0" w14:textId="77777777" w:rsidR="00D457E3" w:rsidRDefault="004E7BAE" w:rsidP="004E7BAE">
            <w:pPr>
              <w:spacing w:before="120" w:after="120"/>
              <w:rPr>
                <w:rFonts w:ascii="Calibri" w:hAnsi="Calibri"/>
                <w:i/>
                <w:iCs/>
              </w:rPr>
            </w:pPr>
            <w:r w:rsidRPr="004E7BAE">
              <w:rPr>
                <w:rFonts w:ascii="Calibri" w:hAnsi="Calibri"/>
                <w:b/>
                <w:bCs/>
                <w:i/>
                <w:iCs/>
              </w:rPr>
              <w:t>Ericsson</w:t>
            </w:r>
            <w:r>
              <w:rPr>
                <w:rFonts w:ascii="Calibri" w:hAnsi="Calibri"/>
                <w:i/>
                <w:iCs/>
              </w:rPr>
              <w:t xml:space="preserve">: At this point, Ericsson has not seen anything particular special such that we need new 5QI.  </w:t>
            </w:r>
            <w:r w:rsidR="000C62CB" w:rsidRPr="004E7BAE">
              <w:rPr>
                <w:rFonts w:ascii="Calibri" w:hAnsi="Calibri"/>
                <w:i/>
                <w:iCs/>
              </w:rPr>
              <w:t xml:space="preserve"> </w:t>
            </w:r>
          </w:p>
          <w:p w14:paraId="1120D565" w14:textId="77777777" w:rsidR="00C25578" w:rsidRDefault="004E7BAE" w:rsidP="004E7BAE">
            <w:pPr>
              <w:spacing w:before="120" w:after="120"/>
              <w:rPr>
                <w:rFonts w:ascii="Calibri" w:hAnsi="Calibri"/>
                <w:i/>
                <w:iCs/>
              </w:rPr>
            </w:pPr>
            <w:r w:rsidRPr="004E7BAE">
              <w:rPr>
                <w:rFonts w:ascii="Calibri" w:hAnsi="Calibri"/>
                <w:b/>
                <w:bCs/>
                <w:i/>
                <w:iCs/>
              </w:rPr>
              <w:t xml:space="preserve">OPPO: </w:t>
            </w:r>
            <w:r w:rsidRPr="004E7BAE">
              <w:rPr>
                <w:rFonts w:ascii="Calibri" w:hAnsi="Calibri"/>
                <w:i/>
                <w:iCs/>
              </w:rPr>
              <w:t>It is certainly possible to detect the AIML traffic via traffic filters and mechanism of application traffic detection.  However, due to the nature of the AIML traffic, such kind of traffic detection would be extremely challenging because the traffic is likely encrypted</w:t>
            </w:r>
            <w:r>
              <w:rPr>
                <w:rFonts w:ascii="Calibri" w:hAnsi="Calibri"/>
                <w:b/>
                <w:bCs/>
                <w:i/>
                <w:iCs/>
              </w:rPr>
              <w:t xml:space="preserve"> </w:t>
            </w:r>
            <w:r w:rsidRPr="004E7BAE">
              <w:rPr>
                <w:rFonts w:ascii="Calibri" w:hAnsi="Calibri"/>
                <w:i/>
                <w:iCs/>
              </w:rPr>
              <w:t xml:space="preserve">and hence, it will </w:t>
            </w:r>
            <w:r>
              <w:rPr>
                <w:rFonts w:ascii="Calibri" w:hAnsi="Calibri"/>
                <w:i/>
                <w:iCs/>
              </w:rPr>
              <w:t xml:space="preserve">be </w:t>
            </w:r>
            <w:r w:rsidRPr="004E7BAE">
              <w:rPr>
                <w:rFonts w:ascii="Calibri" w:hAnsi="Calibri"/>
                <w:i/>
                <w:iCs/>
              </w:rPr>
              <w:t>difficult to detect accuratel</w:t>
            </w:r>
            <w:r w:rsidR="00F30998">
              <w:rPr>
                <w:rFonts w:ascii="Calibri" w:hAnsi="Calibri"/>
                <w:i/>
                <w:iCs/>
              </w:rPr>
              <w:t xml:space="preserve">y and may be evening processing intensive.  </w:t>
            </w:r>
            <w:r w:rsidR="005F6CEA">
              <w:rPr>
                <w:rFonts w:ascii="Calibri" w:hAnsi="Calibri"/>
                <w:i/>
                <w:iCs/>
              </w:rPr>
              <w:t xml:space="preserve">However, if dedicated 5QI is defined for the AIML traffic, it can not only meet the </w:t>
            </w:r>
            <w:r w:rsidR="00C25578">
              <w:rPr>
                <w:rFonts w:ascii="Calibri" w:hAnsi="Calibri"/>
                <w:i/>
                <w:iCs/>
              </w:rPr>
              <w:t xml:space="preserve">KPI </w:t>
            </w:r>
            <w:r w:rsidR="005F6CEA">
              <w:rPr>
                <w:rFonts w:ascii="Calibri" w:hAnsi="Calibri"/>
                <w:i/>
                <w:iCs/>
              </w:rPr>
              <w:t>requirement of the AIML traffic defined by SA1 because of the different traffic characteristic</w:t>
            </w:r>
            <w:r w:rsidR="00C25578">
              <w:rPr>
                <w:rFonts w:ascii="Calibri" w:hAnsi="Calibri"/>
                <w:i/>
                <w:iCs/>
              </w:rPr>
              <w:t xml:space="preserve">s and provide more efficiency for the traffic detection.   </w:t>
            </w:r>
          </w:p>
          <w:p w14:paraId="70682F7D" w14:textId="77777777" w:rsidR="004E7BAE" w:rsidRDefault="007A637F" w:rsidP="004E7BAE">
            <w:pPr>
              <w:spacing w:before="120" w:after="120"/>
              <w:rPr>
                <w:rFonts w:ascii="Calibri" w:hAnsi="Calibri"/>
                <w:i/>
                <w:iCs/>
              </w:rPr>
            </w:pPr>
            <w:r w:rsidRPr="00322AEE">
              <w:rPr>
                <w:rFonts w:ascii="Calibri" w:hAnsi="Calibri"/>
                <w:b/>
                <w:bCs/>
                <w:i/>
                <w:iCs/>
              </w:rPr>
              <w:t>Huawei:</w:t>
            </w:r>
            <w:r>
              <w:rPr>
                <w:rFonts w:ascii="Calibri" w:hAnsi="Calibri"/>
                <w:i/>
                <w:iCs/>
              </w:rPr>
              <w:t xml:space="preserve"> </w:t>
            </w:r>
            <w:r w:rsidR="005F6CEA">
              <w:rPr>
                <w:rFonts w:ascii="Calibri" w:hAnsi="Calibri"/>
                <w:i/>
                <w:iCs/>
              </w:rPr>
              <w:t xml:space="preserve"> </w:t>
            </w:r>
            <w:r>
              <w:rPr>
                <w:rFonts w:ascii="Calibri" w:hAnsi="Calibri"/>
                <w:i/>
                <w:iCs/>
              </w:rPr>
              <w:t xml:space="preserve">Commenting that, in order to assign the new 5QI, it must first able to detect the AIML traffic.  Hence, </w:t>
            </w:r>
            <w:r w:rsidR="00322AEE">
              <w:rPr>
                <w:rFonts w:ascii="Calibri" w:hAnsi="Calibri"/>
                <w:i/>
                <w:iCs/>
              </w:rPr>
              <w:t xml:space="preserve">either the proper traffic filters are defined or the AIML operation is defined as specific application so that, the application detection logic is defined for the AIML traffic.   </w:t>
            </w:r>
          </w:p>
          <w:p w14:paraId="6DB4BD04" w14:textId="4C6BC527" w:rsidR="00322AEE" w:rsidRPr="00322AEE" w:rsidRDefault="00322AEE" w:rsidP="004E7BAE">
            <w:pPr>
              <w:spacing w:before="120" w:after="120"/>
              <w:rPr>
                <w:rFonts w:ascii="Calibri" w:hAnsi="Calibri"/>
                <w:b/>
                <w:bCs/>
                <w:i/>
                <w:iCs/>
              </w:rPr>
            </w:pPr>
          </w:p>
        </w:tc>
      </w:tr>
    </w:tbl>
    <w:p w14:paraId="772EDD8A" w14:textId="5BF5DD42" w:rsidR="001501FB" w:rsidRPr="000C62CB" w:rsidRDefault="001501FB" w:rsidP="005C20CB">
      <w:pPr>
        <w:pStyle w:val="ListParagraph"/>
        <w:ind w:left="900"/>
        <w:rPr>
          <w:rFonts w:ascii="Calibri" w:hAnsi="Calibri"/>
          <w:color w:val="1F497D"/>
          <w:sz w:val="22"/>
          <w:szCs w:val="22"/>
          <w:lang w:eastAsia="en-US"/>
        </w:rPr>
      </w:pPr>
    </w:p>
    <w:p w14:paraId="02361D00" w14:textId="77777777" w:rsidR="001501FB" w:rsidRPr="000C62CB" w:rsidRDefault="001501FB" w:rsidP="005C20CB">
      <w:pPr>
        <w:pStyle w:val="ListParagraph"/>
        <w:ind w:left="900"/>
        <w:rPr>
          <w:rFonts w:ascii="Calibri" w:hAnsi="Calibri"/>
          <w:color w:val="1F497D"/>
          <w:sz w:val="22"/>
          <w:szCs w:val="22"/>
          <w:lang w:eastAsia="en-US"/>
        </w:rPr>
      </w:pPr>
    </w:p>
    <w:p w14:paraId="75DAE32E" w14:textId="77777777" w:rsidR="005C20CB" w:rsidRDefault="005C20CB" w:rsidP="005C20CB">
      <w:pPr>
        <w:numPr>
          <w:ilvl w:val="3"/>
          <w:numId w:val="8"/>
        </w:numPr>
        <w:ind w:left="900"/>
      </w:pPr>
      <w:r>
        <w:rPr>
          <w:rFonts w:ascii="Calibri" w:hAnsi="Calibri"/>
          <w:i/>
          <w:iCs/>
          <w:color w:val="0070C0"/>
          <w:sz w:val="26"/>
          <w:szCs w:val="26"/>
          <w:lang w:val="en-GB" w:eastAsia="en-US"/>
        </w:rPr>
        <w:t xml:space="preserve">Determine whether and how to support Group QoS request </w:t>
      </w:r>
      <w:r>
        <w:rPr>
          <w:rFonts w:ascii="Calibri" w:hAnsi="Calibri"/>
          <w:b/>
          <w:bCs/>
          <w:i/>
          <w:iCs/>
          <w:sz w:val="26"/>
          <w:szCs w:val="26"/>
          <w:lang w:eastAsia="en-US"/>
        </w:rPr>
        <w:t>(Host: David)</w:t>
      </w:r>
    </w:p>
    <w:p w14:paraId="694A41D6" w14:textId="77777777" w:rsidR="005C20CB" w:rsidRPr="005C20CB" w:rsidRDefault="005C20CB" w:rsidP="005C20CB">
      <w:pPr>
        <w:numPr>
          <w:ilvl w:val="4"/>
          <w:numId w:val="8"/>
        </w:numPr>
        <w:ind w:left="1260"/>
        <w:rPr>
          <w:rFonts w:ascii="Calibri" w:hAnsi="Calibri"/>
          <w:color w:val="0070C0"/>
          <w:sz w:val="26"/>
          <w:szCs w:val="26"/>
        </w:rPr>
      </w:pPr>
      <w:r>
        <w:rPr>
          <w:rFonts w:ascii="Calibri" w:hAnsi="Calibri"/>
          <w:i/>
          <w:iCs/>
          <w:color w:val="0070C0"/>
          <w:sz w:val="26"/>
          <w:szCs w:val="26"/>
          <w:lang w:eastAsia="en-US"/>
        </w:rPr>
        <w:t xml:space="preserve">Tdoc references: </w:t>
      </w:r>
      <w:hyperlink r:id="rId19" w:history="1">
        <w:r>
          <w:rPr>
            <w:rStyle w:val="Hyperlink"/>
            <w:rFonts w:ascii="Calibri" w:hAnsi="Calibri"/>
            <w:i/>
            <w:iCs/>
            <w:sz w:val="26"/>
            <w:szCs w:val="26"/>
            <w:lang w:eastAsia="en-US"/>
          </w:rPr>
          <w:t>S2-2300824</w:t>
        </w:r>
      </w:hyperlink>
      <w:r>
        <w:rPr>
          <w:rFonts w:ascii="Calibri" w:hAnsi="Calibri"/>
          <w:i/>
          <w:iCs/>
          <w:color w:val="0070C0"/>
          <w:sz w:val="26"/>
          <w:szCs w:val="26"/>
          <w:lang w:eastAsia="en-US"/>
        </w:rPr>
        <w:t xml:space="preserve">, </w:t>
      </w:r>
      <w:hyperlink r:id="rId20" w:history="1">
        <w:r>
          <w:rPr>
            <w:rStyle w:val="Hyperlink"/>
            <w:rFonts w:ascii="Calibri" w:hAnsi="Calibri"/>
            <w:i/>
            <w:iCs/>
            <w:sz w:val="26"/>
            <w:szCs w:val="26"/>
            <w:lang w:eastAsia="en-US"/>
          </w:rPr>
          <w:t>S2-2300826</w:t>
        </w:r>
      </w:hyperlink>
      <w:r>
        <w:rPr>
          <w:rFonts w:ascii="Calibri" w:hAnsi="Calibri"/>
          <w:i/>
          <w:iCs/>
          <w:color w:val="0070C0"/>
          <w:sz w:val="26"/>
          <w:szCs w:val="26"/>
          <w:lang w:eastAsia="en-US"/>
        </w:rPr>
        <w:t xml:space="preserve"> and </w:t>
      </w:r>
      <w:hyperlink r:id="rId21" w:history="1">
        <w:r>
          <w:rPr>
            <w:rStyle w:val="Hyperlink"/>
            <w:rFonts w:ascii="Calibri" w:hAnsi="Calibri"/>
            <w:i/>
            <w:iCs/>
            <w:sz w:val="26"/>
            <w:szCs w:val="26"/>
            <w:lang w:eastAsia="en-US"/>
          </w:rPr>
          <w:t>S2-2300827</w:t>
        </w:r>
      </w:hyperlink>
    </w:p>
    <w:p w14:paraId="60CC9EC2" w14:textId="77777777" w:rsidR="005C20CB" w:rsidRDefault="005C20CB" w:rsidP="005C20CB">
      <w:pPr>
        <w:ind w:left="1260"/>
        <w:rPr>
          <w:rFonts w:ascii="Calibri" w:hAnsi="Calibri"/>
          <w:color w:val="0070C0"/>
          <w:sz w:val="26"/>
          <w:szCs w:val="26"/>
        </w:rPr>
      </w:pPr>
    </w:p>
    <w:p w14:paraId="24F36786" w14:textId="77777777" w:rsidR="005C20CB" w:rsidRPr="005C20CB" w:rsidRDefault="005C20CB" w:rsidP="005C20CB">
      <w:pPr>
        <w:numPr>
          <w:ilvl w:val="0"/>
          <w:numId w:val="8"/>
        </w:numPr>
        <w:ind w:left="900"/>
        <w:rPr>
          <w:rFonts w:ascii="Calibri" w:hAnsi="Calibri"/>
          <w:i/>
          <w:iCs/>
          <w:color w:val="0070C0"/>
          <w:sz w:val="26"/>
          <w:szCs w:val="26"/>
        </w:rPr>
      </w:pPr>
      <w:r w:rsidRPr="005C20CB">
        <w:rPr>
          <w:rFonts w:ascii="Calibri" w:hAnsi="Calibri"/>
          <w:i/>
          <w:iCs/>
          <w:color w:val="0070C0"/>
          <w:sz w:val="26"/>
          <w:szCs w:val="26"/>
        </w:rPr>
        <w:t>Discuss whether and how the timing info (i.e. Start Time, Dur</w:t>
      </w:r>
      <w:r w:rsidR="00B97EBB">
        <w:rPr>
          <w:rFonts w:ascii="Calibri" w:hAnsi="Calibri"/>
          <w:i/>
          <w:iCs/>
          <w:color w:val="0070C0"/>
          <w:sz w:val="26"/>
          <w:szCs w:val="26"/>
        </w:rPr>
        <w:t>ation</w:t>
      </w:r>
      <w:r w:rsidRPr="005C20CB">
        <w:rPr>
          <w:rFonts w:ascii="Calibri" w:hAnsi="Calibri"/>
          <w:i/>
          <w:iCs/>
          <w:color w:val="0070C0"/>
          <w:sz w:val="26"/>
          <w:szCs w:val="26"/>
        </w:rPr>
        <w:t>) is provided for each QoS parameter set  </w:t>
      </w:r>
      <w:r>
        <w:rPr>
          <w:rFonts w:ascii="Calibri" w:hAnsi="Calibri"/>
          <w:b/>
          <w:bCs/>
          <w:i/>
          <w:iCs/>
          <w:sz w:val="26"/>
          <w:szCs w:val="26"/>
          <w:lang w:eastAsia="en-US"/>
        </w:rPr>
        <w:t>(Host: David)</w:t>
      </w:r>
    </w:p>
    <w:p w14:paraId="28D73A80" w14:textId="150780FF" w:rsidR="005C20CB" w:rsidRDefault="005C20CB" w:rsidP="005C20CB">
      <w:pPr>
        <w:ind w:left="900"/>
        <w:rPr>
          <w:rFonts w:ascii="Calibri" w:hAnsi="Calibri"/>
          <w:i/>
          <w:iCs/>
          <w:color w:val="0070C0"/>
          <w:sz w:val="26"/>
          <w:szCs w:val="26"/>
          <w:lang w:eastAsia="en-US"/>
        </w:rPr>
      </w:pPr>
    </w:p>
    <w:tbl>
      <w:tblPr>
        <w:tblStyle w:val="TableGrid"/>
        <w:tblW w:w="0" w:type="auto"/>
        <w:tblLook w:val="04A0" w:firstRow="1" w:lastRow="0" w:firstColumn="1" w:lastColumn="0" w:noHBand="0" w:noVBand="1"/>
      </w:tblPr>
      <w:tblGrid>
        <w:gridCol w:w="9350"/>
      </w:tblGrid>
      <w:tr w:rsidR="00A87FDD" w14:paraId="79ECDA8D" w14:textId="77777777" w:rsidTr="00A87FDD">
        <w:tc>
          <w:tcPr>
            <w:tcW w:w="9350" w:type="dxa"/>
          </w:tcPr>
          <w:p w14:paraId="412D1B9D" w14:textId="77777777" w:rsidR="00A87FDD" w:rsidRDefault="00A87FDD" w:rsidP="00A87FDD">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7CEA1829" w14:textId="3BADE890" w:rsidR="000914DF" w:rsidRDefault="000914DF" w:rsidP="00A87FDD">
            <w:pPr>
              <w:spacing w:before="120" w:after="120"/>
              <w:rPr>
                <w:rFonts w:ascii="Calibri" w:hAnsi="Calibri"/>
                <w:i/>
                <w:iCs/>
              </w:rPr>
            </w:pPr>
            <w:r>
              <w:rPr>
                <w:rFonts w:ascii="Calibri" w:hAnsi="Calibri"/>
                <w:b/>
                <w:bCs/>
                <w:i/>
                <w:iCs/>
              </w:rPr>
              <w:t>Nokia</w:t>
            </w:r>
            <w:r w:rsidR="00A87FDD" w:rsidRPr="00A41135">
              <w:rPr>
                <w:rFonts w:ascii="Calibri" w:hAnsi="Calibri"/>
                <w:b/>
                <w:bCs/>
                <w:i/>
                <w:iCs/>
              </w:rPr>
              <w:t>:</w:t>
            </w:r>
            <w:r w:rsidR="00A87FDD">
              <w:rPr>
                <w:rFonts w:ascii="Calibri" w:hAnsi="Calibri"/>
                <w:i/>
                <w:iCs/>
              </w:rPr>
              <w:t xml:space="preserve"> </w:t>
            </w:r>
            <w:r>
              <w:rPr>
                <w:rFonts w:ascii="Calibri" w:hAnsi="Calibri"/>
                <w:i/>
                <w:iCs/>
              </w:rPr>
              <w:t xml:space="preserve">As part of the conclusion for KI#6, </w:t>
            </w:r>
            <w:r w:rsidR="00A87FDD">
              <w:rPr>
                <w:rFonts w:ascii="Calibri" w:hAnsi="Calibri"/>
                <w:i/>
                <w:iCs/>
              </w:rPr>
              <w:t xml:space="preserve"> </w:t>
            </w:r>
            <w:r>
              <w:rPr>
                <w:rFonts w:ascii="Calibri" w:hAnsi="Calibri"/>
                <w:i/>
                <w:iCs/>
              </w:rPr>
              <w:t xml:space="preserve">Nokia plans </w:t>
            </w:r>
            <w:r w:rsidR="00A87FDD">
              <w:rPr>
                <w:rFonts w:ascii="Calibri" w:hAnsi="Calibri"/>
                <w:i/>
                <w:iCs/>
              </w:rPr>
              <w:t xml:space="preserve">to prepare 23.502 CR </w:t>
            </w:r>
            <w:r>
              <w:rPr>
                <w:rFonts w:ascii="Calibri" w:hAnsi="Calibri"/>
                <w:i/>
                <w:iCs/>
              </w:rPr>
              <w:t xml:space="preserve">to provide the timing info (i.e. Start Time, Duration) for the QoS parameter set to assist the PCF to derive more appropriate PCC rules. </w:t>
            </w:r>
          </w:p>
          <w:p w14:paraId="064583FE" w14:textId="77777777" w:rsidR="00A87FDD" w:rsidRDefault="00A87FDD" w:rsidP="00A87FDD">
            <w:pPr>
              <w:spacing w:before="120" w:after="120"/>
              <w:rPr>
                <w:rFonts w:ascii="Calibri" w:hAnsi="Calibri"/>
                <w:i/>
                <w:iCs/>
              </w:rPr>
            </w:pPr>
            <w:r w:rsidRPr="00A87FDD">
              <w:rPr>
                <w:rFonts w:ascii="Calibri" w:hAnsi="Calibri"/>
                <w:b/>
                <w:bCs/>
                <w:i/>
                <w:iCs/>
              </w:rPr>
              <w:t xml:space="preserve">Huawei: </w:t>
            </w:r>
            <w:r w:rsidR="000914DF">
              <w:rPr>
                <w:rFonts w:ascii="Calibri" w:hAnsi="Calibri"/>
                <w:i/>
                <w:iCs/>
              </w:rPr>
              <w:t xml:space="preserve">With the dynamic mechanism that has been defined which allow the AF to request resource allocation to the AIMLsys traffic close to the start time, Huawei believes that there is no need for any additional CR as suggested by Nokia.  </w:t>
            </w:r>
            <w:r w:rsidR="000914DF" w:rsidRPr="000914DF">
              <w:rPr>
                <w:rFonts w:ascii="Calibri" w:hAnsi="Calibri"/>
                <w:i/>
                <w:iCs/>
              </w:rPr>
              <w:t xml:space="preserve"> </w:t>
            </w:r>
          </w:p>
          <w:p w14:paraId="4C52F7D4" w14:textId="77777777" w:rsidR="000914DF" w:rsidRPr="00395694" w:rsidRDefault="000914DF" w:rsidP="00A87FDD">
            <w:pPr>
              <w:spacing w:before="120" w:after="120"/>
              <w:rPr>
                <w:rFonts w:ascii="Calibri" w:hAnsi="Calibri"/>
                <w:i/>
                <w:iCs/>
              </w:rPr>
            </w:pPr>
            <w:r w:rsidRPr="000914DF">
              <w:rPr>
                <w:rFonts w:ascii="Calibri" w:hAnsi="Calibri"/>
                <w:b/>
                <w:bCs/>
                <w:i/>
                <w:iCs/>
              </w:rPr>
              <w:t>OPPO:</w:t>
            </w:r>
            <w:r w:rsidRPr="000914DF">
              <w:rPr>
                <w:rFonts w:ascii="Calibri" w:hAnsi="Calibri"/>
                <w:i/>
                <w:iCs/>
              </w:rPr>
              <w:t xml:space="preserve"> Asking for clarifications for the difference between this CR and the KI#5? </w:t>
            </w:r>
          </w:p>
          <w:p w14:paraId="365C0B70" w14:textId="77777777" w:rsidR="000914DF" w:rsidRDefault="000914DF" w:rsidP="00A87FDD">
            <w:pPr>
              <w:spacing w:before="120" w:after="120"/>
              <w:rPr>
                <w:rFonts w:ascii="Calibri" w:hAnsi="Calibri"/>
                <w:i/>
                <w:iCs/>
              </w:rPr>
            </w:pPr>
            <w:r w:rsidRPr="00395694">
              <w:rPr>
                <w:rFonts w:ascii="Calibri" w:hAnsi="Calibri"/>
                <w:b/>
                <w:bCs/>
                <w:i/>
                <w:iCs/>
              </w:rPr>
              <w:lastRenderedPageBreak/>
              <w:t>Nokia</w:t>
            </w:r>
            <w:r w:rsidRPr="00395694">
              <w:rPr>
                <w:rFonts w:ascii="Calibri" w:hAnsi="Calibri"/>
                <w:i/>
                <w:iCs/>
              </w:rPr>
              <w:t xml:space="preserve">: The </w:t>
            </w:r>
            <w:r w:rsidR="00395694" w:rsidRPr="00395694">
              <w:rPr>
                <w:rFonts w:ascii="Calibri" w:hAnsi="Calibri"/>
                <w:i/>
                <w:iCs/>
              </w:rPr>
              <w:t xml:space="preserve">objective of this CR is to provide information regarding the feasibility of specific QoS </w:t>
            </w:r>
            <w:r w:rsidR="00395694">
              <w:rPr>
                <w:rFonts w:ascii="Calibri" w:hAnsi="Calibri"/>
                <w:i/>
                <w:iCs/>
              </w:rPr>
              <w:t>corresponding to</w:t>
            </w:r>
            <w:r w:rsidR="00395694" w:rsidRPr="00395694">
              <w:rPr>
                <w:rFonts w:ascii="Calibri" w:hAnsi="Calibri"/>
                <w:i/>
                <w:iCs/>
              </w:rPr>
              <w:t xml:space="preserve"> </w:t>
            </w:r>
            <w:r w:rsidR="00395694">
              <w:rPr>
                <w:rFonts w:ascii="Calibri" w:hAnsi="Calibri"/>
                <w:i/>
                <w:iCs/>
              </w:rPr>
              <w:t>specific time window</w:t>
            </w:r>
            <w:r w:rsidR="00395694" w:rsidRPr="00395694">
              <w:rPr>
                <w:rFonts w:ascii="Calibri" w:hAnsi="Calibri"/>
                <w:i/>
                <w:iCs/>
              </w:rPr>
              <w:t xml:space="preserve">.  Hence, it is different than KI#5.  </w:t>
            </w:r>
          </w:p>
          <w:p w14:paraId="7FF4AF58" w14:textId="77777777" w:rsidR="00765BB9" w:rsidRPr="00765BB9" w:rsidRDefault="00765BB9" w:rsidP="00A87FDD">
            <w:pPr>
              <w:spacing w:before="120" w:after="120"/>
              <w:rPr>
                <w:rFonts w:ascii="Calibri" w:hAnsi="Calibri"/>
                <w:b/>
                <w:bCs/>
                <w:i/>
                <w:iCs/>
              </w:rPr>
            </w:pPr>
            <w:r w:rsidRPr="00765BB9">
              <w:rPr>
                <w:rFonts w:ascii="Calibri" w:hAnsi="Calibri"/>
                <w:b/>
                <w:bCs/>
                <w:i/>
                <w:iCs/>
              </w:rPr>
              <w:t xml:space="preserve">Next Step: </w:t>
            </w:r>
          </w:p>
          <w:p w14:paraId="48B59A4A" w14:textId="391B96CA" w:rsidR="00765BB9" w:rsidRPr="00765BB9" w:rsidRDefault="00765BB9" w:rsidP="00765BB9">
            <w:pPr>
              <w:pStyle w:val="ListParagraph"/>
              <w:numPr>
                <w:ilvl w:val="0"/>
                <w:numId w:val="14"/>
              </w:numPr>
              <w:spacing w:before="120" w:after="120"/>
              <w:rPr>
                <w:rFonts w:ascii="Calibri" w:hAnsi="Calibri"/>
                <w:i/>
                <w:iCs/>
                <w:color w:val="0070C0"/>
                <w:sz w:val="26"/>
                <w:szCs w:val="26"/>
                <w:lang w:eastAsia="en-US"/>
              </w:rPr>
            </w:pPr>
            <w:r w:rsidRPr="00765BB9">
              <w:rPr>
                <w:rFonts w:ascii="Calibri" w:hAnsi="Calibri"/>
                <w:i/>
                <w:iCs/>
                <w:sz w:val="26"/>
                <w:szCs w:val="26"/>
                <w:lang w:eastAsia="en-US"/>
              </w:rPr>
              <w:t xml:space="preserve">Continue to discuss the motivation of this CR over the SA2 reflector </w:t>
            </w:r>
          </w:p>
        </w:tc>
      </w:tr>
    </w:tbl>
    <w:p w14:paraId="5BEC80D0" w14:textId="77777777" w:rsidR="00C1421F" w:rsidRDefault="00C1421F" w:rsidP="00C1421F">
      <w:pPr>
        <w:rPr>
          <w:rFonts w:ascii="Calibri" w:hAnsi="Calibri"/>
          <w:i/>
          <w:iCs/>
          <w:color w:val="0070C0"/>
          <w:sz w:val="26"/>
          <w:szCs w:val="26"/>
          <w:lang w:eastAsia="en-US"/>
        </w:rPr>
      </w:pPr>
    </w:p>
    <w:p w14:paraId="741E2EC6" w14:textId="77777777" w:rsidR="00C1421F" w:rsidRDefault="00C1421F" w:rsidP="005C20CB">
      <w:pPr>
        <w:ind w:left="900"/>
        <w:rPr>
          <w:rFonts w:ascii="Calibri" w:hAnsi="Calibri"/>
          <w:color w:val="0070C0"/>
          <w:sz w:val="26"/>
          <w:szCs w:val="26"/>
        </w:rPr>
      </w:pPr>
    </w:p>
    <w:p w14:paraId="63EC0A87" w14:textId="77777777" w:rsidR="005C20CB" w:rsidRDefault="005C20CB" w:rsidP="005C20CB">
      <w:pPr>
        <w:numPr>
          <w:ilvl w:val="0"/>
          <w:numId w:val="9"/>
        </w:numPr>
      </w:pPr>
      <w:r>
        <w:rPr>
          <w:rFonts w:ascii="Calibri" w:hAnsi="Calibri"/>
          <w:b/>
          <w:bCs/>
          <w:i/>
          <w:iCs/>
          <w:sz w:val="26"/>
          <w:szCs w:val="26"/>
          <w:lang w:eastAsia="en-US"/>
        </w:rPr>
        <w:t xml:space="preserve">KI#7: 5GS Assistance to Federated Learning operation </w:t>
      </w:r>
    </w:p>
    <w:p w14:paraId="715CC890" w14:textId="77777777" w:rsidR="005C20CB" w:rsidRDefault="005C20CB" w:rsidP="005C20CB">
      <w:pPr>
        <w:numPr>
          <w:ilvl w:val="1"/>
          <w:numId w:val="9"/>
        </w:numPr>
      </w:pPr>
      <w:r>
        <w:rPr>
          <w:rFonts w:ascii="Calibri" w:hAnsi="Calibri"/>
          <w:b/>
          <w:bCs/>
          <w:i/>
          <w:iCs/>
          <w:sz w:val="26"/>
          <w:szCs w:val="26"/>
          <w:lang w:eastAsia="en-US"/>
        </w:rPr>
        <w:t xml:space="preserve">A. Member Selection Assistance Functionalities </w:t>
      </w:r>
    </w:p>
    <w:p w14:paraId="0F872F41" w14:textId="77777777" w:rsidR="005C20CB" w:rsidRDefault="005C20CB" w:rsidP="005C20CB">
      <w:pPr>
        <w:ind w:left="1080"/>
      </w:pPr>
      <w:r>
        <w:rPr>
          <w:rFonts w:ascii="Calibri" w:hAnsi="Calibri"/>
          <w:i/>
          <w:iCs/>
          <w:sz w:val="26"/>
          <w:szCs w:val="26"/>
          <w:lang w:eastAsia="en-US"/>
        </w:rPr>
        <w:t> </w:t>
      </w:r>
    </w:p>
    <w:p w14:paraId="502C9CAA" w14:textId="77777777" w:rsidR="005C20CB" w:rsidRDefault="005C20CB" w:rsidP="005C20CB">
      <w:pPr>
        <w:ind w:left="720"/>
      </w:pPr>
      <w:r>
        <w:rPr>
          <w:rFonts w:ascii="Calibri" w:hAnsi="Calibri"/>
          <w:b/>
          <w:bCs/>
          <w:i/>
          <w:iCs/>
          <w:sz w:val="26"/>
          <w:szCs w:val="26"/>
          <w:lang w:eastAsia="en-US"/>
        </w:rPr>
        <w:t xml:space="preserve">Next Steps: </w:t>
      </w:r>
    </w:p>
    <w:p w14:paraId="5A830D9B" w14:textId="77777777" w:rsidR="005C20CB" w:rsidRDefault="005C20CB" w:rsidP="005C20CB">
      <w:pPr>
        <w:numPr>
          <w:ilvl w:val="1"/>
          <w:numId w:val="10"/>
        </w:numPr>
      </w:pPr>
      <w:r>
        <w:rPr>
          <w:rFonts w:ascii="Calibri" w:hAnsi="Calibri"/>
          <w:i/>
          <w:iCs/>
          <w:color w:val="0070C0"/>
          <w:sz w:val="26"/>
          <w:szCs w:val="26"/>
          <w:lang w:eastAsia="en-US"/>
        </w:rPr>
        <w:t>Determine how to capture AF direct communication with 5GC for member selection functionalities without NEF</w:t>
      </w:r>
      <w:r>
        <w:rPr>
          <w:rFonts w:ascii="Calibri" w:hAnsi="Calibri"/>
          <w:i/>
          <w:iCs/>
          <w:sz w:val="26"/>
          <w:szCs w:val="26"/>
          <w:lang w:eastAsia="en-US"/>
        </w:rPr>
        <w:t xml:space="preserve"> </w:t>
      </w:r>
      <w:r>
        <w:rPr>
          <w:rFonts w:ascii="Calibri" w:hAnsi="Calibri"/>
          <w:b/>
          <w:bCs/>
          <w:i/>
          <w:iCs/>
          <w:sz w:val="26"/>
          <w:szCs w:val="26"/>
          <w:lang w:eastAsia="en-US"/>
        </w:rPr>
        <w:t>(Host: Tricci)</w:t>
      </w:r>
    </w:p>
    <w:p w14:paraId="70ADEA11" w14:textId="77777777" w:rsidR="005C20CB" w:rsidRDefault="005C20CB" w:rsidP="005C20CB">
      <w:pPr>
        <w:numPr>
          <w:ilvl w:val="1"/>
          <w:numId w:val="10"/>
        </w:numPr>
      </w:pPr>
      <w:r>
        <w:rPr>
          <w:rFonts w:ascii="Calibri" w:hAnsi="Calibri"/>
          <w:i/>
          <w:iCs/>
          <w:color w:val="0070C0"/>
          <w:sz w:val="26"/>
          <w:szCs w:val="26"/>
          <w:lang w:eastAsia="en-US"/>
        </w:rPr>
        <w:t xml:space="preserve">Determine the exact functionalities of NEF services for Member Selection Assistance </w:t>
      </w:r>
      <w:r>
        <w:rPr>
          <w:rFonts w:ascii="Calibri" w:hAnsi="Calibri"/>
          <w:b/>
          <w:bCs/>
          <w:i/>
          <w:iCs/>
          <w:sz w:val="26"/>
          <w:szCs w:val="26"/>
          <w:lang w:eastAsia="en-US"/>
        </w:rPr>
        <w:t>(Host: Tricci)</w:t>
      </w:r>
    </w:p>
    <w:p w14:paraId="5AF98A8E" w14:textId="77777777" w:rsidR="005C20CB" w:rsidRPr="005C20CB" w:rsidRDefault="005C20CB" w:rsidP="005C20CB">
      <w:pPr>
        <w:numPr>
          <w:ilvl w:val="2"/>
          <w:numId w:val="10"/>
        </w:numPr>
        <w:ind w:left="1800"/>
      </w:pPr>
      <w:r>
        <w:rPr>
          <w:rFonts w:ascii="Calibri" w:hAnsi="Calibri"/>
          <w:i/>
          <w:iCs/>
          <w:color w:val="0070C0"/>
          <w:sz w:val="26"/>
          <w:szCs w:val="26"/>
          <w:lang w:eastAsia="en-US"/>
        </w:rPr>
        <w:t xml:space="preserve">Tdoc reference: </w:t>
      </w:r>
      <w:hyperlink r:id="rId22" w:history="1">
        <w:r>
          <w:rPr>
            <w:rStyle w:val="Hyperlink"/>
            <w:rFonts w:ascii="Calibri" w:hAnsi="Calibri"/>
            <w:i/>
            <w:iCs/>
            <w:sz w:val="26"/>
            <w:szCs w:val="26"/>
            <w:lang w:eastAsia="en-US"/>
          </w:rPr>
          <w:t>S2-2300152</w:t>
        </w:r>
      </w:hyperlink>
    </w:p>
    <w:bookmarkStart w:id="2" w:name="_MON_1737168135"/>
    <w:bookmarkEnd w:id="2"/>
    <w:p w14:paraId="32455782" w14:textId="77777777" w:rsidR="005C20CB" w:rsidRDefault="005C20CB" w:rsidP="005C20CB">
      <w:pPr>
        <w:numPr>
          <w:ilvl w:val="2"/>
          <w:numId w:val="10"/>
        </w:numPr>
        <w:ind w:left="1800"/>
      </w:pPr>
      <w:r>
        <w:object w:dxaOrig="1532" w:dyaOrig="991" w14:anchorId="340B8AF1">
          <v:shape id="_x0000_i1028" type="#_x0000_t75" style="width:76.4pt;height:49.45pt" o:ole="">
            <v:imagedata r:id="rId23" o:title=""/>
          </v:shape>
          <o:OLEObject Type="Embed" ProgID="Word.Document.12" ShapeID="_x0000_i1028" DrawAspect="Icon" ObjectID="_1737258958" r:id="rId24">
            <o:FieldCodes>\s</o:FieldCodes>
          </o:OLEObject>
        </w:object>
      </w:r>
    </w:p>
    <w:p w14:paraId="293ADB9D" w14:textId="784302DD" w:rsidR="005C20CB" w:rsidRDefault="005C20CB" w:rsidP="005C20CB">
      <w:pPr>
        <w:ind w:left="1440"/>
        <w:rPr>
          <w:rFonts w:ascii="Calibri" w:hAnsi="Calibri"/>
          <w:i/>
          <w:iCs/>
          <w:sz w:val="26"/>
          <w:szCs w:val="26"/>
          <w:lang w:eastAsia="en-US"/>
        </w:rPr>
      </w:pPr>
      <w:r>
        <w:rPr>
          <w:rFonts w:ascii="Calibri" w:hAnsi="Calibri"/>
          <w:i/>
          <w:iCs/>
          <w:sz w:val="26"/>
          <w:szCs w:val="26"/>
          <w:lang w:eastAsia="en-US"/>
        </w:rPr>
        <w:t> </w:t>
      </w:r>
    </w:p>
    <w:tbl>
      <w:tblPr>
        <w:tblStyle w:val="TableGrid"/>
        <w:tblW w:w="0" w:type="auto"/>
        <w:tblInd w:w="175" w:type="dxa"/>
        <w:tblLook w:val="04A0" w:firstRow="1" w:lastRow="0" w:firstColumn="1" w:lastColumn="0" w:noHBand="0" w:noVBand="1"/>
      </w:tblPr>
      <w:tblGrid>
        <w:gridCol w:w="9175"/>
      </w:tblGrid>
      <w:tr w:rsidR="000E7B64" w14:paraId="5D60135D" w14:textId="77777777" w:rsidTr="005B5722">
        <w:tc>
          <w:tcPr>
            <w:tcW w:w="9175" w:type="dxa"/>
          </w:tcPr>
          <w:p w14:paraId="1F72CD82" w14:textId="77777777" w:rsidR="00C55303" w:rsidRDefault="00C55303" w:rsidP="00C55303">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6C25C0D1" w14:textId="5E51FD48" w:rsidR="000E7B64" w:rsidRDefault="00C55303" w:rsidP="00C55303">
            <w:pPr>
              <w:spacing w:before="120" w:after="120"/>
              <w:rPr>
                <w:rFonts w:ascii="Calibri" w:hAnsi="Calibri"/>
                <w:i/>
                <w:iCs/>
              </w:rPr>
            </w:pPr>
            <w:r>
              <w:rPr>
                <w:rFonts w:ascii="Calibri" w:hAnsi="Calibri"/>
                <w:b/>
                <w:bCs/>
                <w:i/>
                <w:iCs/>
              </w:rPr>
              <w:t>Ericsson</w:t>
            </w:r>
            <w:r w:rsidRPr="00A41135">
              <w:rPr>
                <w:rFonts w:ascii="Calibri" w:hAnsi="Calibri"/>
                <w:b/>
                <w:bCs/>
                <w:i/>
                <w:iCs/>
              </w:rPr>
              <w:t>:</w:t>
            </w:r>
            <w:r>
              <w:rPr>
                <w:rFonts w:ascii="Calibri" w:hAnsi="Calibri"/>
                <w:i/>
                <w:iCs/>
              </w:rPr>
              <w:t xml:space="preserve"> </w:t>
            </w:r>
            <w:r w:rsidR="00C97099">
              <w:rPr>
                <w:rFonts w:ascii="Calibri" w:hAnsi="Calibri"/>
                <w:i/>
                <w:iCs/>
              </w:rPr>
              <w:t xml:space="preserve">Proposed a better way forward on how to structure the discussions </w:t>
            </w:r>
            <w:r w:rsidR="000A12E1">
              <w:rPr>
                <w:rFonts w:ascii="Calibri" w:hAnsi="Calibri"/>
                <w:i/>
                <w:iCs/>
              </w:rPr>
              <w:t xml:space="preserve">in order </w:t>
            </w:r>
            <w:r w:rsidR="00C97099">
              <w:rPr>
                <w:rFonts w:ascii="Calibri" w:hAnsi="Calibri"/>
                <w:i/>
                <w:iCs/>
              </w:rPr>
              <w:t xml:space="preserve">to reach agreement on different proposals for the filtering criteria for the assistance of the candidate UE Member selection.   Ericsson restructured the OPPO’s CR which has been postponed from the previous meeting by partitioning the table of summary </w:t>
            </w:r>
            <w:r w:rsidR="000A12E1">
              <w:rPr>
                <w:rFonts w:ascii="Calibri" w:hAnsi="Calibri"/>
                <w:i/>
                <w:iCs/>
              </w:rPr>
              <w:t>of</w:t>
            </w:r>
            <w:r w:rsidR="00C97099">
              <w:rPr>
                <w:rFonts w:ascii="Calibri" w:hAnsi="Calibri"/>
                <w:i/>
                <w:iCs/>
              </w:rPr>
              <w:t xml:space="preserve"> the filtering criteria from the procedure descriptions of leveraging the filtering criteria for the assistance of the UE member selection.   Ericsson proposed to have separate dedicated CR for the proposal </w:t>
            </w:r>
            <w:r w:rsidR="000A12E1">
              <w:rPr>
                <w:rFonts w:ascii="Calibri" w:hAnsi="Calibri"/>
                <w:i/>
                <w:iCs/>
              </w:rPr>
              <w:t>for the</w:t>
            </w:r>
            <w:r w:rsidR="00C97099">
              <w:rPr>
                <w:rFonts w:ascii="Calibri" w:hAnsi="Calibri"/>
                <w:i/>
                <w:iCs/>
              </w:rPr>
              <w:t xml:space="preserve"> specific filtering criteria for the UE member selection.   By taking this approach, any non-agreeable filtering criterion will not impact the baseline of the UE Member Selection Functionality descriptions and procedures.  </w:t>
            </w:r>
            <w:r w:rsidR="0000172F">
              <w:rPr>
                <w:rFonts w:ascii="Calibri" w:hAnsi="Calibri"/>
                <w:i/>
                <w:iCs/>
              </w:rPr>
              <w:t xml:space="preserve">Any agreed filtering criteria and their respective procedures will be captured in their dedicated respective sub-clause. </w:t>
            </w:r>
          </w:p>
          <w:p w14:paraId="4DB02A85" w14:textId="77777777" w:rsidR="007F2046" w:rsidRDefault="0000172F" w:rsidP="00C55303">
            <w:pPr>
              <w:spacing w:before="120" w:after="120"/>
              <w:rPr>
                <w:rFonts w:ascii="Calibri" w:hAnsi="Calibri"/>
                <w:i/>
                <w:iCs/>
              </w:rPr>
            </w:pPr>
            <w:r>
              <w:rPr>
                <w:rFonts w:ascii="Calibri" w:hAnsi="Calibri"/>
                <w:b/>
                <w:bCs/>
                <w:i/>
                <w:iCs/>
              </w:rPr>
              <w:t>OPPO</w:t>
            </w:r>
            <w:r w:rsidRPr="00A41135">
              <w:rPr>
                <w:rFonts w:ascii="Calibri" w:hAnsi="Calibri"/>
                <w:b/>
                <w:bCs/>
                <w:i/>
                <w:iCs/>
              </w:rPr>
              <w:t>:</w:t>
            </w:r>
            <w:r>
              <w:rPr>
                <w:rFonts w:ascii="Calibri" w:hAnsi="Calibri"/>
                <w:i/>
                <w:iCs/>
              </w:rPr>
              <w:t xml:space="preserve"> </w:t>
            </w:r>
            <w:r>
              <w:rPr>
                <w:rFonts w:ascii="Calibri" w:hAnsi="Calibri"/>
                <w:i/>
                <w:iCs/>
              </w:rPr>
              <w:t xml:space="preserve">The main concern with the approach proposed by Ericsson to have </w:t>
            </w:r>
            <w:r w:rsidR="001F5582">
              <w:rPr>
                <w:rFonts w:ascii="Calibri" w:hAnsi="Calibri"/>
                <w:i/>
                <w:iCs/>
              </w:rPr>
              <w:t xml:space="preserve">separate sub-clause dedicated for the filtering criteria may make it more complicate to evolve the procedure descriptions since some criteria may be able to reuse the existing procedure.  More offline discussions are needed on how to capture separate procedures for different filtering criteria.   </w:t>
            </w:r>
          </w:p>
          <w:p w14:paraId="7AE4A7D1" w14:textId="77777777" w:rsidR="000A12E1" w:rsidRDefault="00E42A42" w:rsidP="00C55303">
            <w:pPr>
              <w:spacing w:before="120" w:after="120"/>
              <w:rPr>
                <w:rFonts w:ascii="Calibri" w:hAnsi="Calibri"/>
                <w:i/>
                <w:iCs/>
              </w:rPr>
            </w:pPr>
            <w:r>
              <w:rPr>
                <w:rFonts w:ascii="Calibri" w:hAnsi="Calibri"/>
                <w:b/>
                <w:bCs/>
                <w:i/>
                <w:iCs/>
              </w:rPr>
              <w:t>Ericsson</w:t>
            </w:r>
            <w:r w:rsidRPr="00A41135">
              <w:rPr>
                <w:rFonts w:ascii="Calibri" w:hAnsi="Calibri"/>
                <w:b/>
                <w:bCs/>
                <w:i/>
                <w:iCs/>
              </w:rPr>
              <w:t>:</w:t>
            </w:r>
            <w:r>
              <w:rPr>
                <w:rFonts w:ascii="Calibri" w:hAnsi="Calibri"/>
                <w:i/>
                <w:iCs/>
              </w:rPr>
              <w:t xml:space="preserve"> </w:t>
            </w:r>
            <w:r w:rsidR="00FC3F08">
              <w:rPr>
                <w:rFonts w:ascii="Calibri" w:hAnsi="Calibri"/>
                <w:i/>
                <w:iCs/>
              </w:rPr>
              <w:t xml:space="preserve">One way to handle the reuse of the existing procedure could be just describe the reference to the existing procedure.   </w:t>
            </w:r>
          </w:p>
          <w:p w14:paraId="470568F5" w14:textId="77777777" w:rsidR="00FC3F08" w:rsidRDefault="00E80566" w:rsidP="00C55303">
            <w:pPr>
              <w:spacing w:before="120" w:after="120"/>
              <w:rPr>
                <w:rFonts w:ascii="Calibri" w:hAnsi="Calibri"/>
                <w:i/>
                <w:iCs/>
              </w:rPr>
            </w:pPr>
            <w:r>
              <w:rPr>
                <w:rFonts w:ascii="Calibri" w:hAnsi="Calibri"/>
                <w:b/>
                <w:bCs/>
                <w:i/>
                <w:iCs/>
              </w:rPr>
              <w:lastRenderedPageBreak/>
              <w:t>Samsung</w:t>
            </w:r>
            <w:r w:rsidRPr="00A41135">
              <w:rPr>
                <w:rFonts w:ascii="Calibri" w:hAnsi="Calibri"/>
                <w:b/>
                <w:bCs/>
                <w:i/>
                <w:iCs/>
              </w:rPr>
              <w:t>:</w:t>
            </w:r>
            <w:r>
              <w:rPr>
                <w:rFonts w:ascii="Calibri" w:hAnsi="Calibri"/>
                <w:i/>
                <w:iCs/>
              </w:rPr>
              <w:t xml:space="preserve"> </w:t>
            </w:r>
            <w:r>
              <w:rPr>
                <w:rFonts w:ascii="Calibri" w:hAnsi="Calibri"/>
                <w:i/>
                <w:iCs/>
              </w:rPr>
              <w:t xml:space="preserve">Suggest to ensure the general descriptions in this CR for 23.502 should be aligned with the 23.501 highlevel descriptions. Ericsson agreed. </w:t>
            </w:r>
          </w:p>
          <w:p w14:paraId="50577B5A" w14:textId="667B4796" w:rsidR="00E80566" w:rsidRDefault="00E80566" w:rsidP="00C55303">
            <w:pPr>
              <w:spacing w:before="120" w:after="120"/>
              <w:rPr>
                <w:rFonts w:ascii="Calibri" w:hAnsi="Calibri"/>
                <w:i/>
                <w:iCs/>
              </w:rPr>
            </w:pPr>
            <w:r>
              <w:rPr>
                <w:rFonts w:ascii="Calibri" w:hAnsi="Calibri"/>
                <w:b/>
                <w:bCs/>
                <w:i/>
                <w:iCs/>
              </w:rPr>
              <w:t>MediaTek</w:t>
            </w:r>
            <w:r w:rsidRPr="00A41135">
              <w:rPr>
                <w:rFonts w:ascii="Calibri" w:hAnsi="Calibri"/>
                <w:b/>
                <w:bCs/>
                <w:i/>
                <w:iCs/>
              </w:rPr>
              <w:t>:</w:t>
            </w:r>
            <w:r>
              <w:rPr>
                <w:rFonts w:ascii="Calibri" w:hAnsi="Calibri"/>
                <w:i/>
                <w:iCs/>
              </w:rPr>
              <w:t xml:space="preserve"> </w:t>
            </w:r>
            <w:r>
              <w:rPr>
                <w:rFonts w:ascii="Calibri" w:hAnsi="Calibri"/>
                <w:i/>
                <w:iCs/>
              </w:rPr>
              <w:t xml:space="preserve">How this new framework capture the descriptions for the scenario for AF direct communication with 5GC NFs without NEF for the UE member selection assistance?   </w:t>
            </w:r>
            <w:r w:rsidR="00C3326A">
              <w:rPr>
                <w:rFonts w:ascii="Calibri" w:hAnsi="Calibri"/>
                <w:i/>
                <w:iCs/>
              </w:rPr>
              <w:t xml:space="preserve">Ericsson proposed a separate contribution should be submitted which can be captured in Annex. </w:t>
            </w:r>
          </w:p>
          <w:p w14:paraId="6502B7C6" w14:textId="77777777" w:rsidR="00E80566" w:rsidRDefault="004F5DCB" w:rsidP="00C55303">
            <w:pPr>
              <w:spacing w:before="120" w:after="120"/>
              <w:rPr>
                <w:rFonts w:ascii="Calibri" w:hAnsi="Calibri"/>
                <w:i/>
                <w:iCs/>
              </w:rPr>
            </w:pPr>
            <w:r>
              <w:rPr>
                <w:rFonts w:ascii="Calibri" w:hAnsi="Calibri"/>
                <w:b/>
                <w:bCs/>
                <w:i/>
                <w:iCs/>
              </w:rPr>
              <w:t>InterDigital</w:t>
            </w:r>
            <w:r w:rsidR="00E80566" w:rsidRPr="00A41135">
              <w:rPr>
                <w:rFonts w:ascii="Calibri" w:hAnsi="Calibri"/>
                <w:b/>
                <w:bCs/>
                <w:i/>
                <w:iCs/>
              </w:rPr>
              <w:t>:</w:t>
            </w:r>
            <w:r w:rsidR="00E80566">
              <w:rPr>
                <w:rFonts w:ascii="Calibri" w:hAnsi="Calibri"/>
                <w:i/>
                <w:iCs/>
              </w:rPr>
              <w:t xml:space="preserve"> </w:t>
            </w:r>
            <w:r>
              <w:rPr>
                <w:rFonts w:ascii="Calibri" w:hAnsi="Calibri"/>
                <w:i/>
                <w:iCs/>
              </w:rPr>
              <w:t xml:space="preserve">Commenting that this proposal from Ericsson is similar to eNA which has dedicated clause to capture the input filters and Ericsson agreed with such observation. </w:t>
            </w:r>
          </w:p>
          <w:p w14:paraId="7EF596AC" w14:textId="77777777" w:rsidR="004F5DCB" w:rsidRDefault="008160CE" w:rsidP="00C55303">
            <w:pPr>
              <w:spacing w:before="120" w:after="120"/>
              <w:rPr>
                <w:rFonts w:ascii="Calibri" w:hAnsi="Calibri"/>
                <w:i/>
                <w:iCs/>
              </w:rPr>
            </w:pPr>
            <w:r>
              <w:rPr>
                <w:rFonts w:ascii="Calibri" w:hAnsi="Calibri"/>
                <w:b/>
                <w:bCs/>
                <w:i/>
                <w:iCs/>
              </w:rPr>
              <w:t>Samsung</w:t>
            </w:r>
            <w:r w:rsidRPr="00A41135">
              <w:rPr>
                <w:rFonts w:ascii="Calibri" w:hAnsi="Calibri"/>
                <w:b/>
                <w:bCs/>
                <w:i/>
                <w:iCs/>
              </w:rPr>
              <w:t>:</w:t>
            </w:r>
            <w:r>
              <w:rPr>
                <w:rFonts w:ascii="Calibri" w:hAnsi="Calibri"/>
                <w:i/>
                <w:iCs/>
              </w:rPr>
              <w:t xml:space="preserve"> </w:t>
            </w:r>
            <w:r>
              <w:rPr>
                <w:rFonts w:ascii="Calibri" w:hAnsi="Calibri"/>
                <w:i/>
                <w:iCs/>
              </w:rPr>
              <w:t xml:space="preserve">Support Ericsson’s proposal. </w:t>
            </w:r>
          </w:p>
          <w:p w14:paraId="0A5AEDC3" w14:textId="33438C8B" w:rsidR="008160CE" w:rsidRPr="0006742A" w:rsidRDefault="008160CE" w:rsidP="0006742A">
            <w:pPr>
              <w:spacing w:after="120"/>
            </w:pPr>
            <w:r>
              <w:rPr>
                <w:rFonts w:ascii="Calibri" w:hAnsi="Calibri"/>
                <w:b/>
                <w:bCs/>
                <w:i/>
                <w:iCs/>
                <w:sz w:val="26"/>
                <w:szCs w:val="26"/>
                <w:lang w:eastAsia="en-US"/>
              </w:rPr>
              <w:t xml:space="preserve">Next Steps: </w:t>
            </w:r>
            <w:r w:rsidRPr="008160CE">
              <w:rPr>
                <w:rFonts w:ascii="Calibri" w:hAnsi="Calibri"/>
                <w:i/>
                <w:iCs/>
                <w:sz w:val="26"/>
                <w:szCs w:val="26"/>
                <w:lang w:eastAsia="en-US"/>
              </w:rPr>
              <w:t xml:space="preserve">OPPO is going to kick start the discussion on the SA2 reflector to discuss how to leverage Ericsson’s </w:t>
            </w:r>
            <w:r>
              <w:rPr>
                <w:rFonts w:ascii="Calibri" w:hAnsi="Calibri"/>
                <w:i/>
                <w:iCs/>
                <w:sz w:val="26"/>
                <w:szCs w:val="26"/>
                <w:lang w:eastAsia="en-US"/>
              </w:rPr>
              <w:t xml:space="preserve">proposal to structure individual company’s proposal on the filtering criteria. </w:t>
            </w:r>
            <w:r w:rsidRPr="008160CE">
              <w:rPr>
                <w:rFonts w:ascii="Calibri" w:hAnsi="Calibri"/>
                <w:i/>
                <w:iCs/>
                <w:sz w:val="26"/>
                <w:szCs w:val="26"/>
                <w:lang w:eastAsia="en-US"/>
              </w:rPr>
              <w:t xml:space="preserve">  </w:t>
            </w:r>
          </w:p>
        </w:tc>
      </w:tr>
    </w:tbl>
    <w:p w14:paraId="3DD1E23B" w14:textId="37E0B458" w:rsidR="000E7B64" w:rsidRDefault="000E7B64" w:rsidP="000E7B64">
      <w:pPr>
        <w:ind w:left="720"/>
        <w:rPr>
          <w:rFonts w:ascii="Calibri" w:hAnsi="Calibri"/>
          <w:i/>
          <w:iCs/>
          <w:sz w:val="26"/>
          <w:szCs w:val="26"/>
          <w:lang w:eastAsia="en-US"/>
        </w:rPr>
      </w:pPr>
    </w:p>
    <w:p w14:paraId="427375AD" w14:textId="77777777" w:rsidR="000E7B64" w:rsidRDefault="000E7B64" w:rsidP="005C20CB">
      <w:pPr>
        <w:ind w:left="1440"/>
      </w:pPr>
    </w:p>
    <w:p w14:paraId="5207D127" w14:textId="77777777" w:rsidR="005C20CB" w:rsidRDefault="005C20CB" w:rsidP="005C20CB">
      <w:pPr>
        <w:numPr>
          <w:ilvl w:val="0"/>
          <w:numId w:val="10"/>
        </w:numPr>
        <w:ind w:left="1170" w:hanging="450"/>
      </w:pPr>
      <w:r>
        <w:rPr>
          <w:rFonts w:ascii="Calibri" w:hAnsi="Calibri"/>
          <w:b/>
          <w:bCs/>
          <w:i/>
          <w:iCs/>
          <w:sz w:val="26"/>
          <w:szCs w:val="26"/>
          <w:lang w:eastAsia="en-US"/>
        </w:rPr>
        <w:t xml:space="preserve">B. Network Analytics Extensions </w:t>
      </w:r>
    </w:p>
    <w:p w14:paraId="10EFAB13" w14:textId="77777777" w:rsidR="005C20CB" w:rsidRDefault="005C20CB" w:rsidP="005C20CB">
      <w:pPr>
        <w:ind w:left="720"/>
      </w:pPr>
      <w:r>
        <w:rPr>
          <w:rFonts w:ascii="Calibri" w:hAnsi="Calibri"/>
          <w:b/>
          <w:bCs/>
          <w:i/>
          <w:iCs/>
          <w:sz w:val="26"/>
          <w:szCs w:val="26"/>
          <w:lang w:eastAsia="en-US"/>
        </w:rPr>
        <w:t xml:space="preserve">Next Steps: </w:t>
      </w:r>
    </w:p>
    <w:p w14:paraId="5582AC93" w14:textId="77777777" w:rsidR="005C20CB" w:rsidRDefault="005C20CB" w:rsidP="005C20CB">
      <w:pPr>
        <w:numPr>
          <w:ilvl w:val="1"/>
          <w:numId w:val="11"/>
        </w:numPr>
      </w:pPr>
      <w:r>
        <w:rPr>
          <w:rFonts w:ascii="Calibri" w:hAnsi="Calibri"/>
          <w:i/>
          <w:iCs/>
          <w:color w:val="0070C0"/>
          <w:sz w:val="26"/>
          <w:szCs w:val="26"/>
          <w:lang w:eastAsia="en-US"/>
        </w:rPr>
        <w:t xml:space="preserve">Address multiple Editor’s Notes in new ‘UE latency performance’ analytics </w:t>
      </w:r>
      <w:r>
        <w:rPr>
          <w:rFonts w:ascii="Calibri" w:hAnsi="Calibri"/>
          <w:b/>
          <w:bCs/>
          <w:i/>
          <w:iCs/>
          <w:sz w:val="26"/>
          <w:szCs w:val="26"/>
          <w:lang w:eastAsia="en-US"/>
        </w:rPr>
        <w:t>(Host: Tricci)</w:t>
      </w:r>
    </w:p>
    <w:p w14:paraId="112377D8" w14:textId="77777777" w:rsidR="005C20CB" w:rsidRPr="00F3630E" w:rsidRDefault="005C20CB" w:rsidP="005C20CB">
      <w:pPr>
        <w:numPr>
          <w:ilvl w:val="2"/>
          <w:numId w:val="11"/>
        </w:numPr>
        <w:ind w:left="1800"/>
      </w:pPr>
      <w:r>
        <w:rPr>
          <w:rFonts w:ascii="Calibri" w:hAnsi="Calibri"/>
          <w:i/>
          <w:iCs/>
          <w:color w:val="0070C0"/>
          <w:sz w:val="26"/>
          <w:szCs w:val="26"/>
          <w:lang w:eastAsia="en-US"/>
        </w:rPr>
        <w:t xml:space="preserve">Tdoc reference: </w:t>
      </w:r>
      <w:hyperlink r:id="rId25" w:history="1">
        <w:r>
          <w:rPr>
            <w:rStyle w:val="Hyperlink"/>
            <w:rFonts w:ascii="Calibri" w:hAnsi="Calibri"/>
            <w:i/>
            <w:iCs/>
            <w:sz w:val="26"/>
            <w:szCs w:val="26"/>
            <w:lang w:eastAsia="en-US"/>
          </w:rPr>
          <w:t>S2-2301587</w:t>
        </w:r>
      </w:hyperlink>
    </w:p>
    <w:bookmarkStart w:id="3" w:name="_MON_1737168540"/>
    <w:bookmarkEnd w:id="3"/>
    <w:p w14:paraId="18B9574A" w14:textId="77777777" w:rsidR="00F3630E" w:rsidRDefault="00F3630E" w:rsidP="005C20CB">
      <w:pPr>
        <w:numPr>
          <w:ilvl w:val="2"/>
          <w:numId w:val="11"/>
        </w:numPr>
        <w:ind w:left="1800"/>
      </w:pPr>
      <w:r>
        <w:object w:dxaOrig="1532" w:dyaOrig="991" w14:anchorId="39DE1E1D">
          <v:shape id="_x0000_i1029" type="#_x0000_t75" style="width:76.4pt;height:49.45pt" o:ole="">
            <v:imagedata r:id="rId26" o:title=""/>
          </v:shape>
          <o:OLEObject Type="Embed" ProgID="Word.Document.12" ShapeID="_x0000_i1029" DrawAspect="Icon" ObjectID="_1737258959" r:id="rId27">
            <o:FieldCodes>\s</o:FieldCodes>
          </o:OLEObject>
        </w:object>
      </w:r>
    </w:p>
    <w:p w14:paraId="19565FBE" w14:textId="77777777" w:rsidR="005C20CB" w:rsidRDefault="005C20CB" w:rsidP="005C20CB">
      <w:r>
        <w:rPr>
          <w:rFonts w:ascii="Calibri" w:hAnsi="Calibri"/>
          <w:i/>
          <w:iCs/>
          <w:sz w:val="26"/>
          <w:szCs w:val="26"/>
          <w:lang w:eastAsia="en-US"/>
        </w:rPr>
        <w:t> </w:t>
      </w:r>
    </w:p>
    <w:p w14:paraId="21A3B5CC" w14:textId="49A1FFD0" w:rsidR="005C20CB" w:rsidRDefault="005C20CB" w:rsidP="005C20CB">
      <w:pPr>
        <w:ind w:left="1440"/>
        <w:rPr>
          <w:rFonts w:ascii="Calibri" w:hAnsi="Calibri"/>
          <w:i/>
          <w:iCs/>
          <w:sz w:val="26"/>
          <w:szCs w:val="26"/>
          <w:lang w:eastAsia="en-US"/>
        </w:rPr>
      </w:pPr>
      <w:r>
        <w:rPr>
          <w:rFonts w:ascii="Calibri" w:hAnsi="Calibri"/>
          <w:i/>
          <w:iCs/>
          <w:sz w:val="26"/>
          <w:szCs w:val="26"/>
          <w:lang w:eastAsia="en-US"/>
        </w:rPr>
        <w:t> </w:t>
      </w:r>
    </w:p>
    <w:tbl>
      <w:tblPr>
        <w:tblStyle w:val="TableGrid"/>
        <w:tblW w:w="0" w:type="auto"/>
        <w:tblInd w:w="180" w:type="dxa"/>
        <w:tblLook w:val="04A0" w:firstRow="1" w:lastRow="0" w:firstColumn="1" w:lastColumn="0" w:noHBand="0" w:noVBand="1"/>
      </w:tblPr>
      <w:tblGrid>
        <w:gridCol w:w="9170"/>
      </w:tblGrid>
      <w:tr w:rsidR="00614FA6" w14:paraId="0733DEA0" w14:textId="77777777" w:rsidTr="00614FA6">
        <w:tc>
          <w:tcPr>
            <w:tcW w:w="9350" w:type="dxa"/>
          </w:tcPr>
          <w:p w14:paraId="2C92E266" w14:textId="77777777" w:rsidR="00B022E1" w:rsidRDefault="00B022E1" w:rsidP="00B022E1">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182D1559" w14:textId="77777777" w:rsidR="00614FA6" w:rsidRDefault="00B022E1" w:rsidP="00B022E1">
            <w:pPr>
              <w:spacing w:before="120" w:after="120"/>
              <w:rPr>
                <w:rFonts w:ascii="Calibri" w:hAnsi="Calibri"/>
                <w:i/>
                <w:iCs/>
              </w:rPr>
            </w:pPr>
            <w:r>
              <w:rPr>
                <w:rFonts w:ascii="Calibri" w:hAnsi="Calibri"/>
                <w:b/>
                <w:bCs/>
                <w:i/>
                <w:iCs/>
              </w:rPr>
              <w:t>Nokia</w:t>
            </w:r>
            <w:r w:rsidRPr="00A41135">
              <w:rPr>
                <w:rFonts w:ascii="Calibri" w:hAnsi="Calibri"/>
                <w:b/>
                <w:bCs/>
                <w:i/>
                <w:iCs/>
              </w:rPr>
              <w:t>:</w:t>
            </w:r>
            <w:r>
              <w:rPr>
                <w:rFonts w:ascii="Calibri" w:hAnsi="Calibri"/>
                <w:i/>
                <w:iCs/>
              </w:rPr>
              <w:t xml:space="preserve"> </w:t>
            </w:r>
            <w:r w:rsidR="000153EC">
              <w:rPr>
                <w:rFonts w:ascii="Calibri" w:hAnsi="Calibri"/>
                <w:i/>
                <w:iCs/>
              </w:rPr>
              <w:t xml:space="preserve">Discussed the outstanding issues regarding to this UE Latency Analytics which are fine tunning of the input parameters, whether the aggregated latency inputs are needed etc. </w:t>
            </w:r>
            <w:r w:rsidR="00396A7B">
              <w:rPr>
                <w:rFonts w:ascii="Calibri" w:hAnsi="Calibri"/>
                <w:i/>
                <w:iCs/>
              </w:rPr>
              <w:t xml:space="preserve">  More discussions are needed for DoCoMo proposal to include the transmission data volume and transmission time. </w:t>
            </w:r>
            <w:r w:rsidR="000153EC">
              <w:rPr>
                <w:rFonts w:ascii="Calibri" w:hAnsi="Calibri"/>
                <w:i/>
                <w:iCs/>
              </w:rPr>
              <w:t xml:space="preserve"> </w:t>
            </w:r>
          </w:p>
          <w:p w14:paraId="089356F3" w14:textId="43839B0D" w:rsidR="0094631C" w:rsidRDefault="0094631C" w:rsidP="00B022E1">
            <w:pPr>
              <w:spacing w:before="120" w:after="120"/>
              <w:rPr>
                <w:rFonts w:ascii="Calibri" w:hAnsi="Calibri"/>
                <w:i/>
                <w:iCs/>
              </w:rPr>
            </w:pPr>
            <w:r w:rsidRPr="00341187">
              <w:rPr>
                <w:rFonts w:ascii="Calibri" w:hAnsi="Calibri"/>
                <w:b/>
                <w:bCs/>
                <w:i/>
                <w:iCs/>
              </w:rPr>
              <w:t>Samsung</w:t>
            </w:r>
            <w:r>
              <w:rPr>
                <w:rFonts w:ascii="Calibri" w:hAnsi="Calibri"/>
                <w:i/>
                <w:iCs/>
              </w:rPr>
              <w:t>: In general, it is okay for Samsung can accept these two input parameters</w:t>
            </w:r>
            <w:r w:rsidR="00341187">
              <w:rPr>
                <w:rFonts w:ascii="Calibri" w:hAnsi="Calibri"/>
                <w:i/>
                <w:iCs/>
              </w:rPr>
              <w:t xml:space="preserve"> and would like to ask more clarifications on what event is used to provide the input</w:t>
            </w:r>
            <w:r>
              <w:rPr>
                <w:rFonts w:ascii="Calibri" w:hAnsi="Calibri"/>
                <w:i/>
                <w:iCs/>
              </w:rPr>
              <w:t>, however, Samsung doesn’t think that these two parameters need to be tightly coupled</w:t>
            </w:r>
            <w:r w:rsidR="00341187">
              <w:rPr>
                <w:rFonts w:ascii="Calibri" w:hAnsi="Calibri"/>
                <w:i/>
                <w:iCs/>
              </w:rPr>
              <w:t xml:space="preserve"> because Samsung believes that there could be different volume for different iteration </w:t>
            </w:r>
            <w:r w:rsidR="002E6C51">
              <w:rPr>
                <w:rFonts w:ascii="Calibri" w:hAnsi="Calibri"/>
                <w:i/>
                <w:iCs/>
              </w:rPr>
              <w:t>from different UEs during</w:t>
            </w:r>
            <w:r w:rsidR="00341187">
              <w:rPr>
                <w:rFonts w:ascii="Calibri" w:hAnsi="Calibri"/>
                <w:i/>
                <w:iCs/>
              </w:rPr>
              <w:t xml:space="preserve"> the distributed FL</w:t>
            </w:r>
            <w:r w:rsidR="00777411">
              <w:rPr>
                <w:rFonts w:ascii="Calibri" w:hAnsi="Calibri"/>
                <w:i/>
                <w:iCs/>
              </w:rPr>
              <w:t xml:space="preserve"> training</w:t>
            </w:r>
            <w:r w:rsidR="00341187">
              <w:rPr>
                <w:rFonts w:ascii="Calibri" w:hAnsi="Calibri"/>
                <w:i/>
                <w:iCs/>
              </w:rPr>
              <w:t xml:space="preserve">.  </w:t>
            </w:r>
            <w:r>
              <w:rPr>
                <w:rFonts w:ascii="Calibri" w:hAnsi="Calibri"/>
                <w:i/>
                <w:iCs/>
              </w:rPr>
              <w:t xml:space="preserve">  </w:t>
            </w:r>
          </w:p>
          <w:p w14:paraId="4F41DA30" w14:textId="78B97A35" w:rsidR="00341187" w:rsidRDefault="00341187" w:rsidP="00B022E1">
            <w:pPr>
              <w:spacing w:before="120" w:after="120"/>
              <w:rPr>
                <w:rFonts w:ascii="Calibri" w:hAnsi="Calibri"/>
                <w:i/>
                <w:iCs/>
              </w:rPr>
            </w:pPr>
            <w:r>
              <w:rPr>
                <w:rFonts w:ascii="Calibri" w:hAnsi="Calibri"/>
                <w:b/>
                <w:bCs/>
                <w:i/>
                <w:iCs/>
              </w:rPr>
              <w:t>NTT DoCoMo</w:t>
            </w:r>
            <w:r>
              <w:rPr>
                <w:rFonts w:ascii="Calibri" w:hAnsi="Calibri"/>
                <w:i/>
                <w:iCs/>
              </w:rPr>
              <w:t xml:space="preserve">: </w:t>
            </w:r>
            <w:r w:rsidR="001F168D">
              <w:rPr>
                <w:rFonts w:ascii="Calibri" w:hAnsi="Calibri"/>
                <w:i/>
                <w:iCs/>
              </w:rPr>
              <w:t xml:space="preserve">Agreeing more discussions are needed to determine what event to support the input parameters for the transmission volume and transmission delay. </w:t>
            </w:r>
            <w:r w:rsidR="007E0983">
              <w:rPr>
                <w:rFonts w:ascii="Calibri" w:hAnsi="Calibri"/>
                <w:i/>
                <w:iCs/>
              </w:rPr>
              <w:t xml:space="preserve">However, DoCoMo believes that these two input parameters need to be coupled because they are </w:t>
            </w:r>
            <w:r w:rsidR="007E0983">
              <w:rPr>
                <w:rFonts w:ascii="Calibri" w:hAnsi="Calibri"/>
                <w:i/>
                <w:iCs/>
              </w:rPr>
              <w:lastRenderedPageBreak/>
              <w:t xml:space="preserve">used to determine </w:t>
            </w:r>
            <w:r w:rsidR="00613C59">
              <w:rPr>
                <w:rFonts w:ascii="Calibri" w:hAnsi="Calibri"/>
                <w:i/>
                <w:iCs/>
              </w:rPr>
              <w:t>statistic for the</w:t>
            </w:r>
            <w:r w:rsidR="007E0983">
              <w:rPr>
                <w:rFonts w:ascii="Calibri" w:hAnsi="Calibri"/>
                <w:i/>
                <w:iCs/>
              </w:rPr>
              <w:t xml:space="preserve"> required time to support the data transmission. </w:t>
            </w:r>
            <w:r w:rsidR="008B4766">
              <w:rPr>
                <w:rFonts w:ascii="Calibri" w:hAnsi="Calibri"/>
                <w:i/>
                <w:iCs/>
              </w:rPr>
              <w:t xml:space="preserve">  Huawei agreed with DoCoMo.  </w:t>
            </w:r>
          </w:p>
          <w:p w14:paraId="7F5D2DD2" w14:textId="1A3B2EC7" w:rsidR="00EA019D" w:rsidRDefault="00EA019D" w:rsidP="00B022E1">
            <w:pPr>
              <w:spacing w:before="120" w:after="120"/>
              <w:rPr>
                <w:rFonts w:ascii="Calibri" w:hAnsi="Calibri"/>
                <w:i/>
                <w:iCs/>
              </w:rPr>
            </w:pPr>
            <w:r w:rsidRPr="0076193D">
              <w:rPr>
                <w:rFonts w:ascii="Calibri" w:hAnsi="Calibri"/>
                <w:b/>
                <w:bCs/>
                <w:i/>
                <w:iCs/>
              </w:rPr>
              <w:t>Lenovo:</w:t>
            </w:r>
            <w:r>
              <w:rPr>
                <w:rFonts w:ascii="Calibri" w:hAnsi="Calibri"/>
                <w:i/>
                <w:iCs/>
              </w:rPr>
              <w:t xml:space="preserve">  It is unclear how to leverage the addition of the OAM data to support this particular UE Latency analytics. </w:t>
            </w:r>
            <w:r w:rsidR="008B4766">
              <w:rPr>
                <w:rFonts w:ascii="Calibri" w:hAnsi="Calibri"/>
                <w:i/>
                <w:iCs/>
              </w:rPr>
              <w:t xml:space="preserve"> </w:t>
            </w:r>
          </w:p>
          <w:p w14:paraId="371B1B5B" w14:textId="787F9964" w:rsidR="0076193D" w:rsidRDefault="009B42AC" w:rsidP="00B022E1">
            <w:pPr>
              <w:spacing w:before="120" w:after="120"/>
              <w:rPr>
                <w:rFonts w:ascii="Calibri" w:hAnsi="Calibri"/>
                <w:i/>
                <w:iCs/>
              </w:rPr>
            </w:pPr>
            <w:r w:rsidRPr="00A22EEA">
              <w:rPr>
                <w:rFonts w:ascii="Calibri" w:hAnsi="Calibri"/>
                <w:b/>
                <w:bCs/>
                <w:i/>
                <w:iCs/>
              </w:rPr>
              <w:t>Huawei</w:t>
            </w:r>
            <w:r w:rsidR="0076193D" w:rsidRPr="00A22EEA">
              <w:rPr>
                <w:rFonts w:ascii="Calibri" w:hAnsi="Calibri"/>
                <w:b/>
                <w:bCs/>
                <w:i/>
                <w:iCs/>
              </w:rPr>
              <w:t>:</w:t>
            </w:r>
            <w:r w:rsidR="0076193D">
              <w:rPr>
                <w:rFonts w:ascii="Calibri" w:hAnsi="Calibri"/>
                <w:i/>
                <w:iCs/>
              </w:rPr>
              <w:t xml:space="preserve"> </w:t>
            </w:r>
            <w:r>
              <w:rPr>
                <w:rFonts w:ascii="Calibri" w:hAnsi="Calibri"/>
                <w:i/>
                <w:iCs/>
              </w:rPr>
              <w:t xml:space="preserve"> It is unclear how the aggregated QoS parameters such as packet loss rate can be used to </w:t>
            </w:r>
            <w:r w:rsidR="00A22EEA">
              <w:rPr>
                <w:rFonts w:ascii="Calibri" w:hAnsi="Calibri"/>
                <w:i/>
                <w:iCs/>
              </w:rPr>
              <w:t>derive the</w:t>
            </w:r>
            <w:r>
              <w:rPr>
                <w:rFonts w:ascii="Calibri" w:hAnsi="Calibri"/>
                <w:i/>
                <w:iCs/>
              </w:rPr>
              <w:t xml:space="preserve"> prediction for this UE latency analytics? </w:t>
            </w:r>
            <w:r w:rsidR="00C2310E">
              <w:rPr>
                <w:rFonts w:ascii="Calibri" w:hAnsi="Calibri"/>
                <w:i/>
                <w:iCs/>
              </w:rPr>
              <w:t>Huawei also has concern for the title of the UE Latency Analytics because the purpose of this particular analytics is not about determining the latency, rather, it is about how much time to support the specific AI/ML transmission</w:t>
            </w:r>
            <w:r w:rsidR="0070513A">
              <w:rPr>
                <w:rFonts w:ascii="Calibri" w:hAnsi="Calibri"/>
                <w:i/>
                <w:iCs/>
              </w:rPr>
              <w:t xml:space="preserve"> (e.g. model download)</w:t>
            </w:r>
            <w:r w:rsidR="00C2310E">
              <w:rPr>
                <w:rFonts w:ascii="Calibri" w:hAnsi="Calibri"/>
                <w:i/>
                <w:iCs/>
              </w:rPr>
              <w:t xml:space="preserve">. </w:t>
            </w:r>
          </w:p>
          <w:p w14:paraId="522C9820" w14:textId="6E37ABCF" w:rsidR="00647342" w:rsidRDefault="008E097C" w:rsidP="00B022E1">
            <w:pPr>
              <w:spacing w:before="120" w:after="120"/>
              <w:rPr>
                <w:rFonts w:ascii="Calibri" w:hAnsi="Calibri"/>
                <w:i/>
                <w:iCs/>
              </w:rPr>
            </w:pPr>
            <w:r w:rsidRPr="008E097C">
              <w:rPr>
                <w:rFonts w:ascii="Calibri" w:hAnsi="Calibri"/>
                <w:b/>
                <w:bCs/>
                <w:i/>
                <w:iCs/>
              </w:rPr>
              <w:t>OPPO</w:t>
            </w:r>
            <w:r w:rsidR="00647342" w:rsidRPr="008E097C">
              <w:rPr>
                <w:rFonts w:ascii="Calibri" w:hAnsi="Calibri"/>
                <w:b/>
                <w:bCs/>
                <w:i/>
                <w:iCs/>
              </w:rPr>
              <w:t>:</w:t>
            </w:r>
            <w:r w:rsidR="00647342">
              <w:rPr>
                <w:rFonts w:ascii="Calibri" w:hAnsi="Calibri"/>
                <w:i/>
                <w:iCs/>
              </w:rPr>
              <w:t xml:space="preserve"> </w:t>
            </w:r>
            <w:r>
              <w:rPr>
                <w:rFonts w:ascii="Calibri" w:hAnsi="Calibri"/>
                <w:i/>
                <w:iCs/>
              </w:rPr>
              <w:t xml:space="preserve">Disagreeing with Samsung’s earlier comment that the traffic volume could be various for different iteration.  It is because a given volume transmission is based on a fixed set of parameters. </w:t>
            </w:r>
          </w:p>
          <w:p w14:paraId="4A2BA3B3" w14:textId="7A8A66C0" w:rsidR="008E097C" w:rsidRDefault="008E097C" w:rsidP="00B022E1">
            <w:pPr>
              <w:spacing w:before="120" w:after="120"/>
              <w:rPr>
                <w:rFonts w:ascii="Calibri" w:hAnsi="Calibri"/>
                <w:i/>
                <w:iCs/>
                <w:sz w:val="26"/>
                <w:szCs w:val="26"/>
                <w:lang w:eastAsia="en-US"/>
              </w:rPr>
            </w:pPr>
            <w:r w:rsidRPr="008E097C">
              <w:rPr>
                <w:rFonts w:ascii="Calibri" w:hAnsi="Calibri"/>
                <w:b/>
                <w:bCs/>
                <w:i/>
                <w:iCs/>
                <w:sz w:val="26"/>
                <w:szCs w:val="26"/>
                <w:lang w:eastAsia="en-US"/>
              </w:rPr>
              <w:t>Next Step:</w:t>
            </w:r>
            <w:r>
              <w:rPr>
                <w:rFonts w:ascii="Calibri" w:hAnsi="Calibri"/>
                <w:i/>
                <w:iCs/>
                <w:sz w:val="26"/>
                <w:szCs w:val="26"/>
                <w:lang w:eastAsia="en-US"/>
              </w:rPr>
              <w:t xml:space="preserve"> Nokia will kick off the discussions to close on the open issues for this UE latency performance analytics.  </w:t>
            </w:r>
          </w:p>
        </w:tc>
      </w:tr>
    </w:tbl>
    <w:p w14:paraId="66DF9D29" w14:textId="2B9D1C7E" w:rsidR="00614FA6" w:rsidRDefault="00614FA6" w:rsidP="00614FA6">
      <w:pPr>
        <w:ind w:left="180"/>
        <w:rPr>
          <w:rFonts w:ascii="Calibri" w:hAnsi="Calibri"/>
          <w:i/>
          <w:iCs/>
          <w:sz w:val="26"/>
          <w:szCs w:val="26"/>
          <w:lang w:eastAsia="en-US"/>
        </w:rPr>
      </w:pPr>
    </w:p>
    <w:p w14:paraId="455AC525" w14:textId="77777777" w:rsidR="00614FA6" w:rsidRDefault="00614FA6" w:rsidP="005C20CB">
      <w:pPr>
        <w:ind w:left="1440"/>
      </w:pPr>
    </w:p>
    <w:p w14:paraId="20820850" w14:textId="77777777" w:rsidR="005C20CB" w:rsidRDefault="005C20CB" w:rsidP="005C20CB">
      <w:pPr>
        <w:numPr>
          <w:ilvl w:val="3"/>
          <w:numId w:val="11"/>
        </w:numPr>
        <w:ind w:left="1080"/>
      </w:pPr>
      <w:r>
        <w:rPr>
          <w:rFonts w:ascii="Calibri" w:hAnsi="Calibri"/>
          <w:b/>
          <w:bCs/>
          <w:i/>
          <w:iCs/>
          <w:sz w:val="26"/>
          <w:szCs w:val="26"/>
          <w:lang w:eastAsia="en-US"/>
        </w:rPr>
        <w:t>C. Misc</w:t>
      </w:r>
    </w:p>
    <w:p w14:paraId="37859731" w14:textId="77777777" w:rsidR="005C20CB" w:rsidRDefault="005C20CB" w:rsidP="005C20CB">
      <w:pPr>
        <w:ind w:left="720"/>
      </w:pPr>
      <w:r>
        <w:rPr>
          <w:rFonts w:ascii="Calibri" w:hAnsi="Calibri"/>
          <w:b/>
          <w:bCs/>
          <w:i/>
          <w:iCs/>
          <w:sz w:val="26"/>
          <w:szCs w:val="26"/>
          <w:lang w:eastAsia="en-US"/>
        </w:rPr>
        <w:t xml:space="preserve">Next Steps: </w:t>
      </w:r>
      <w:r>
        <w:rPr>
          <w:rFonts w:ascii="Calibri" w:hAnsi="Calibri"/>
          <w:i/>
          <w:iCs/>
          <w:color w:val="0070C0"/>
          <w:sz w:val="26"/>
          <w:szCs w:val="26"/>
          <w:lang w:eastAsia="en-US"/>
        </w:rPr>
        <w:t xml:space="preserve">Determine whether PCF provides direct support for performance monitoring exposure to AF </w:t>
      </w:r>
      <w:r>
        <w:rPr>
          <w:rFonts w:ascii="Calibri" w:hAnsi="Calibri"/>
          <w:b/>
          <w:bCs/>
          <w:i/>
          <w:iCs/>
          <w:sz w:val="26"/>
          <w:szCs w:val="26"/>
          <w:lang w:eastAsia="en-US"/>
        </w:rPr>
        <w:t>(Host: Tricci)</w:t>
      </w:r>
    </w:p>
    <w:p w14:paraId="1B05FA23" w14:textId="77777777" w:rsidR="005C20CB" w:rsidRDefault="005C20CB" w:rsidP="005C20CB">
      <w:pPr>
        <w:numPr>
          <w:ilvl w:val="2"/>
          <w:numId w:val="11"/>
        </w:numPr>
        <w:ind w:left="1800"/>
      </w:pPr>
      <w:r>
        <w:rPr>
          <w:rFonts w:ascii="Calibri" w:hAnsi="Calibri"/>
          <w:i/>
          <w:iCs/>
          <w:color w:val="0070C0"/>
          <w:sz w:val="26"/>
          <w:szCs w:val="26"/>
          <w:lang w:eastAsia="en-US"/>
        </w:rPr>
        <w:t xml:space="preserve">Tdoc reference: </w:t>
      </w:r>
      <w:hyperlink r:id="rId28" w:history="1">
        <w:r>
          <w:rPr>
            <w:rStyle w:val="Hyperlink"/>
            <w:rFonts w:ascii="Calibri" w:hAnsi="Calibri"/>
            <w:i/>
            <w:iCs/>
            <w:sz w:val="26"/>
            <w:szCs w:val="26"/>
            <w:lang w:eastAsia="en-US"/>
          </w:rPr>
          <w:t>S2-2301103</w:t>
        </w:r>
      </w:hyperlink>
    </w:p>
    <w:p w14:paraId="4F59C131" w14:textId="40BD31D0" w:rsidR="005C20CB" w:rsidRDefault="005C20CB"/>
    <w:tbl>
      <w:tblPr>
        <w:tblStyle w:val="TableGrid"/>
        <w:tblW w:w="0" w:type="auto"/>
        <w:tblInd w:w="180" w:type="dxa"/>
        <w:tblLook w:val="04A0" w:firstRow="1" w:lastRow="0" w:firstColumn="1" w:lastColumn="0" w:noHBand="0" w:noVBand="1"/>
      </w:tblPr>
      <w:tblGrid>
        <w:gridCol w:w="9170"/>
      </w:tblGrid>
      <w:tr w:rsidR="00D46736" w14:paraId="0A5DDAB1" w14:textId="77777777" w:rsidTr="00D46736">
        <w:tc>
          <w:tcPr>
            <w:tcW w:w="9350" w:type="dxa"/>
          </w:tcPr>
          <w:p w14:paraId="1AA4AEF1" w14:textId="77777777" w:rsidR="00D46736" w:rsidRDefault="00D46736" w:rsidP="00D46736">
            <w:pPr>
              <w:spacing w:before="120" w:after="120"/>
              <w:rPr>
                <w:rFonts w:asciiTheme="minorHAnsi" w:hAnsiTheme="minorHAnsi" w:cstheme="minorHAnsi"/>
                <w:i/>
                <w:iCs/>
              </w:rPr>
            </w:pPr>
            <w:r w:rsidRPr="005E707E">
              <w:rPr>
                <w:rFonts w:asciiTheme="minorHAnsi" w:hAnsiTheme="minorHAnsi" w:cstheme="minorHAnsi"/>
                <w:b/>
                <w:bCs/>
                <w:i/>
                <w:iCs/>
              </w:rPr>
              <w:t>Meeting Note</w:t>
            </w:r>
            <w:r>
              <w:rPr>
                <w:rFonts w:asciiTheme="minorHAnsi" w:hAnsiTheme="minorHAnsi" w:cstheme="minorHAnsi"/>
                <w:b/>
                <w:bCs/>
                <w:i/>
                <w:iCs/>
              </w:rPr>
              <w:t>s</w:t>
            </w:r>
            <w:r w:rsidRPr="005E707E">
              <w:rPr>
                <w:rFonts w:asciiTheme="minorHAnsi" w:hAnsiTheme="minorHAnsi" w:cstheme="minorHAnsi"/>
                <w:b/>
                <w:bCs/>
                <w:i/>
                <w:iCs/>
              </w:rPr>
              <w:t>:</w:t>
            </w:r>
            <w:r w:rsidRPr="005E707E">
              <w:rPr>
                <w:rFonts w:asciiTheme="minorHAnsi" w:hAnsiTheme="minorHAnsi" w:cstheme="minorHAnsi"/>
                <w:i/>
                <w:iCs/>
              </w:rPr>
              <w:t xml:space="preserve">  </w:t>
            </w:r>
          </w:p>
          <w:p w14:paraId="5EB19280" w14:textId="77777777" w:rsidR="00D46736" w:rsidRPr="001000E9" w:rsidRDefault="00D46736" w:rsidP="00D46736">
            <w:pPr>
              <w:spacing w:before="120" w:after="120"/>
              <w:rPr>
                <w:rFonts w:asciiTheme="minorHAnsi" w:hAnsiTheme="minorHAnsi" w:cstheme="minorHAnsi"/>
                <w:i/>
                <w:iCs/>
              </w:rPr>
            </w:pPr>
            <w:r>
              <w:rPr>
                <w:rFonts w:ascii="Calibri" w:hAnsi="Calibri"/>
                <w:b/>
                <w:bCs/>
                <w:i/>
                <w:iCs/>
              </w:rPr>
              <w:t>CATT</w:t>
            </w:r>
            <w:r w:rsidRPr="00A41135">
              <w:rPr>
                <w:rFonts w:ascii="Calibri" w:hAnsi="Calibri"/>
                <w:b/>
                <w:bCs/>
                <w:i/>
                <w:iCs/>
              </w:rPr>
              <w:t>:</w:t>
            </w:r>
            <w:r>
              <w:rPr>
                <w:rFonts w:ascii="Calibri" w:hAnsi="Calibri"/>
                <w:i/>
                <w:iCs/>
              </w:rPr>
              <w:t xml:space="preserve"> </w:t>
            </w:r>
            <w:r w:rsidR="001000E9">
              <w:rPr>
                <w:rFonts w:ascii="Calibri" w:hAnsi="Calibri"/>
                <w:i/>
                <w:iCs/>
              </w:rPr>
              <w:t xml:space="preserve">From CATT’s perspective, PCF has the ability to provide the performance data to the AF which may be via NEF.  Hence, the same functionality can also apply to support AIML operation.  </w:t>
            </w:r>
          </w:p>
          <w:p w14:paraId="16EFD8D3" w14:textId="48AF8AB4" w:rsidR="001000E9" w:rsidRPr="001000E9" w:rsidRDefault="001000E9" w:rsidP="00D46736">
            <w:pPr>
              <w:spacing w:before="120" w:after="120"/>
              <w:rPr>
                <w:rFonts w:asciiTheme="minorHAnsi" w:hAnsiTheme="minorHAnsi" w:cstheme="minorHAnsi"/>
                <w:i/>
                <w:iCs/>
              </w:rPr>
            </w:pPr>
            <w:r w:rsidRPr="001000E9">
              <w:rPr>
                <w:rFonts w:asciiTheme="minorHAnsi" w:hAnsiTheme="minorHAnsi" w:cstheme="minorHAnsi"/>
                <w:b/>
                <w:bCs/>
                <w:i/>
                <w:iCs/>
              </w:rPr>
              <w:t>Huawei</w:t>
            </w:r>
            <w:r w:rsidRPr="001000E9">
              <w:rPr>
                <w:rFonts w:asciiTheme="minorHAnsi" w:hAnsiTheme="minorHAnsi" w:cstheme="minorHAnsi"/>
                <w:i/>
                <w:iCs/>
              </w:rPr>
              <w:t xml:space="preserve">: The scenario that suggested by CATT can be supported today and hence, there is no need for any changes as proposed by CATT. </w:t>
            </w:r>
          </w:p>
        </w:tc>
      </w:tr>
    </w:tbl>
    <w:p w14:paraId="352CCA89" w14:textId="77777777" w:rsidR="00D46736" w:rsidRDefault="00D46736" w:rsidP="00D46736">
      <w:pPr>
        <w:ind w:left="180"/>
      </w:pPr>
    </w:p>
    <w:sectPr w:rsidR="00D467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2779B"/>
    <w:multiLevelType w:val="hybridMultilevel"/>
    <w:tmpl w:val="C07CFE60"/>
    <w:lvl w:ilvl="0" w:tplc="37A06734">
      <w:start w:val="1"/>
      <w:numFmt w:val="bullet"/>
      <w:lvlText w:val="•"/>
      <w:lvlJc w:val="left"/>
      <w:pPr>
        <w:tabs>
          <w:tab w:val="num" w:pos="360"/>
        </w:tabs>
        <w:ind w:left="360" w:hanging="360"/>
      </w:pPr>
      <w:rPr>
        <w:rFonts w:ascii="Arial" w:hAnsi="Arial" w:cs="Times New Roman" w:hint="default"/>
      </w:rPr>
    </w:lvl>
    <w:lvl w:ilvl="1" w:tplc="3446E2EC">
      <w:numFmt w:val="bullet"/>
      <w:lvlText w:val=""/>
      <w:lvlJc w:val="left"/>
      <w:pPr>
        <w:ind w:left="1080" w:hanging="360"/>
      </w:pPr>
      <w:rPr>
        <w:rFonts w:ascii="Wingdings" w:hAnsi="Wingdings" w:hint="default"/>
      </w:rPr>
    </w:lvl>
    <w:lvl w:ilvl="2" w:tplc="184806F4">
      <w:start w:val="1"/>
      <w:numFmt w:val="bullet"/>
      <w:lvlText w:val="•"/>
      <w:lvlJc w:val="left"/>
      <w:pPr>
        <w:tabs>
          <w:tab w:val="num" w:pos="1800"/>
        </w:tabs>
        <w:ind w:left="1800" w:hanging="360"/>
      </w:pPr>
      <w:rPr>
        <w:rFonts w:ascii="Arial" w:hAnsi="Arial" w:cs="Times New Roman" w:hint="default"/>
      </w:rPr>
    </w:lvl>
    <w:lvl w:ilvl="3" w:tplc="3446E2EC">
      <w:numFmt w:val="bullet"/>
      <w:lvlText w:val=""/>
      <w:lvlJc w:val="left"/>
      <w:pPr>
        <w:tabs>
          <w:tab w:val="num" w:pos="2520"/>
        </w:tabs>
        <w:ind w:left="2520" w:hanging="360"/>
      </w:pPr>
      <w:rPr>
        <w:rFonts w:ascii="Wingdings" w:hAnsi="Wingdings" w:hint="default"/>
      </w:rPr>
    </w:lvl>
    <w:lvl w:ilvl="4" w:tplc="20C0CF7A">
      <w:start w:val="1"/>
      <w:numFmt w:val="bullet"/>
      <w:lvlText w:val="•"/>
      <w:lvlJc w:val="left"/>
      <w:pPr>
        <w:tabs>
          <w:tab w:val="num" w:pos="3240"/>
        </w:tabs>
        <w:ind w:left="3240" w:hanging="360"/>
      </w:pPr>
      <w:rPr>
        <w:rFonts w:ascii="Arial" w:hAnsi="Arial" w:cs="Times New Roman" w:hint="default"/>
      </w:rPr>
    </w:lvl>
    <w:lvl w:ilvl="5" w:tplc="F760D37A">
      <w:start w:val="1"/>
      <w:numFmt w:val="bullet"/>
      <w:lvlText w:val="•"/>
      <w:lvlJc w:val="left"/>
      <w:pPr>
        <w:tabs>
          <w:tab w:val="num" w:pos="3960"/>
        </w:tabs>
        <w:ind w:left="3960" w:hanging="360"/>
      </w:pPr>
      <w:rPr>
        <w:rFonts w:ascii="Arial" w:hAnsi="Arial" w:cs="Times New Roman" w:hint="default"/>
      </w:rPr>
    </w:lvl>
    <w:lvl w:ilvl="6" w:tplc="B016BED2">
      <w:start w:val="1"/>
      <w:numFmt w:val="bullet"/>
      <w:lvlText w:val="•"/>
      <w:lvlJc w:val="left"/>
      <w:pPr>
        <w:tabs>
          <w:tab w:val="num" w:pos="4680"/>
        </w:tabs>
        <w:ind w:left="4680" w:hanging="360"/>
      </w:pPr>
      <w:rPr>
        <w:rFonts w:ascii="Arial" w:hAnsi="Arial" w:cs="Times New Roman" w:hint="default"/>
      </w:rPr>
    </w:lvl>
    <w:lvl w:ilvl="7" w:tplc="23503650">
      <w:start w:val="1"/>
      <w:numFmt w:val="bullet"/>
      <w:lvlText w:val="•"/>
      <w:lvlJc w:val="left"/>
      <w:pPr>
        <w:tabs>
          <w:tab w:val="num" w:pos="5400"/>
        </w:tabs>
        <w:ind w:left="5400" w:hanging="360"/>
      </w:pPr>
      <w:rPr>
        <w:rFonts w:ascii="Arial" w:hAnsi="Arial" w:cs="Times New Roman" w:hint="default"/>
      </w:rPr>
    </w:lvl>
    <w:lvl w:ilvl="8" w:tplc="E1E830F6">
      <w:start w:val="1"/>
      <w:numFmt w:val="bullet"/>
      <w:lvlText w:val="•"/>
      <w:lvlJc w:val="left"/>
      <w:pPr>
        <w:tabs>
          <w:tab w:val="num" w:pos="6120"/>
        </w:tabs>
        <w:ind w:left="6120" w:hanging="360"/>
      </w:pPr>
      <w:rPr>
        <w:rFonts w:ascii="Arial" w:hAnsi="Arial" w:cs="Times New Roman" w:hint="default"/>
      </w:rPr>
    </w:lvl>
  </w:abstractNum>
  <w:abstractNum w:abstractNumId="1" w15:restartNumberingAfterBreak="0">
    <w:nsid w:val="109A1923"/>
    <w:multiLevelType w:val="hybridMultilevel"/>
    <w:tmpl w:val="F8B84B9E"/>
    <w:lvl w:ilvl="0" w:tplc="78C24E7C">
      <w:start w:val="1"/>
      <w:numFmt w:val="bullet"/>
      <w:lvlText w:val=""/>
      <w:lvlJc w:val="left"/>
      <w:pPr>
        <w:tabs>
          <w:tab w:val="num" w:pos="720"/>
        </w:tabs>
        <w:ind w:left="720" w:hanging="360"/>
      </w:pPr>
      <w:rPr>
        <w:rFonts w:ascii="Symbol" w:hAnsi="Symbol" w:hint="default"/>
      </w:rPr>
    </w:lvl>
    <w:lvl w:ilvl="1" w:tplc="41D640EE">
      <w:numFmt w:val="bullet"/>
      <w:lvlText w:val="•"/>
      <w:lvlJc w:val="left"/>
      <w:pPr>
        <w:tabs>
          <w:tab w:val="num" w:pos="1440"/>
        </w:tabs>
        <w:ind w:left="1440" w:hanging="360"/>
      </w:pPr>
      <w:rPr>
        <w:rFonts w:ascii="Arial" w:hAnsi="Arial" w:hint="default"/>
      </w:rPr>
    </w:lvl>
    <w:lvl w:ilvl="2" w:tplc="5854E556" w:tentative="1">
      <w:start w:val="1"/>
      <w:numFmt w:val="bullet"/>
      <w:lvlText w:val=""/>
      <w:lvlJc w:val="left"/>
      <w:pPr>
        <w:tabs>
          <w:tab w:val="num" w:pos="2160"/>
        </w:tabs>
        <w:ind w:left="2160" w:hanging="360"/>
      </w:pPr>
      <w:rPr>
        <w:rFonts w:ascii="Symbol" w:hAnsi="Symbol" w:hint="default"/>
      </w:rPr>
    </w:lvl>
    <w:lvl w:ilvl="3" w:tplc="A81A7C8E" w:tentative="1">
      <w:start w:val="1"/>
      <w:numFmt w:val="bullet"/>
      <w:lvlText w:val=""/>
      <w:lvlJc w:val="left"/>
      <w:pPr>
        <w:tabs>
          <w:tab w:val="num" w:pos="2880"/>
        </w:tabs>
        <w:ind w:left="2880" w:hanging="360"/>
      </w:pPr>
      <w:rPr>
        <w:rFonts w:ascii="Symbol" w:hAnsi="Symbol" w:hint="default"/>
      </w:rPr>
    </w:lvl>
    <w:lvl w:ilvl="4" w:tplc="E50ED02E" w:tentative="1">
      <w:start w:val="1"/>
      <w:numFmt w:val="bullet"/>
      <w:lvlText w:val=""/>
      <w:lvlJc w:val="left"/>
      <w:pPr>
        <w:tabs>
          <w:tab w:val="num" w:pos="3600"/>
        </w:tabs>
        <w:ind w:left="3600" w:hanging="360"/>
      </w:pPr>
      <w:rPr>
        <w:rFonts w:ascii="Symbol" w:hAnsi="Symbol" w:hint="default"/>
      </w:rPr>
    </w:lvl>
    <w:lvl w:ilvl="5" w:tplc="2B2A5AA4" w:tentative="1">
      <w:start w:val="1"/>
      <w:numFmt w:val="bullet"/>
      <w:lvlText w:val=""/>
      <w:lvlJc w:val="left"/>
      <w:pPr>
        <w:tabs>
          <w:tab w:val="num" w:pos="4320"/>
        </w:tabs>
        <w:ind w:left="4320" w:hanging="360"/>
      </w:pPr>
      <w:rPr>
        <w:rFonts w:ascii="Symbol" w:hAnsi="Symbol" w:hint="default"/>
      </w:rPr>
    </w:lvl>
    <w:lvl w:ilvl="6" w:tplc="C29C9480" w:tentative="1">
      <w:start w:val="1"/>
      <w:numFmt w:val="bullet"/>
      <w:lvlText w:val=""/>
      <w:lvlJc w:val="left"/>
      <w:pPr>
        <w:tabs>
          <w:tab w:val="num" w:pos="5040"/>
        </w:tabs>
        <w:ind w:left="5040" w:hanging="360"/>
      </w:pPr>
      <w:rPr>
        <w:rFonts w:ascii="Symbol" w:hAnsi="Symbol" w:hint="default"/>
      </w:rPr>
    </w:lvl>
    <w:lvl w:ilvl="7" w:tplc="7C124944" w:tentative="1">
      <w:start w:val="1"/>
      <w:numFmt w:val="bullet"/>
      <w:lvlText w:val=""/>
      <w:lvlJc w:val="left"/>
      <w:pPr>
        <w:tabs>
          <w:tab w:val="num" w:pos="5760"/>
        </w:tabs>
        <w:ind w:left="5760" w:hanging="360"/>
      </w:pPr>
      <w:rPr>
        <w:rFonts w:ascii="Symbol" w:hAnsi="Symbol" w:hint="default"/>
      </w:rPr>
    </w:lvl>
    <w:lvl w:ilvl="8" w:tplc="1F9ABA6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8926562"/>
    <w:multiLevelType w:val="hybridMultilevel"/>
    <w:tmpl w:val="53205426"/>
    <w:lvl w:ilvl="0" w:tplc="9CDAE7CC">
      <w:start w:val="1"/>
      <w:numFmt w:val="bullet"/>
      <w:lvlText w:val="•"/>
      <w:lvlJc w:val="left"/>
      <w:pPr>
        <w:tabs>
          <w:tab w:val="num" w:pos="360"/>
        </w:tabs>
        <w:ind w:left="360" w:hanging="360"/>
      </w:pPr>
      <w:rPr>
        <w:rFonts w:ascii="Arial" w:hAnsi="Arial" w:cs="Times New Roman" w:hint="default"/>
      </w:rPr>
    </w:lvl>
    <w:lvl w:ilvl="1" w:tplc="2D4AC77E">
      <w:start w:val="1"/>
      <w:numFmt w:val="bullet"/>
      <w:lvlText w:val="•"/>
      <w:lvlJc w:val="left"/>
      <w:pPr>
        <w:tabs>
          <w:tab w:val="num" w:pos="1080"/>
        </w:tabs>
        <w:ind w:left="1080" w:hanging="360"/>
      </w:pPr>
      <w:rPr>
        <w:rFonts w:ascii="Arial" w:hAnsi="Arial" w:cs="Times New Roman" w:hint="default"/>
      </w:rPr>
    </w:lvl>
    <w:lvl w:ilvl="2" w:tplc="DC38DA00">
      <w:start w:val="1"/>
      <w:numFmt w:val="bullet"/>
      <w:lvlText w:val="•"/>
      <w:lvlJc w:val="left"/>
      <w:pPr>
        <w:tabs>
          <w:tab w:val="num" w:pos="1800"/>
        </w:tabs>
        <w:ind w:left="1800" w:hanging="360"/>
      </w:pPr>
      <w:rPr>
        <w:rFonts w:ascii="Arial" w:hAnsi="Arial" w:cs="Times New Roman" w:hint="default"/>
      </w:rPr>
    </w:lvl>
    <w:lvl w:ilvl="3" w:tplc="C414A4C0">
      <w:start w:val="1"/>
      <w:numFmt w:val="bullet"/>
      <w:lvlText w:val="•"/>
      <w:lvlJc w:val="left"/>
      <w:pPr>
        <w:tabs>
          <w:tab w:val="num" w:pos="2520"/>
        </w:tabs>
        <w:ind w:left="2520" w:hanging="360"/>
      </w:pPr>
      <w:rPr>
        <w:rFonts w:ascii="Arial" w:hAnsi="Arial" w:cs="Times New Roman" w:hint="default"/>
      </w:rPr>
    </w:lvl>
    <w:lvl w:ilvl="4" w:tplc="FA0C559C">
      <w:start w:val="1"/>
      <w:numFmt w:val="bullet"/>
      <w:lvlText w:val="•"/>
      <w:lvlJc w:val="left"/>
      <w:pPr>
        <w:tabs>
          <w:tab w:val="num" w:pos="3240"/>
        </w:tabs>
        <w:ind w:left="3240" w:hanging="360"/>
      </w:pPr>
      <w:rPr>
        <w:rFonts w:ascii="Arial" w:hAnsi="Arial" w:cs="Times New Roman" w:hint="default"/>
      </w:rPr>
    </w:lvl>
    <w:lvl w:ilvl="5" w:tplc="A7F63940">
      <w:start w:val="1"/>
      <w:numFmt w:val="bullet"/>
      <w:lvlText w:val="•"/>
      <w:lvlJc w:val="left"/>
      <w:pPr>
        <w:tabs>
          <w:tab w:val="num" w:pos="3960"/>
        </w:tabs>
        <w:ind w:left="3960" w:hanging="360"/>
      </w:pPr>
      <w:rPr>
        <w:rFonts w:ascii="Arial" w:hAnsi="Arial" w:cs="Times New Roman" w:hint="default"/>
      </w:rPr>
    </w:lvl>
    <w:lvl w:ilvl="6" w:tplc="C84A3BBA">
      <w:start w:val="1"/>
      <w:numFmt w:val="bullet"/>
      <w:lvlText w:val="•"/>
      <w:lvlJc w:val="left"/>
      <w:pPr>
        <w:tabs>
          <w:tab w:val="num" w:pos="4680"/>
        </w:tabs>
        <w:ind w:left="4680" w:hanging="360"/>
      </w:pPr>
      <w:rPr>
        <w:rFonts w:ascii="Arial" w:hAnsi="Arial" w:cs="Times New Roman" w:hint="default"/>
      </w:rPr>
    </w:lvl>
    <w:lvl w:ilvl="7" w:tplc="B7689072">
      <w:start w:val="1"/>
      <w:numFmt w:val="bullet"/>
      <w:lvlText w:val="•"/>
      <w:lvlJc w:val="left"/>
      <w:pPr>
        <w:tabs>
          <w:tab w:val="num" w:pos="5400"/>
        </w:tabs>
        <w:ind w:left="5400" w:hanging="360"/>
      </w:pPr>
      <w:rPr>
        <w:rFonts w:ascii="Arial" w:hAnsi="Arial" w:cs="Times New Roman" w:hint="default"/>
      </w:rPr>
    </w:lvl>
    <w:lvl w:ilvl="8" w:tplc="DC4A9D62">
      <w:start w:val="1"/>
      <w:numFmt w:val="bullet"/>
      <w:lvlText w:val="•"/>
      <w:lvlJc w:val="left"/>
      <w:pPr>
        <w:tabs>
          <w:tab w:val="num" w:pos="6120"/>
        </w:tabs>
        <w:ind w:left="6120" w:hanging="360"/>
      </w:pPr>
      <w:rPr>
        <w:rFonts w:ascii="Arial" w:hAnsi="Arial" w:cs="Times New Roman" w:hint="default"/>
      </w:rPr>
    </w:lvl>
  </w:abstractNum>
  <w:abstractNum w:abstractNumId="3" w15:restartNumberingAfterBreak="0">
    <w:nsid w:val="3F887845"/>
    <w:multiLevelType w:val="hybridMultilevel"/>
    <w:tmpl w:val="8C9A7A3A"/>
    <w:lvl w:ilvl="0" w:tplc="2788CE66">
      <w:numFmt w:val="bullet"/>
      <w:lvlText w:val="-"/>
      <w:lvlJc w:val="left"/>
      <w:pPr>
        <w:ind w:left="360" w:hanging="360"/>
      </w:pPr>
      <w:rPr>
        <w:rFonts w:ascii="Calibri" w:eastAsia="SimSu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2788CE66">
      <w:numFmt w:val="bullet"/>
      <w:lvlText w:val="-"/>
      <w:lvlJc w:val="left"/>
      <w:pPr>
        <w:ind w:left="1800" w:hanging="360"/>
      </w:pPr>
      <w:rPr>
        <w:rFonts w:ascii="Calibri" w:eastAsia="SimSu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71647DD"/>
    <w:multiLevelType w:val="hybridMultilevel"/>
    <w:tmpl w:val="4D62F9BA"/>
    <w:lvl w:ilvl="0" w:tplc="3446E2EC">
      <w:numFmt w:val="bullet"/>
      <w:lvlText w:val=""/>
      <w:lvlJc w:val="left"/>
      <w:pPr>
        <w:tabs>
          <w:tab w:val="num" w:pos="720"/>
        </w:tabs>
        <w:ind w:left="720" w:hanging="360"/>
      </w:pPr>
      <w:rPr>
        <w:rFonts w:ascii="Wingdings" w:hAnsi="Wingdings" w:hint="default"/>
      </w:rPr>
    </w:lvl>
    <w:lvl w:ilvl="1" w:tplc="BA26ECE6">
      <w:start w:val="1"/>
      <w:numFmt w:val="bullet"/>
      <w:lvlText w:val="−"/>
      <w:lvlJc w:val="left"/>
      <w:pPr>
        <w:tabs>
          <w:tab w:val="num" w:pos="1440"/>
        </w:tabs>
        <w:ind w:left="1440" w:hanging="360"/>
      </w:pPr>
      <w:rPr>
        <w:rFonts w:ascii="Calibri" w:hAnsi="Calibri" w:cs="Times New Roman" w:hint="default"/>
      </w:rPr>
    </w:lvl>
    <w:lvl w:ilvl="2" w:tplc="04090003">
      <w:start w:val="1"/>
      <w:numFmt w:val="bullet"/>
      <w:lvlText w:val="o"/>
      <w:lvlJc w:val="left"/>
      <w:pPr>
        <w:ind w:left="3600" w:hanging="360"/>
      </w:pPr>
      <w:rPr>
        <w:rFonts w:ascii="Courier New" w:hAnsi="Courier New" w:cs="Courier New" w:hint="default"/>
      </w:rPr>
    </w:lvl>
    <w:lvl w:ilvl="3" w:tplc="6CD0DCC4">
      <w:numFmt w:val="bullet"/>
      <w:lvlText w:val=""/>
      <w:lvlJc w:val="left"/>
      <w:pPr>
        <w:tabs>
          <w:tab w:val="num" w:pos="2880"/>
        </w:tabs>
        <w:ind w:left="2880" w:hanging="360"/>
      </w:pPr>
      <w:rPr>
        <w:rFonts w:ascii="Wingdings" w:hAnsi="Wingdings" w:hint="default"/>
      </w:rPr>
    </w:lvl>
    <w:lvl w:ilvl="4" w:tplc="CC62662E">
      <w:start w:val="1"/>
      <w:numFmt w:val="bullet"/>
      <w:lvlText w:val="−"/>
      <w:lvlJc w:val="left"/>
      <w:pPr>
        <w:tabs>
          <w:tab w:val="num" w:pos="3600"/>
        </w:tabs>
        <w:ind w:left="3600" w:hanging="360"/>
      </w:pPr>
      <w:rPr>
        <w:rFonts w:ascii="Calibri" w:hAnsi="Calibri" w:cs="Times New Roman" w:hint="default"/>
      </w:rPr>
    </w:lvl>
    <w:lvl w:ilvl="5" w:tplc="4876501A">
      <w:start w:val="1"/>
      <w:numFmt w:val="bullet"/>
      <w:lvlText w:val="−"/>
      <w:lvlJc w:val="left"/>
      <w:pPr>
        <w:tabs>
          <w:tab w:val="num" w:pos="4320"/>
        </w:tabs>
        <w:ind w:left="4320" w:hanging="360"/>
      </w:pPr>
      <w:rPr>
        <w:rFonts w:ascii="Calibri" w:hAnsi="Calibri" w:cs="Times New Roman" w:hint="default"/>
      </w:rPr>
    </w:lvl>
    <w:lvl w:ilvl="6" w:tplc="62D4C652">
      <w:start w:val="1"/>
      <w:numFmt w:val="bullet"/>
      <w:lvlText w:val="−"/>
      <w:lvlJc w:val="left"/>
      <w:pPr>
        <w:tabs>
          <w:tab w:val="num" w:pos="5040"/>
        </w:tabs>
        <w:ind w:left="5040" w:hanging="360"/>
      </w:pPr>
      <w:rPr>
        <w:rFonts w:ascii="Calibri" w:hAnsi="Calibri" w:cs="Times New Roman" w:hint="default"/>
      </w:rPr>
    </w:lvl>
    <w:lvl w:ilvl="7" w:tplc="F3386B26">
      <w:start w:val="1"/>
      <w:numFmt w:val="bullet"/>
      <w:lvlText w:val="−"/>
      <w:lvlJc w:val="left"/>
      <w:pPr>
        <w:tabs>
          <w:tab w:val="num" w:pos="5760"/>
        </w:tabs>
        <w:ind w:left="5760" w:hanging="360"/>
      </w:pPr>
      <w:rPr>
        <w:rFonts w:ascii="Calibri" w:hAnsi="Calibri" w:cs="Times New Roman" w:hint="default"/>
      </w:rPr>
    </w:lvl>
    <w:lvl w:ilvl="8" w:tplc="0498779C">
      <w:start w:val="1"/>
      <w:numFmt w:val="bullet"/>
      <w:lvlText w:val="−"/>
      <w:lvlJc w:val="left"/>
      <w:pPr>
        <w:tabs>
          <w:tab w:val="num" w:pos="6480"/>
        </w:tabs>
        <w:ind w:left="6480" w:hanging="360"/>
      </w:pPr>
      <w:rPr>
        <w:rFonts w:ascii="Calibri" w:hAnsi="Calibri" w:cs="Times New Roman" w:hint="default"/>
      </w:rPr>
    </w:lvl>
  </w:abstractNum>
  <w:abstractNum w:abstractNumId="5" w15:restartNumberingAfterBreak="0">
    <w:nsid w:val="47ED1563"/>
    <w:multiLevelType w:val="hybridMultilevel"/>
    <w:tmpl w:val="55A4F3EA"/>
    <w:lvl w:ilvl="0" w:tplc="DC5C67FC">
      <w:start w:val="1"/>
      <w:numFmt w:val="bullet"/>
      <w:lvlText w:val="•"/>
      <w:lvlJc w:val="left"/>
      <w:pPr>
        <w:tabs>
          <w:tab w:val="num" w:pos="360"/>
        </w:tabs>
        <w:ind w:left="360" w:hanging="360"/>
      </w:pPr>
      <w:rPr>
        <w:rFonts w:ascii="Arial" w:hAnsi="Arial" w:cs="Times New Roman" w:hint="default"/>
      </w:rPr>
    </w:lvl>
    <w:lvl w:ilvl="1" w:tplc="BA7C9E6A">
      <w:start w:val="1"/>
      <w:numFmt w:val="bullet"/>
      <w:lvlText w:val="•"/>
      <w:lvlJc w:val="left"/>
      <w:pPr>
        <w:tabs>
          <w:tab w:val="num" w:pos="1080"/>
        </w:tabs>
        <w:ind w:left="1080" w:hanging="360"/>
      </w:pPr>
      <w:rPr>
        <w:rFonts w:ascii="Arial" w:hAnsi="Arial" w:cs="Times New Roman" w:hint="default"/>
      </w:rPr>
    </w:lvl>
    <w:lvl w:ilvl="2" w:tplc="D59A365C">
      <w:start w:val="1"/>
      <w:numFmt w:val="bullet"/>
      <w:lvlText w:val="•"/>
      <w:lvlJc w:val="left"/>
      <w:pPr>
        <w:tabs>
          <w:tab w:val="num" w:pos="1800"/>
        </w:tabs>
        <w:ind w:left="1800" w:hanging="360"/>
      </w:pPr>
      <w:rPr>
        <w:rFonts w:ascii="Arial" w:hAnsi="Arial" w:cs="Times New Roman" w:hint="default"/>
      </w:rPr>
    </w:lvl>
    <w:lvl w:ilvl="3" w:tplc="D8ACD150">
      <w:start w:val="1"/>
      <w:numFmt w:val="bullet"/>
      <w:lvlText w:val="•"/>
      <w:lvlJc w:val="left"/>
      <w:pPr>
        <w:tabs>
          <w:tab w:val="num" w:pos="2520"/>
        </w:tabs>
        <w:ind w:left="2520" w:hanging="360"/>
      </w:pPr>
      <w:rPr>
        <w:rFonts w:ascii="Arial" w:hAnsi="Arial" w:cs="Times New Roman" w:hint="default"/>
      </w:rPr>
    </w:lvl>
    <w:lvl w:ilvl="4" w:tplc="6E227604">
      <w:start w:val="1"/>
      <w:numFmt w:val="bullet"/>
      <w:lvlText w:val="•"/>
      <w:lvlJc w:val="left"/>
      <w:pPr>
        <w:tabs>
          <w:tab w:val="num" w:pos="3240"/>
        </w:tabs>
        <w:ind w:left="3240" w:hanging="360"/>
      </w:pPr>
      <w:rPr>
        <w:rFonts w:ascii="Arial" w:hAnsi="Arial" w:cs="Times New Roman" w:hint="default"/>
      </w:rPr>
    </w:lvl>
    <w:lvl w:ilvl="5" w:tplc="D8DE433C">
      <w:start w:val="1"/>
      <w:numFmt w:val="bullet"/>
      <w:lvlText w:val="•"/>
      <w:lvlJc w:val="left"/>
      <w:pPr>
        <w:tabs>
          <w:tab w:val="num" w:pos="3960"/>
        </w:tabs>
        <w:ind w:left="3960" w:hanging="360"/>
      </w:pPr>
      <w:rPr>
        <w:rFonts w:ascii="Arial" w:hAnsi="Arial" w:cs="Times New Roman" w:hint="default"/>
      </w:rPr>
    </w:lvl>
    <w:lvl w:ilvl="6" w:tplc="E1E81D2A">
      <w:start w:val="1"/>
      <w:numFmt w:val="bullet"/>
      <w:lvlText w:val="•"/>
      <w:lvlJc w:val="left"/>
      <w:pPr>
        <w:tabs>
          <w:tab w:val="num" w:pos="4680"/>
        </w:tabs>
        <w:ind w:left="4680" w:hanging="360"/>
      </w:pPr>
      <w:rPr>
        <w:rFonts w:ascii="Arial" w:hAnsi="Arial" w:cs="Times New Roman" w:hint="default"/>
      </w:rPr>
    </w:lvl>
    <w:lvl w:ilvl="7" w:tplc="506EE060">
      <w:start w:val="1"/>
      <w:numFmt w:val="bullet"/>
      <w:lvlText w:val="•"/>
      <w:lvlJc w:val="left"/>
      <w:pPr>
        <w:tabs>
          <w:tab w:val="num" w:pos="5400"/>
        </w:tabs>
        <w:ind w:left="5400" w:hanging="360"/>
      </w:pPr>
      <w:rPr>
        <w:rFonts w:ascii="Arial" w:hAnsi="Arial" w:cs="Times New Roman" w:hint="default"/>
      </w:rPr>
    </w:lvl>
    <w:lvl w:ilvl="8" w:tplc="4412F7AC">
      <w:start w:val="1"/>
      <w:numFmt w:val="bullet"/>
      <w:lvlText w:val="•"/>
      <w:lvlJc w:val="left"/>
      <w:pPr>
        <w:tabs>
          <w:tab w:val="num" w:pos="6120"/>
        </w:tabs>
        <w:ind w:left="6120" w:hanging="360"/>
      </w:pPr>
      <w:rPr>
        <w:rFonts w:ascii="Arial" w:hAnsi="Arial" w:cs="Times New Roman" w:hint="default"/>
      </w:rPr>
    </w:lvl>
  </w:abstractNum>
  <w:abstractNum w:abstractNumId="6" w15:restartNumberingAfterBreak="0">
    <w:nsid w:val="486F126F"/>
    <w:multiLevelType w:val="hybridMultilevel"/>
    <w:tmpl w:val="997807C4"/>
    <w:lvl w:ilvl="0" w:tplc="13FC183C">
      <w:start w:val="1"/>
      <w:numFmt w:val="bullet"/>
      <w:lvlText w:val="•"/>
      <w:lvlJc w:val="left"/>
      <w:pPr>
        <w:tabs>
          <w:tab w:val="num" w:pos="720"/>
        </w:tabs>
        <w:ind w:left="720" w:hanging="360"/>
      </w:pPr>
      <w:rPr>
        <w:rFonts w:ascii="Arial" w:hAnsi="Arial" w:cs="Times New Roman" w:hint="default"/>
      </w:rPr>
    </w:lvl>
    <w:lvl w:ilvl="1" w:tplc="67A8FA0A">
      <w:start w:val="1"/>
      <w:numFmt w:val="bullet"/>
      <w:lvlText w:val="–"/>
      <w:lvlJc w:val="left"/>
      <w:pPr>
        <w:tabs>
          <w:tab w:val="num" w:pos="1440"/>
        </w:tabs>
        <w:ind w:left="1440" w:hanging="360"/>
      </w:pPr>
      <w:rPr>
        <w:rFonts w:ascii="Arial" w:hAnsi="Arial" w:cs="Times New Roman" w:hint="default"/>
      </w:rPr>
    </w:lvl>
    <w:lvl w:ilvl="2" w:tplc="F998F554">
      <w:numFmt w:val="bullet"/>
      <w:lvlText w:val="•"/>
      <w:lvlJc w:val="left"/>
      <w:pPr>
        <w:tabs>
          <w:tab w:val="num" w:pos="2160"/>
        </w:tabs>
        <w:ind w:left="2160" w:hanging="360"/>
      </w:pPr>
      <w:rPr>
        <w:rFonts w:ascii="Arial" w:hAnsi="Arial" w:cs="Times New Roman" w:hint="default"/>
      </w:rPr>
    </w:lvl>
    <w:lvl w:ilvl="3" w:tplc="37DE9CAE">
      <w:start w:val="1"/>
      <w:numFmt w:val="bullet"/>
      <w:lvlText w:val="–"/>
      <w:lvlJc w:val="left"/>
      <w:pPr>
        <w:tabs>
          <w:tab w:val="num" w:pos="2880"/>
        </w:tabs>
        <w:ind w:left="2880" w:hanging="360"/>
      </w:pPr>
      <w:rPr>
        <w:rFonts w:ascii="Arial" w:hAnsi="Arial" w:cs="Times New Roman" w:hint="default"/>
      </w:rPr>
    </w:lvl>
    <w:lvl w:ilvl="4" w:tplc="04090003">
      <w:start w:val="1"/>
      <w:numFmt w:val="bullet"/>
      <w:lvlText w:val="o"/>
      <w:lvlJc w:val="left"/>
      <w:pPr>
        <w:ind w:left="3600" w:hanging="360"/>
      </w:pPr>
      <w:rPr>
        <w:rFonts w:ascii="Courier New" w:hAnsi="Courier New" w:cs="Courier New" w:hint="default"/>
      </w:rPr>
    </w:lvl>
    <w:lvl w:ilvl="5" w:tplc="ABE2AA7C">
      <w:start w:val="1"/>
      <w:numFmt w:val="bullet"/>
      <w:lvlText w:val="–"/>
      <w:lvlJc w:val="left"/>
      <w:pPr>
        <w:tabs>
          <w:tab w:val="num" w:pos="4320"/>
        </w:tabs>
        <w:ind w:left="4320" w:hanging="360"/>
      </w:pPr>
      <w:rPr>
        <w:rFonts w:ascii="Arial" w:hAnsi="Arial" w:cs="Times New Roman" w:hint="default"/>
      </w:rPr>
    </w:lvl>
    <w:lvl w:ilvl="6" w:tplc="CEFE99D0">
      <w:start w:val="1"/>
      <w:numFmt w:val="bullet"/>
      <w:lvlText w:val="–"/>
      <w:lvlJc w:val="left"/>
      <w:pPr>
        <w:tabs>
          <w:tab w:val="num" w:pos="5040"/>
        </w:tabs>
        <w:ind w:left="5040" w:hanging="360"/>
      </w:pPr>
      <w:rPr>
        <w:rFonts w:ascii="Arial" w:hAnsi="Arial" w:cs="Times New Roman" w:hint="default"/>
      </w:rPr>
    </w:lvl>
    <w:lvl w:ilvl="7" w:tplc="2E7A5CD0">
      <w:start w:val="1"/>
      <w:numFmt w:val="bullet"/>
      <w:lvlText w:val="–"/>
      <w:lvlJc w:val="left"/>
      <w:pPr>
        <w:tabs>
          <w:tab w:val="num" w:pos="5760"/>
        </w:tabs>
        <w:ind w:left="5760" w:hanging="360"/>
      </w:pPr>
      <w:rPr>
        <w:rFonts w:ascii="Arial" w:hAnsi="Arial" w:cs="Times New Roman" w:hint="default"/>
      </w:rPr>
    </w:lvl>
    <w:lvl w:ilvl="8" w:tplc="F948FA6A">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50980C61"/>
    <w:multiLevelType w:val="hybridMultilevel"/>
    <w:tmpl w:val="3816052A"/>
    <w:lvl w:ilvl="0" w:tplc="916EC164">
      <w:start w:val="1"/>
      <w:numFmt w:val="bullet"/>
      <w:lvlText w:val="•"/>
      <w:lvlJc w:val="left"/>
      <w:pPr>
        <w:tabs>
          <w:tab w:val="num" w:pos="360"/>
        </w:tabs>
        <w:ind w:left="360" w:hanging="360"/>
      </w:pPr>
      <w:rPr>
        <w:rFonts w:ascii="Arial" w:hAnsi="Arial" w:cs="Times New Roman" w:hint="default"/>
      </w:rPr>
    </w:lvl>
    <w:lvl w:ilvl="1" w:tplc="C78A7242">
      <w:start w:val="1"/>
      <w:numFmt w:val="bullet"/>
      <w:lvlText w:val="•"/>
      <w:lvlJc w:val="left"/>
      <w:pPr>
        <w:tabs>
          <w:tab w:val="num" w:pos="1080"/>
        </w:tabs>
        <w:ind w:left="1080" w:hanging="360"/>
      </w:pPr>
      <w:rPr>
        <w:rFonts w:ascii="Arial" w:hAnsi="Arial" w:cs="Times New Roman" w:hint="default"/>
      </w:rPr>
    </w:lvl>
    <w:lvl w:ilvl="2" w:tplc="DC88F186">
      <w:start w:val="1"/>
      <w:numFmt w:val="bullet"/>
      <w:lvlText w:val="•"/>
      <w:lvlJc w:val="left"/>
      <w:pPr>
        <w:tabs>
          <w:tab w:val="num" w:pos="1800"/>
        </w:tabs>
        <w:ind w:left="1800" w:hanging="360"/>
      </w:pPr>
      <w:rPr>
        <w:rFonts w:ascii="Arial" w:hAnsi="Arial" w:cs="Times New Roman" w:hint="default"/>
      </w:rPr>
    </w:lvl>
    <w:lvl w:ilvl="3" w:tplc="57D0543E">
      <w:start w:val="1"/>
      <w:numFmt w:val="bullet"/>
      <w:lvlText w:val="•"/>
      <w:lvlJc w:val="left"/>
      <w:pPr>
        <w:tabs>
          <w:tab w:val="num" w:pos="2520"/>
        </w:tabs>
        <w:ind w:left="2520" w:hanging="360"/>
      </w:pPr>
      <w:rPr>
        <w:rFonts w:ascii="Arial" w:hAnsi="Arial" w:cs="Times New Roman" w:hint="default"/>
      </w:rPr>
    </w:lvl>
    <w:lvl w:ilvl="4" w:tplc="53C64FFA">
      <w:start w:val="1"/>
      <w:numFmt w:val="bullet"/>
      <w:lvlText w:val="•"/>
      <w:lvlJc w:val="left"/>
      <w:pPr>
        <w:tabs>
          <w:tab w:val="num" w:pos="3240"/>
        </w:tabs>
        <w:ind w:left="3240" w:hanging="360"/>
      </w:pPr>
      <w:rPr>
        <w:rFonts w:ascii="Arial" w:hAnsi="Arial" w:cs="Times New Roman" w:hint="default"/>
      </w:rPr>
    </w:lvl>
    <w:lvl w:ilvl="5" w:tplc="B30681A2">
      <w:start w:val="1"/>
      <w:numFmt w:val="bullet"/>
      <w:lvlText w:val="•"/>
      <w:lvlJc w:val="left"/>
      <w:pPr>
        <w:tabs>
          <w:tab w:val="num" w:pos="3960"/>
        </w:tabs>
        <w:ind w:left="3960" w:hanging="360"/>
      </w:pPr>
      <w:rPr>
        <w:rFonts w:ascii="Arial" w:hAnsi="Arial" w:cs="Times New Roman" w:hint="default"/>
      </w:rPr>
    </w:lvl>
    <w:lvl w:ilvl="6" w:tplc="A31275C2">
      <w:start w:val="1"/>
      <w:numFmt w:val="bullet"/>
      <w:lvlText w:val="•"/>
      <w:lvlJc w:val="left"/>
      <w:pPr>
        <w:tabs>
          <w:tab w:val="num" w:pos="4680"/>
        </w:tabs>
        <w:ind w:left="4680" w:hanging="360"/>
      </w:pPr>
      <w:rPr>
        <w:rFonts w:ascii="Arial" w:hAnsi="Arial" w:cs="Times New Roman" w:hint="default"/>
      </w:rPr>
    </w:lvl>
    <w:lvl w:ilvl="7" w:tplc="00145AFE">
      <w:start w:val="1"/>
      <w:numFmt w:val="bullet"/>
      <w:lvlText w:val="•"/>
      <w:lvlJc w:val="left"/>
      <w:pPr>
        <w:tabs>
          <w:tab w:val="num" w:pos="5400"/>
        </w:tabs>
        <w:ind w:left="5400" w:hanging="360"/>
      </w:pPr>
      <w:rPr>
        <w:rFonts w:ascii="Arial" w:hAnsi="Arial" w:cs="Times New Roman" w:hint="default"/>
      </w:rPr>
    </w:lvl>
    <w:lvl w:ilvl="8" w:tplc="26421CCC">
      <w:start w:val="1"/>
      <w:numFmt w:val="bullet"/>
      <w:lvlText w:val="•"/>
      <w:lvlJc w:val="left"/>
      <w:pPr>
        <w:tabs>
          <w:tab w:val="num" w:pos="6120"/>
        </w:tabs>
        <w:ind w:left="6120" w:hanging="360"/>
      </w:pPr>
      <w:rPr>
        <w:rFonts w:ascii="Arial" w:hAnsi="Arial" w:cs="Times New Roman" w:hint="default"/>
      </w:rPr>
    </w:lvl>
  </w:abstractNum>
  <w:abstractNum w:abstractNumId="8" w15:restartNumberingAfterBreak="0">
    <w:nsid w:val="53F946BE"/>
    <w:multiLevelType w:val="hybridMultilevel"/>
    <w:tmpl w:val="5D90CA6A"/>
    <w:lvl w:ilvl="0" w:tplc="F60CE32E">
      <w:start w:val="1"/>
      <w:numFmt w:val="bullet"/>
      <w:lvlText w:val=""/>
      <w:lvlJc w:val="left"/>
      <w:pPr>
        <w:tabs>
          <w:tab w:val="num" w:pos="720"/>
        </w:tabs>
        <w:ind w:left="720" w:hanging="360"/>
      </w:pPr>
      <w:rPr>
        <w:rFonts w:ascii="Symbol" w:hAnsi="Symbol" w:hint="default"/>
      </w:rPr>
    </w:lvl>
    <w:lvl w:ilvl="1" w:tplc="DA661132">
      <w:numFmt w:val="bullet"/>
      <w:lvlText w:val="•"/>
      <w:lvlJc w:val="left"/>
      <w:pPr>
        <w:tabs>
          <w:tab w:val="num" w:pos="1440"/>
        </w:tabs>
        <w:ind w:left="1440" w:hanging="360"/>
      </w:pPr>
      <w:rPr>
        <w:rFonts w:ascii="Arial" w:hAnsi="Arial" w:hint="default"/>
      </w:rPr>
    </w:lvl>
    <w:lvl w:ilvl="2" w:tplc="19484A64" w:tentative="1">
      <w:start w:val="1"/>
      <w:numFmt w:val="bullet"/>
      <w:lvlText w:val=""/>
      <w:lvlJc w:val="left"/>
      <w:pPr>
        <w:tabs>
          <w:tab w:val="num" w:pos="2160"/>
        </w:tabs>
        <w:ind w:left="2160" w:hanging="360"/>
      </w:pPr>
      <w:rPr>
        <w:rFonts w:ascii="Symbol" w:hAnsi="Symbol" w:hint="default"/>
      </w:rPr>
    </w:lvl>
    <w:lvl w:ilvl="3" w:tplc="3D2E5CE6" w:tentative="1">
      <w:start w:val="1"/>
      <w:numFmt w:val="bullet"/>
      <w:lvlText w:val=""/>
      <w:lvlJc w:val="left"/>
      <w:pPr>
        <w:tabs>
          <w:tab w:val="num" w:pos="2880"/>
        </w:tabs>
        <w:ind w:left="2880" w:hanging="360"/>
      </w:pPr>
      <w:rPr>
        <w:rFonts w:ascii="Symbol" w:hAnsi="Symbol" w:hint="default"/>
      </w:rPr>
    </w:lvl>
    <w:lvl w:ilvl="4" w:tplc="408C92DE" w:tentative="1">
      <w:start w:val="1"/>
      <w:numFmt w:val="bullet"/>
      <w:lvlText w:val=""/>
      <w:lvlJc w:val="left"/>
      <w:pPr>
        <w:tabs>
          <w:tab w:val="num" w:pos="3600"/>
        </w:tabs>
        <w:ind w:left="3600" w:hanging="360"/>
      </w:pPr>
      <w:rPr>
        <w:rFonts w:ascii="Symbol" w:hAnsi="Symbol" w:hint="default"/>
      </w:rPr>
    </w:lvl>
    <w:lvl w:ilvl="5" w:tplc="C59A24A4" w:tentative="1">
      <w:start w:val="1"/>
      <w:numFmt w:val="bullet"/>
      <w:lvlText w:val=""/>
      <w:lvlJc w:val="left"/>
      <w:pPr>
        <w:tabs>
          <w:tab w:val="num" w:pos="4320"/>
        </w:tabs>
        <w:ind w:left="4320" w:hanging="360"/>
      </w:pPr>
      <w:rPr>
        <w:rFonts w:ascii="Symbol" w:hAnsi="Symbol" w:hint="default"/>
      </w:rPr>
    </w:lvl>
    <w:lvl w:ilvl="6" w:tplc="EE90C54A" w:tentative="1">
      <w:start w:val="1"/>
      <w:numFmt w:val="bullet"/>
      <w:lvlText w:val=""/>
      <w:lvlJc w:val="left"/>
      <w:pPr>
        <w:tabs>
          <w:tab w:val="num" w:pos="5040"/>
        </w:tabs>
        <w:ind w:left="5040" w:hanging="360"/>
      </w:pPr>
      <w:rPr>
        <w:rFonts w:ascii="Symbol" w:hAnsi="Symbol" w:hint="default"/>
      </w:rPr>
    </w:lvl>
    <w:lvl w:ilvl="7" w:tplc="3DB6E6EE" w:tentative="1">
      <w:start w:val="1"/>
      <w:numFmt w:val="bullet"/>
      <w:lvlText w:val=""/>
      <w:lvlJc w:val="left"/>
      <w:pPr>
        <w:tabs>
          <w:tab w:val="num" w:pos="5760"/>
        </w:tabs>
        <w:ind w:left="5760" w:hanging="360"/>
      </w:pPr>
      <w:rPr>
        <w:rFonts w:ascii="Symbol" w:hAnsi="Symbol" w:hint="default"/>
      </w:rPr>
    </w:lvl>
    <w:lvl w:ilvl="8" w:tplc="E2B4AB9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3B55426"/>
    <w:multiLevelType w:val="hybridMultilevel"/>
    <w:tmpl w:val="096E4504"/>
    <w:lvl w:ilvl="0" w:tplc="13FC183C">
      <w:start w:val="1"/>
      <w:numFmt w:val="bullet"/>
      <w:lvlText w:val="•"/>
      <w:lvlJc w:val="left"/>
      <w:pPr>
        <w:tabs>
          <w:tab w:val="num" w:pos="360"/>
        </w:tabs>
        <w:ind w:left="360" w:hanging="360"/>
      </w:pPr>
      <w:rPr>
        <w:rFonts w:ascii="Arial" w:hAnsi="Arial" w:cs="Times New Roman" w:hint="default"/>
      </w:rPr>
    </w:lvl>
    <w:lvl w:ilvl="1" w:tplc="396653D2">
      <w:start w:val="1"/>
      <w:numFmt w:val="bullet"/>
      <w:lvlText w:val="•"/>
      <w:lvlJc w:val="left"/>
      <w:pPr>
        <w:tabs>
          <w:tab w:val="num" w:pos="1080"/>
        </w:tabs>
        <w:ind w:left="1080" w:hanging="360"/>
      </w:pPr>
      <w:rPr>
        <w:rFonts w:ascii="Arial" w:hAnsi="Arial" w:cs="Times New Roman" w:hint="default"/>
      </w:rPr>
    </w:lvl>
    <w:lvl w:ilvl="2" w:tplc="0768929E">
      <w:start w:val="1"/>
      <w:numFmt w:val="bullet"/>
      <w:lvlText w:val="•"/>
      <w:lvlJc w:val="left"/>
      <w:pPr>
        <w:tabs>
          <w:tab w:val="num" w:pos="1800"/>
        </w:tabs>
        <w:ind w:left="1800" w:hanging="360"/>
      </w:pPr>
      <w:rPr>
        <w:rFonts w:ascii="Arial" w:hAnsi="Arial" w:cs="Times New Roman" w:hint="default"/>
      </w:rPr>
    </w:lvl>
    <w:lvl w:ilvl="3" w:tplc="2C90FEB8">
      <w:start w:val="1"/>
      <w:numFmt w:val="bullet"/>
      <w:lvlText w:val="•"/>
      <w:lvlJc w:val="left"/>
      <w:pPr>
        <w:tabs>
          <w:tab w:val="num" w:pos="2520"/>
        </w:tabs>
        <w:ind w:left="2520" w:hanging="360"/>
      </w:pPr>
      <w:rPr>
        <w:rFonts w:ascii="Arial" w:hAnsi="Arial" w:cs="Times New Roman" w:hint="default"/>
      </w:rPr>
    </w:lvl>
    <w:lvl w:ilvl="4" w:tplc="6DD85260">
      <w:start w:val="1"/>
      <w:numFmt w:val="bullet"/>
      <w:lvlText w:val="•"/>
      <w:lvlJc w:val="left"/>
      <w:pPr>
        <w:tabs>
          <w:tab w:val="num" w:pos="3240"/>
        </w:tabs>
        <w:ind w:left="3240" w:hanging="360"/>
      </w:pPr>
      <w:rPr>
        <w:rFonts w:ascii="Arial" w:hAnsi="Arial" w:cs="Times New Roman" w:hint="default"/>
      </w:rPr>
    </w:lvl>
    <w:lvl w:ilvl="5" w:tplc="AF4A1828">
      <w:start w:val="1"/>
      <w:numFmt w:val="bullet"/>
      <w:lvlText w:val="•"/>
      <w:lvlJc w:val="left"/>
      <w:pPr>
        <w:tabs>
          <w:tab w:val="num" w:pos="3960"/>
        </w:tabs>
        <w:ind w:left="3960" w:hanging="360"/>
      </w:pPr>
      <w:rPr>
        <w:rFonts w:ascii="Arial" w:hAnsi="Arial" w:cs="Times New Roman" w:hint="default"/>
      </w:rPr>
    </w:lvl>
    <w:lvl w:ilvl="6" w:tplc="0F4E8D56">
      <w:start w:val="1"/>
      <w:numFmt w:val="bullet"/>
      <w:lvlText w:val="•"/>
      <w:lvlJc w:val="left"/>
      <w:pPr>
        <w:tabs>
          <w:tab w:val="num" w:pos="4680"/>
        </w:tabs>
        <w:ind w:left="4680" w:hanging="360"/>
      </w:pPr>
      <w:rPr>
        <w:rFonts w:ascii="Arial" w:hAnsi="Arial" w:cs="Times New Roman" w:hint="default"/>
      </w:rPr>
    </w:lvl>
    <w:lvl w:ilvl="7" w:tplc="93CA23FA">
      <w:start w:val="1"/>
      <w:numFmt w:val="bullet"/>
      <w:lvlText w:val="•"/>
      <w:lvlJc w:val="left"/>
      <w:pPr>
        <w:tabs>
          <w:tab w:val="num" w:pos="5400"/>
        </w:tabs>
        <w:ind w:left="5400" w:hanging="360"/>
      </w:pPr>
      <w:rPr>
        <w:rFonts w:ascii="Arial" w:hAnsi="Arial" w:cs="Times New Roman" w:hint="default"/>
      </w:rPr>
    </w:lvl>
    <w:lvl w:ilvl="8" w:tplc="9216C9E4">
      <w:start w:val="1"/>
      <w:numFmt w:val="bullet"/>
      <w:lvlText w:val="•"/>
      <w:lvlJc w:val="left"/>
      <w:pPr>
        <w:tabs>
          <w:tab w:val="num" w:pos="6120"/>
        </w:tabs>
        <w:ind w:left="6120" w:hanging="360"/>
      </w:pPr>
      <w:rPr>
        <w:rFonts w:ascii="Arial" w:hAnsi="Arial" w:cs="Times New Roman" w:hint="default"/>
      </w:rPr>
    </w:lvl>
  </w:abstractNum>
  <w:abstractNum w:abstractNumId="10" w15:restartNumberingAfterBreak="0">
    <w:nsid w:val="63F85DD1"/>
    <w:multiLevelType w:val="hybridMultilevel"/>
    <w:tmpl w:val="05B0A42A"/>
    <w:lvl w:ilvl="0" w:tplc="13FC183C">
      <w:start w:val="1"/>
      <w:numFmt w:val="bullet"/>
      <w:lvlText w:val="•"/>
      <w:lvlJc w:val="left"/>
      <w:pPr>
        <w:tabs>
          <w:tab w:val="num" w:pos="720"/>
        </w:tabs>
        <w:ind w:left="720" w:hanging="360"/>
      </w:pPr>
      <w:rPr>
        <w:rFonts w:ascii="Arial" w:hAnsi="Arial" w:cs="Times New Roman" w:hint="default"/>
      </w:rPr>
    </w:lvl>
    <w:lvl w:ilvl="1" w:tplc="579A01F2">
      <w:start w:val="1"/>
      <w:numFmt w:val="bullet"/>
      <w:lvlText w:val="–"/>
      <w:lvlJc w:val="left"/>
      <w:pPr>
        <w:tabs>
          <w:tab w:val="num" w:pos="1440"/>
        </w:tabs>
        <w:ind w:left="1440" w:hanging="360"/>
      </w:pPr>
      <w:rPr>
        <w:rFonts w:ascii="Arial" w:hAnsi="Arial" w:cs="Times New Roman" w:hint="default"/>
      </w:rPr>
    </w:lvl>
    <w:lvl w:ilvl="2" w:tplc="19FAF3C4">
      <w:numFmt w:val="bullet"/>
      <w:lvlText w:val="•"/>
      <w:lvlJc w:val="left"/>
      <w:pPr>
        <w:tabs>
          <w:tab w:val="num" w:pos="2160"/>
        </w:tabs>
        <w:ind w:left="2160" w:hanging="360"/>
      </w:pPr>
      <w:rPr>
        <w:rFonts w:ascii="Arial" w:hAnsi="Arial" w:cs="Times New Roman" w:hint="default"/>
      </w:rPr>
    </w:lvl>
    <w:lvl w:ilvl="3" w:tplc="57DE5170">
      <w:start w:val="1"/>
      <w:numFmt w:val="bullet"/>
      <w:lvlText w:val="–"/>
      <w:lvlJc w:val="left"/>
      <w:pPr>
        <w:tabs>
          <w:tab w:val="num" w:pos="2880"/>
        </w:tabs>
        <w:ind w:left="2880" w:hanging="360"/>
      </w:pPr>
      <w:rPr>
        <w:rFonts w:ascii="Arial" w:hAnsi="Arial" w:cs="Times New Roman" w:hint="default"/>
      </w:rPr>
    </w:lvl>
    <w:lvl w:ilvl="4" w:tplc="04090003">
      <w:start w:val="1"/>
      <w:numFmt w:val="bullet"/>
      <w:lvlText w:val="o"/>
      <w:lvlJc w:val="left"/>
      <w:pPr>
        <w:ind w:left="3600" w:hanging="360"/>
      </w:pPr>
      <w:rPr>
        <w:rFonts w:ascii="Courier New" w:hAnsi="Courier New" w:cs="Courier New" w:hint="default"/>
      </w:rPr>
    </w:lvl>
    <w:lvl w:ilvl="5" w:tplc="3E687340">
      <w:start w:val="1"/>
      <w:numFmt w:val="bullet"/>
      <w:lvlText w:val="–"/>
      <w:lvlJc w:val="left"/>
      <w:pPr>
        <w:tabs>
          <w:tab w:val="num" w:pos="4320"/>
        </w:tabs>
        <w:ind w:left="4320" w:hanging="360"/>
      </w:pPr>
      <w:rPr>
        <w:rFonts w:ascii="Arial" w:hAnsi="Arial" w:cs="Times New Roman" w:hint="default"/>
      </w:rPr>
    </w:lvl>
    <w:lvl w:ilvl="6" w:tplc="FE94FAAC">
      <w:start w:val="1"/>
      <w:numFmt w:val="bullet"/>
      <w:lvlText w:val="–"/>
      <w:lvlJc w:val="left"/>
      <w:pPr>
        <w:tabs>
          <w:tab w:val="num" w:pos="5040"/>
        </w:tabs>
        <w:ind w:left="5040" w:hanging="360"/>
      </w:pPr>
      <w:rPr>
        <w:rFonts w:ascii="Arial" w:hAnsi="Arial" w:cs="Times New Roman" w:hint="default"/>
      </w:rPr>
    </w:lvl>
    <w:lvl w:ilvl="7" w:tplc="4664FC5E">
      <w:start w:val="1"/>
      <w:numFmt w:val="bullet"/>
      <w:lvlText w:val="–"/>
      <w:lvlJc w:val="left"/>
      <w:pPr>
        <w:tabs>
          <w:tab w:val="num" w:pos="5760"/>
        </w:tabs>
        <w:ind w:left="5760" w:hanging="360"/>
      </w:pPr>
      <w:rPr>
        <w:rFonts w:ascii="Arial" w:hAnsi="Arial" w:cs="Times New Roman" w:hint="default"/>
      </w:rPr>
    </w:lvl>
    <w:lvl w:ilvl="8" w:tplc="30FED180">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64C769CE"/>
    <w:multiLevelType w:val="hybridMultilevel"/>
    <w:tmpl w:val="BC4C4A60"/>
    <w:lvl w:ilvl="0" w:tplc="660C647A">
      <w:start w:val="1"/>
      <w:numFmt w:val="bullet"/>
      <w:lvlText w:val="–"/>
      <w:lvlJc w:val="left"/>
      <w:pPr>
        <w:tabs>
          <w:tab w:val="num" w:pos="720"/>
        </w:tabs>
        <w:ind w:left="720" w:hanging="360"/>
      </w:pPr>
      <w:rPr>
        <w:rFonts w:ascii="Arial" w:hAnsi="Arial" w:cs="Times New Roman" w:hint="default"/>
      </w:rPr>
    </w:lvl>
    <w:lvl w:ilvl="1" w:tplc="2870C604">
      <w:start w:val="1"/>
      <w:numFmt w:val="bullet"/>
      <w:lvlText w:val="–"/>
      <w:lvlJc w:val="left"/>
      <w:pPr>
        <w:tabs>
          <w:tab w:val="num" w:pos="1440"/>
        </w:tabs>
        <w:ind w:left="1440" w:hanging="360"/>
      </w:pPr>
      <w:rPr>
        <w:rFonts w:ascii="Arial" w:hAnsi="Arial" w:cs="Times New Roman" w:hint="default"/>
      </w:rPr>
    </w:lvl>
    <w:lvl w:ilvl="2" w:tplc="127C795E">
      <w:start w:val="1"/>
      <w:numFmt w:val="bullet"/>
      <w:lvlText w:val="–"/>
      <w:lvlJc w:val="left"/>
      <w:pPr>
        <w:tabs>
          <w:tab w:val="num" w:pos="2160"/>
        </w:tabs>
        <w:ind w:left="2160" w:hanging="360"/>
      </w:pPr>
      <w:rPr>
        <w:rFonts w:ascii="Arial" w:hAnsi="Arial" w:cs="Times New Roman" w:hint="default"/>
      </w:rPr>
    </w:lvl>
    <w:lvl w:ilvl="3" w:tplc="AAF4FD64">
      <w:start w:val="1"/>
      <w:numFmt w:val="bullet"/>
      <w:lvlText w:val="–"/>
      <w:lvlJc w:val="left"/>
      <w:pPr>
        <w:tabs>
          <w:tab w:val="num" w:pos="2880"/>
        </w:tabs>
        <w:ind w:left="2880" w:hanging="360"/>
      </w:pPr>
      <w:rPr>
        <w:rFonts w:ascii="Arial" w:hAnsi="Arial" w:cs="Times New Roman" w:hint="default"/>
      </w:rPr>
    </w:lvl>
    <w:lvl w:ilvl="4" w:tplc="04090003">
      <w:start w:val="1"/>
      <w:numFmt w:val="bullet"/>
      <w:lvlText w:val="o"/>
      <w:lvlJc w:val="left"/>
      <w:pPr>
        <w:ind w:left="3600" w:hanging="360"/>
      </w:pPr>
      <w:rPr>
        <w:rFonts w:ascii="Courier New" w:hAnsi="Courier New" w:cs="Courier New" w:hint="default"/>
      </w:rPr>
    </w:lvl>
    <w:lvl w:ilvl="5" w:tplc="CF2440B6">
      <w:start w:val="1"/>
      <w:numFmt w:val="bullet"/>
      <w:lvlText w:val="–"/>
      <w:lvlJc w:val="left"/>
      <w:pPr>
        <w:tabs>
          <w:tab w:val="num" w:pos="4320"/>
        </w:tabs>
        <w:ind w:left="4320" w:hanging="360"/>
      </w:pPr>
      <w:rPr>
        <w:rFonts w:ascii="Arial" w:hAnsi="Arial" w:cs="Times New Roman" w:hint="default"/>
      </w:rPr>
    </w:lvl>
    <w:lvl w:ilvl="6" w:tplc="F89C07FE">
      <w:start w:val="1"/>
      <w:numFmt w:val="bullet"/>
      <w:lvlText w:val="–"/>
      <w:lvlJc w:val="left"/>
      <w:pPr>
        <w:tabs>
          <w:tab w:val="num" w:pos="5040"/>
        </w:tabs>
        <w:ind w:left="5040" w:hanging="360"/>
      </w:pPr>
      <w:rPr>
        <w:rFonts w:ascii="Arial" w:hAnsi="Arial" w:cs="Times New Roman" w:hint="default"/>
      </w:rPr>
    </w:lvl>
    <w:lvl w:ilvl="7" w:tplc="E7646A3E">
      <w:start w:val="1"/>
      <w:numFmt w:val="bullet"/>
      <w:lvlText w:val="–"/>
      <w:lvlJc w:val="left"/>
      <w:pPr>
        <w:tabs>
          <w:tab w:val="num" w:pos="5760"/>
        </w:tabs>
        <w:ind w:left="5760" w:hanging="360"/>
      </w:pPr>
      <w:rPr>
        <w:rFonts w:ascii="Arial" w:hAnsi="Arial" w:cs="Times New Roman" w:hint="default"/>
      </w:rPr>
    </w:lvl>
    <w:lvl w:ilvl="8" w:tplc="64D26592">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6F561310"/>
    <w:multiLevelType w:val="hybridMultilevel"/>
    <w:tmpl w:val="62607426"/>
    <w:lvl w:ilvl="0" w:tplc="5650AB38">
      <w:start w:val="1"/>
      <w:numFmt w:val="bullet"/>
      <w:lvlText w:val="−"/>
      <w:lvlJc w:val="left"/>
      <w:pPr>
        <w:tabs>
          <w:tab w:val="num" w:pos="720"/>
        </w:tabs>
        <w:ind w:left="720" w:hanging="360"/>
      </w:pPr>
      <w:rPr>
        <w:rFonts w:ascii="Calibri" w:hAnsi="Calibri" w:cs="Times New Roman" w:hint="default"/>
      </w:rPr>
    </w:lvl>
    <w:lvl w:ilvl="1" w:tplc="19E24B82">
      <w:start w:val="1"/>
      <w:numFmt w:val="bullet"/>
      <w:lvlText w:val="−"/>
      <w:lvlJc w:val="left"/>
      <w:pPr>
        <w:tabs>
          <w:tab w:val="num" w:pos="1440"/>
        </w:tabs>
        <w:ind w:left="1440" w:hanging="360"/>
      </w:pPr>
      <w:rPr>
        <w:rFonts w:ascii="Calibri" w:hAnsi="Calibri" w:cs="Times New Roman" w:hint="default"/>
      </w:rPr>
    </w:lvl>
    <w:lvl w:ilvl="2" w:tplc="04090003">
      <w:start w:val="1"/>
      <w:numFmt w:val="bullet"/>
      <w:lvlText w:val="o"/>
      <w:lvlJc w:val="left"/>
      <w:pPr>
        <w:ind w:left="3600" w:hanging="360"/>
      </w:pPr>
      <w:rPr>
        <w:rFonts w:ascii="Courier New" w:hAnsi="Courier New" w:cs="Courier New" w:hint="default"/>
      </w:rPr>
    </w:lvl>
    <w:lvl w:ilvl="3" w:tplc="EB9AFC18">
      <w:numFmt w:val="bullet"/>
      <w:lvlText w:val=""/>
      <w:lvlJc w:val="left"/>
      <w:pPr>
        <w:tabs>
          <w:tab w:val="num" w:pos="2880"/>
        </w:tabs>
        <w:ind w:left="2880" w:hanging="360"/>
      </w:pPr>
      <w:rPr>
        <w:rFonts w:ascii="Wingdings" w:hAnsi="Wingdings" w:hint="default"/>
      </w:rPr>
    </w:lvl>
    <w:lvl w:ilvl="4" w:tplc="EC6C783C">
      <w:start w:val="1"/>
      <w:numFmt w:val="bullet"/>
      <w:lvlText w:val="−"/>
      <w:lvlJc w:val="left"/>
      <w:pPr>
        <w:tabs>
          <w:tab w:val="num" w:pos="3600"/>
        </w:tabs>
        <w:ind w:left="3600" w:hanging="360"/>
      </w:pPr>
      <w:rPr>
        <w:rFonts w:ascii="Calibri" w:hAnsi="Calibri" w:cs="Times New Roman" w:hint="default"/>
      </w:rPr>
    </w:lvl>
    <w:lvl w:ilvl="5" w:tplc="2E5E3446">
      <w:start w:val="1"/>
      <w:numFmt w:val="bullet"/>
      <w:lvlText w:val="−"/>
      <w:lvlJc w:val="left"/>
      <w:pPr>
        <w:tabs>
          <w:tab w:val="num" w:pos="4320"/>
        </w:tabs>
        <w:ind w:left="4320" w:hanging="360"/>
      </w:pPr>
      <w:rPr>
        <w:rFonts w:ascii="Calibri" w:hAnsi="Calibri" w:cs="Times New Roman" w:hint="default"/>
      </w:rPr>
    </w:lvl>
    <w:lvl w:ilvl="6" w:tplc="E780E0A6">
      <w:start w:val="1"/>
      <w:numFmt w:val="bullet"/>
      <w:lvlText w:val="−"/>
      <w:lvlJc w:val="left"/>
      <w:pPr>
        <w:tabs>
          <w:tab w:val="num" w:pos="5040"/>
        </w:tabs>
        <w:ind w:left="5040" w:hanging="360"/>
      </w:pPr>
      <w:rPr>
        <w:rFonts w:ascii="Calibri" w:hAnsi="Calibri" w:cs="Times New Roman" w:hint="default"/>
      </w:rPr>
    </w:lvl>
    <w:lvl w:ilvl="7" w:tplc="01682B54">
      <w:start w:val="1"/>
      <w:numFmt w:val="bullet"/>
      <w:lvlText w:val="−"/>
      <w:lvlJc w:val="left"/>
      <w:pPr>
        <w:tabs>
          <w:tab w:val="num" w:pos="5760"/>
        </w:tabs>
        <w:ind w:left="5760" w:hanging="360"/>
      </w:pPr>
      <w:rPr>
        <w:rFonts w:ascii="Calibri" w:hAnsi="Calibri" w:cs="Times New Roman" w:hint="default"/>
      </w:rPr>
    </w:lvl>
    <w:lvl w:ilvl="8" w:tplc="C3CABD54">
      <w:start w:val="1"/>
      <w:numFmt w:val="bullet"/>
      <w:lvlText w:val="−"/>
      <w:lvlJc w:val="left"/>
      <w:pPr>
        <w:tabs>
          <w:tab w:val="num" w:pos="6480"/>
        </w:tabs>
        <w:ind w:left="6480" w:hanging="360"/>
      </w:pPr>
      <w:rPr>
        <w:rFonts w:ascii="Calibri" w:hAnsi="Calibri" w:cs="Times New Roman" w:hint="default"/>
      </w:rPr>
    </w:lvl>
  </w:abstractNum>
  <w:abstractNum w:abstractNumId="13" w15:restartNumberingAfterBreak="0">
    <w:nsid w:val="7EB41041"/>
    <w:multiLevelType w:val="hybridMultilevel"/>
    <w:tmpl w:val="12A0CDC0"/>
    <w:lvl w:ilvl="0" w:tplc="6CE6528A">
      <w:start w:val="1"/>
      <w:numFmt w:val="bullet"/>
      <w:lvlText w:val="–"/>
      <w:lvlJc w:val="left"/>
      <w:pPr>
        <w:tabs>
          <w:tab w:val="num" w:pos="720"/>
        </w:tabs>
        <w:ind w:left="720" w:hanging="360"/>
      </w:pPr>
      <w:rPr>
        <w:rFonts w:ascii="Arial" w:hAnsi="Arial" w:cs="Times New Roman" w:hint="default"/>
      </w:rPr>
    </w:lvl>
    <w:lvl w:ilvl="1" w:tplc="04090003">
      <w:start w:val="1"/>
      <w:numFmt w:val="bullet"/>
      <w:lvlText w:val="o"/>
      <w:lvlJc w:val="left"/>
      <w:pPr>
        <w:ind w:left="3600" w:hanging="360"/>
      </w:pPr>
      <w:rPr>
        <w:rFonts w:ascii="Courier New" w:hAnsi="Courier New" w:cs="Courier New" w:hint="default"/>
      </w:rPr>
    </w:lvl>
    <w:lvl w:ilvl="2" w:tplc="1542E600">
      <w:start w:val="1"/>
      <w:numFmt w:val="bullet"/>
      <w:lvlText w:val="–"/>
      <w:lvlJc w:val="left"/>
      <w:pPr>
        <w:tabs>
          <w:tab w:val="num" w:pos="2160"/>
        </w:tabs>
        <w:ind w:left="2160" w:hanging="360"/>
      </w:pPr>
      <w:rPr>
        <w:rFonts w:ascii="Arial" w:hAnsi="Arial" w:cs="Times New Roman" w:hint="default"/>
      </w:rPr>
    </w:lvl>
    <w:lvl w:ilvl="3" w:tplc="0DBE8BA4">
      <w:start w:val="1"/>
      <w:numFmt w:val="bullet"/>
      <w:lvlText w:val="–"/>
      <w:lvlJc w:val="left"/>
      <w:pPr>
        <w:tabs>
          <w:tab w:val="num" w:pos="2880"/>
        </w:tabs>
        <w:ind w:left="2880" w:hanging="360"/>
      </w:pPr>
      <w:rPr>
        <w:rFonts w:ascii="Arial" w:hAnsi="Arial" w:cs="Times New Roman" w:hint="default"/>
      </w:rPr>
    </w:lvl>
    <w:lvl w:ilvl="4" w:tplc="04090003">
      <w:start w:val="1"/>
      <w:numFmt w:val="bullet"/>
      <w:lvlText w:val="o"/>
      <w:lvlJc w:val="left"/>
      <w:pPr>
        <w:ind w:left="3600" w:hanging="360"/>
      </w:pPr>
      <w:rPr>
        <w:rFonts w:ascii="Courier New" w:hAnsi="Courier New" w:cs="Courier New" w:hint="default"/>
      </w:rPr>
    </w:lvl>
    <w:lvl w:ilvl="5" w:tplc="515A60EC">
      <w:start w:val="1"/>
      <w:numFmt w:val="bullet"/>
      <w:lvlText w:val="–"/>
      <w:lvlJc w:val="left"/>
      <w:pPr>
        <w:tabs>
          <w:tab w:val="num" w:pos="4320"/>
        </w:tabs>
        <w:ind w:left="4320" w:hanging="360"/>
      </w:pPr>
      <w:rPr>
        <w:rFonts w:ascii="Arial" w:hAnsi="Arial" w:cs="Times New Roman" w:hint="default"/>
      </w:rPr>
    </w:lvl>
    <w:lvl w:ilvl="6" w:tplc="A9489FD6">
      <w:start w:val="1"/>
      <w:numFmt w:val="bullet"/>
      <w:lvlText w:val="–"/>
      <w:lvlJc w:val="left"/>
      <w:pPr>
        <w:tabs>
          <w:tab w:val="num" w:pos="5040"/>
        </w:tabs>
        <w:ind w:left="5040" w:hanging="360"/>
      </w:pPr>
      <w:rPr>
        <w:rFonts w:ascii="Arial" w:hAnsi="Arial" w:cs="Times New Roman" w:hint="default"/>
      </w:rPr>
    </w:lvl>
    <w:lvl w:ilvl="7" w:tplc="3BA48590">
      <w:start w:val="1"/>
      <w:numFmt w:val="bullet"/>
      <w:lvlText w:val="–"/>
      <w:lvlJc w:val="left"/>
      <w:pPr>
        <w:tabs>
          <w:tab w:val="num" w:pos="5760"/>
        </w:tabs>
        <w:ind w:left="5760" w:hanging="360"/>
      </w:pPr>
      <w:rPr>
        <w:rFonts w:ascii="Arial" w:hAnsi="Arial" w:cs="Times New Roman" w:hint="default"/>
      </w:rPr>
    </w:lvl>
    <w:lvl w:ilvl="8" w:tplc="63A41E20">
      <w:start w:val="1"/>
      <w:numFmt w:val="bullet"/>
      <w:lvlText w:val="–"/>
      <w:lvlJc w:val="left"/>
      <w:pPr>
        <w:tabs>
          <w:tab w:val="num" w:pos="6480"/>
        </w:tabs>
        <w:ind w:left="6480" w:hanging="360"/>
      </w:pPr>
      <w:rPr>
        <w:rFonts w:ascii="Arial" w:hAnsi="Arial" w:cs="Times New Roman" w:hint="default"/>
      </w:rPr>
    </w:lvl>
  </w:abstractNum>
  <w:num w:numId="1" w16cid:durableId="1052771853">
    <w:abstractNumId w:val="9"/>
  </w:num>
  <w:num w:numId="2" w16cid:durableId="1986280505">
    <w:abstractNumId w:val="5"/>
  </w:num>
  <w:num w:numId="3" w16cid:durableId="485245026">
    <w:abstractNumId w:val="11"/>
  </w:num>
  <w:num w:numId="4" w16cid:durableId="2125928475">
    <w:abstractNumId w:val="2"/>
  </w:num>
  <w:num w:numId="5" w16cid:durableId="742525480">
    <w:abstractNumId w:val="6"/>
  </w:num>
  <w:num w:numId="6" w16cid:durableId="1071586472">
    <w:abstractNumId w:val="7"/>
  </w:num>
  <w:num w:numId="7" w16cid:durableId="727264407">
    <w:abstractNumId w:val="10"/>
  </w:num>
  <w:num w:numId="8" w16cid:durableId="1024868982">
    <w:abstractNumId w:val="13"/>
  </w:num>
  <w:num w:numId="9" w16cid:durableId="450513353">
    <w:abstractNumId w:val="0"/>
  </w:num>
  <w:num w:numId="10" w16cid:durableId="1630236026">
    <w:abstractNumId w:val="4"/>
  </w:num>
  <w:num w:numId="11" w16cid:durableId="1940403696">
    <w:abstractNumId w:val="12"/>
  </w:num>
  <w:num w:numId="12" w16cid:durableId="722556661">
    <w:abstractNumId w:val="13"/>
  </w:num>
  <w:num w:numId="13" w16cid:durableId="1040594553">
    <w:abstractNumId w:val="4"/>
  </w:num>
  <w:num w:numId="14" w16cid:durableId="1839925985">
    <w:abstractNumId w:val="3"/>
  </w:num>
  <w:num w:numId="15" w16cid:durableId="1557474436">
    <w:abstractNumId w:val="8"/>
  </w:num>
  <w:num w:numId="16" w16cid:durableId="1951085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CB"/>
    <w:rsid w:val="0000172F"/>
    <w:rsid w:val="000153EC"/>
    <w:rsid w:val="000409B1"/>
    <w:rsid w:val="0006742A"/>
    <w:rsid w:val="00082943"/>
    <w:rsid w:val="000914DF"/>
    <w:rsid w:val="00097470"/>
    <w:rsid w:val="000A12E1"/>
    <w:rsid w:val="000C62CB"/>
    <w:rsid w:val="000E106A"/>
    <w:rsid w:val="000E20CC"/>
    <w:rsid w:val="000E7B64"/>
    <w:rsid w:val="001000E9"/>
    <w:rsid w:val="00117DF1"/>
    <w:rsid w:val="001501FB"/>
    <w:rsid w:val="00160075"/>
    <w:rsid w:val="001D5534"/>
    <w:rsid w:val="001F168D"/>
    <w:rsid w:val="001F5582"/>
    <w:rsid w:val="002D1B50"/>
    <w:rsid w:val="002E4EDD"/>
    <w:rsid w:val="002E50FA"/>
    <w:rsid w:val="002E6C51"/>
    <w:rsid w:val="002F092F"/>
    <w:rsid w:val="003202F0"/>
    <w:rsid w:val="00322AEE"/>
    <w:rsid w:val="0033695B"/>
    <w:rsid w:val="003403FC"/>
    <w:rsid w:val="00341187"/>
    <w:rsid w:val="003636BC"/>
    <w:rsid w:val="00395694"/>
    <w:rsid w:val="00396A7B"/>
    <w:rsid w:val="003E0C3A"/>
    <w:rsid w:val="003F6528"/>
    <w:rsid w:val="004E7BAE"/>
    <w:rsid w:val="004F5DCB"/>
    <w:rsid w:val="00555504"/>
    <w:rsid w:val="005B12B7"/>
    <w:rsid w:val="005B5722"/>
    <w:rsid w:val="005B7087"/>
    <w:rsid w:val="005C20CB"/>
    <w:rsid w:val="005E707E"/>
    <w:rsid w:val="005F6CEA"/>
    <w:rsid w:val="00613C59"/>
    <w:rsid w:val="00614FA6"/>
    <w:rsid w:val="00647342"/>
    <w:rsid w:val="006D148A"/>
    <w:rsid w:val="0070513A"/>
    <w:rsid w:val="0071700D"/>
    <w:rsid w:val="0071763F"/>
    <w:rsid w:val="0076193D"/>
    <w:rsid w:val="00765BB9"/>
    <w:rsid w:val="00777411"/>
    <w:rsid w:val="007A3FC9"/>
    <w:rsid w:val="007A637F"/>
    <w:rsid w:val="007E0983"/>
    <w:rsid w:val="007F2046"/>
    <w:rsid w:val="008160CE"/>
    <w:rsid w:val="00863572"/>
    <w:rsid w:val="00870063"/>
    <w:rsid w:val="008B4766"/>
    <w:rsid w:val="008C4D35"/>
    <w:rsid w:val="008C591F"/>
    <w:rsid w:val="008E097C"/>
    <w:rsid w:val="008F4287"/>
    <w:rsid w:val="0094631C"/>
    <w:rsid w:val="009B42AC"/>
    <w:rsid w:val="00A22EEA"/>
    <w:rsid w:val="00A33783"/>
    <w:rsid w:val="00A41135"/>
    <w:rsid w:val="00A42DFD"/>
    <w:rsid w:val="00A767DE"/>
    <w:rsid w:val="00A87FDD"/>
    <w:rsid w:val="00A91160"/>
    <w:rsid w:val="00AA0C0C"/>
    <w:rsid w:val="00AF6D9A"/>
    <w:rsid w:val="00B022E1"/>
    <w:rsid w:val="00B33D48"/>
    <w:rsid w:val="00B42144"/>
    <w:rsid w:val="00B44373"/>
    <w:rsid w:val="00B62CF2"/>
    <w:rsid w:val="00B97EBB"/>
    <w:rsid w:val="00C1421F"/>
    <w:rsid w:val="00C16849"/>
    <w:rsid w:val="00C2310E"/>
    <w:rsid w:val="00C23275"/>
    <w:rsid w:val="00C25578"/>
    <w:rsid w:val="00C3326A"/>
    <w:rsid w:val="00C404B5"/>
    <w:rsid w:val="00C55303"/>
    <w:rsid w:val="00C97099"/>
    <w:rsid w:val="00CC5D08"/>
    <w:rsid w:val="00CD443B"/>
    <w:rsid w:val="00CD6395"/>
    <w:rsid w:val="00D116F7"/>
    <w:rsid w:val="00D2679B"/>
    <w:rsid w:val="00D457E3"/>
    <w:rsid w:val="00D46736"/>
    <w:rsid w:val="00D97476"/>
    <w:rsid w:val="00DB42F0"/>
    <w:rsid w:val="00DB6133"/>
    <w:rsid w:val="00DC666C"/>
    <w:rsid w:val="00E42A42"/>
    <w:rsid w:val="00E62423"/>
    <w:rsid w:val="00E80566"/>
    <w:rsid w:val="00EA019D"/>
    <w:rsid w:val="00EA308E"/>
    <w:rsid w:val="00EC1A18"/>
    <w:rsid w:val="00F14376"/>
    <w:rsid w:val="00F30998"/>
    <w:rsid w:val="00F3630E"/>
    <w:rsid w:val="00F419B9"/>
    <w:rsid w:val="00FC04FA"/>
    <w:rsid w:val="00FC3F08"/>
    <w:rsid w:val="00FC462E"/>
    <w:rsid w:val="00FE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E9BB0"/>
  <w15:chartTrackingRefBased/>
  <w15:docId w15:val="{A705DDB2-C67C-4938-8AEB-950F0C7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0CB"/>
    <w:pPr>
      <w:spacing w:after="0" w:line="240" w:lineRule="auto"/>
    </w:pPr>
    <w:rPr>
      <w:rFonts w:ascii="SimSun" w:eastAsia="SimSun" w:hAnsi="SimSun" w:cs="Calibri"/>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C20CB"/>
    <w:rPr>
      <w:color w:val="0563C1"/>
      <w:u w:val="single"/>
    </w:rPr>
  </w:style>
  <w:style w:type="paragraph" w:styleId="ListParagraph">
    <w:name w:val="List Paragraph"/>
    <w:basedOn w:val="Normal"/>
    <w:uiPriority w:val="34"/>
    <w:qFormat/>
    <w:rsid w:val="005C20CB"/>
    <w:pPr>
      <w:ind w:left="720"/>
      <w:contextualSpacing/>
    </w:pPr>
  </w:style>
  <w:style w:type="table" w:styleId="TableGrid">
    <w:name w:val="Table Grid"/>
    <w:basedOn w:val="TableNormal"/>
    <w:uiPriority w:val="39"/>
    <w:rsid w:val="001D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76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39152">
      <w:bodyDiv w:val="1"/>
      <w:marLeft w:val="0"/>
      <w:marRight w:val="0"/>
      <w:marTop w:val="0"/>
      <w:marBottom w:val="0"/>
      <w:divBdr>
        <w:top w:val="none" w:sz="0" w:space="0" w:color="auto"/>
        <w:left w:val="none" w:sz="0" w:space="0" w:color="auto"/>
        <w:bottom w:val="none" w:sz="0" w:space="0" w:color="auto"/>
        <w:right w:val="none" w:sz="0" w:space="0" w:color="auto"/>
      </w:divBdr>
      <w:divsChild>
        <w:div w:id="2137678283">
          <w:marLeft w:val="720"/>
          <w:marRight w:val="0"/>
          <w:marTop w:val="86"/>
          <w:marBottom w:val="0"/>
          <w:divBdr>
            <w:top w:val="none" w:sz="0" w:space="0" w:color="auto"/>
            <w:left w:val="none" w:sz="0" w:space="0" w:color="auto"/>
            <w:bottom w:val="none" w:sz="0" w:space="0" w:color="auto"/>
            <w:right w:val="none" w:sz="0" w:space="0" w:color="auto"/>
          </w:divBdr>
        </w:div>
        <w:div w:id="1429084636">
          <w:marLeft w:val="1166"/>
          <w:marRight w:val="0"/>
          <w:marTop w:val="67"/>
          <w:marBottom w:val="0"/>
          <w:divBdr>
            <w:top w:val="none" w:sz="0" w:space="0" w:color="auto"/>
            <w:left w:val="none" w:sz="0" w:space="0" w:color="auto"/>
            <w:bottom w:val="none" w:sz="0" w:space="0" w:color="auto"/>
            <w:right w:val="none" w:sz="0" w:space="0" w:color="auto"/>
          </w:divBdr>
        </w:div>
        <w:div w:id="116946732">
          <w:marLeft w:val="1166"/>
          <w:marRight w:val="0"/>
          <w:marTop w:val="67"/>
          <w:marBottom w:val="0"/>
          <w:divBdr>
            <w:top w:val="none" w:sz="0" w:space="0" w:color="auto"/>
            <w:left w:val="none" w:sz="0" w:space="0" w:color="auto"/>
            <w:bottom w:val="none" w:sz="0" w:space="0" w:color="auto"/>
            <w:right w:val="none" w:sz="0" w:space="0" w:color="auto"/>
          </w:divBdr>
        </w:div>
        <w:div w:id="1928268876">
          <w:marLeft w:val="720"/>
          <w:marRight w:val="0"/>
          <w:marTop w:val="86"/>
          <w:marBottom w:val="0"/>
          <w:divBdr>
            <w:top w:val="none" w:sz="0" w:space="0" w:color="auto"/>
            <w:left w:val="none" w:sz="0" w:space="0" w:color="auto"/>
            <w:bottom w:val="none" w:sz="0" w:space="0" w:color="auto"/>
            <w:right w:val="none" w:sz="0" w:space="0" w:color="auto"/>
          </w:divBdr>
        </w:div>
        <w:div w:id="24602123">
          <w:marLeft w:val="1166"/>
          <w:marRight w:val="0"/>
          <w:marTop w:val="67"/>
          <w:marBottom w:val="0"/>
          <w:divBdr>
            <w:top w:val="none" w:sz="0" w:space="0" w:color="auto"/>
            <w:left w:val="none" w:sz="0" w:space="0" w:color="auto"/>
            <w:bottom w:val="none" w:sz="0" w:space="0" w:color="auto"/>
            <w:right w:val="none" w:sz="0" w:space="0" w:color="auto"/>
          </w:divBdr>
        </w:div>
        <w:div w:id="694429993">
          <w:marLeft w:val="1166"/>
          <w:marRight w:val="0"/>
          <w:marTop w:val="67"/>
          <w:marBottom w:val="0"/>
          <w:divBdr>
            <w:top w:val="none" w:sz="0" w:space="0" w:color="auto"/>
            <w:left w:val="none" w:sz="0" w:space="0" w:color="auto"/>
            <w:bottom w:val="none" w:sz="0" w:space="0" w:color="auto"/>
            <w:right w:val="none" w:sz="0" w:space="0" w:color="auto"/>
          </w:divBdr>
        </w:div>
        <w:div w:id="994532252">
          <w:marLeft w:val="1166"/>
          <w:marRight w:val="0"/>
          <w:marTop w:val="67"/>
          <w:marBottom w:val="0"/>
          <w:divBdr>
            <w:top w:val="none" w:sz="0" w:space="0" w:color="auto"/>
            <w:left w:val="none" w:sz="0" w:space="0" w:color="auto"/>
            <w:bottom w:val="none" w:sz="0" w:space="0" w:color="auto"/>
            <w:right w:val="none" w:sz="0" w:space="0" w:color="auto"/>
          </w:divBdr>
        </w:div>
        <w:div w:id="1368220077">
          <w:marLeft w:val="1166"/>
          <w:marRight w:val="0"/>
          <w:marTop w:val="67"/>
          <w:marBottom w:val="0"/>
          <w:divBdr>
            <w:top w:val="none" w:sz="0" w:space="0" w:color="auto"/>
            <w:left w:val="none" w:sz="0" w:space="0" w:color="auto"/>
            <w:bottom w:val="none" w:sz="0" w:space="0" w:color="auto"/>
            <w:right w:val="none" w:sz="0" w:space="0" w:color="auto"/>
          </w:divBdr>
        </w:div>
        <w:div w:id="1458141450">
          <w:marLeft w:val="1166"/>
          <w:marRight w:val="0"/>
          <w:marTop w:val="67"/>
          <w:marBottom w:val="0"/>
          <w:divBdr>
            <w:top w:val="none" w:sz="0" w:space="0" w:color="auto"/>
            <w:left w:val="none" w:sz="0" w:space="0" w:color="auto"/>
            <w:bottom w:val="none" w:sz="0" w:space="0" w:color="auto"/>
            <w:right w:val="none" w:sz="0" w:space="0" w:color="auto"/>
          </w:divBdr>
        </w:div>
      </w:divsChild>
    </w:div>
    <w:div w:id="939220949">
      <w:bodyDiv w:val="1"/>
      <w:marLeft w:val="0"/>
      <w:marRight w:val="0"/>
      <w:marTop w:val="0"/>
      <w:marBottom w:val="0"/>
      <w:divBdr>
        <w:top w:val="none" w:sz="0" w:space="0" w:color="auto"/>
        <w:left w:val="none" w:sz="0" w:space="0" w:color="auto"/>
        <w:bottom w:val="none" w:sz="0" w:space="0" w:color="auto"/>
        <w:right w:val="none" w:sz="0" w:space="0" w:color="auto"/>
      </w:divBdr>
    </w:div>
    <w:div w:id="1067920229">
      <w:bodyDiv w:val="1"/>
      <w:marLeft w:val="0"/>
      <w:marRight w:val="0"/>
      <w:marTop w:val="0"/>
      <w:marBottom w:val="0"/>
      <w:divBdr>
        <w:top w:val="none" w:sz="0" w:space="0" w:color="auto"/>
        <w:left w:val="none" w:sz="0" w:space="0" w:color="auto"/>
        <w:bottom w:val="none" w:sz="0" w:space="0" w:color="auto"/>
        <w:right w:val="none" w:sz="0" w:space="0" w:color="auto"/>
      </w:divBdr>
    </w:div>
    <w:div w:id="186871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image" Target="media/image2.emf"/><Relationship Id="rId18" Type="http://schemas.openxmlformats.org/officeDocument/2006/relationships/hyperlink" Target="https://www.3gpp.org/ftp/tsg_sa/WG2_Arch/TSGS2_155_Athens_2023-02/INBOX/DRAFTS/AIMLsys/AIMLsysKI6_AIML%20traffic%20detection%20and%205QI%20related%20issues.pptx" TargetMode="Externa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s://www.3gpp.org/ftp/tsg_sa/WG2_Arch/TSGS2_154AHE_Electronic_2023-01/Docs/S2-2300827.zip" TargetMode="External"/><Relationship Id="rId7" Type="http://schemas.openxmlformats.org/officeDocument/2006/relationships/image" Target="media/image1.emf"/><Relationship Id="rId12" Type="http://schemas.openxmlformats.org/officeDocument/2006/relationships/hyperlink" Target="https://www.3gpp.org/ftp/tsg_sa/WG2_Arch/TSGS2_154AHE_Electronic_2023-01/Docs/S2-2301580.zip" TargetMode="External"/><Relationship Id="rId17" Type="http://schemas.openxmlformats.org/officeDocument/2006/relationships/hyperlink" Target="https://www.3gpp.org/ftp/tsg_sa/WG2_Arch/TSGS2_154AHE_Electronic_2023-01/Docs/S2-2301582.zip" TargetMode="External"/><Relationship Id="rId25" Type="http://schemas.openxmlformats.org/officeDocument/2006/relationships/hyperlink" Target="https://www.3gpp.org/ftp/tsg_sa/WG2_Arch/TSGS2_154AHE_Electronic_2023-01/Docs/S2-2301587.zip" TargetMode="External"/><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hyperlink" Target="https://www.3gpp.org/ftp/tsg_sa/WG2_Arch/TSGS2_154AHE_Electronic_2023-01/Docs/S2-2300826.zip"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3gpp.org/ftp/tsg_sa/WG2_Arch/TSGS2_154AHE_Electronic_2023-01/Docs/S2-2300388.zip" TargetMode="External"/><Relationship Id="rId11" Type="http://schemas.openxmlformats.org/officeDocument/2006/relationships/hyperlink" Target="https://www.3gpp.org/ftp/tsg_sa/WG2_Arch/TSGS2_154AHE_Electronic_2023-01/Docs/S2-2300755.zip" TargetMode="External"/><Relationship Id="rId24" Type="http://schemas.openxmlformats.org/officeDocument/2006/relationships/package" Target="embeddings/Microsoft_Word_Document2.docx"/><Relationship Id="rId5" Type="http://schemas.openxmlformats.org/officeDocument/2006/relationships/hyperlink" Target="https://www.3gpp.org/ftp/tsg_sa/WG2_Arch/TSGS2_154AHE_Electronic_2023-01/Docs/S2-2301579.zip" TargetMode="External"/><Relationship Id="rId15" Type="http://schemas.openxmlformats.org/officeDocument/2006/relationships/image" Target="media/image3.emf"/><Relationship Id="rId23" Type="http://schemas.openxmlformats.org/officeDocument/2006/relationships/image" Target="media/image4.emf"/><Relationship Id="rId28" Type="http://schemas.openxmlformats.org/officeDocument/2006/relationships/hyperlink" Target="https://www.3gpp.org/ftp/tsg_sa/WG2_Arch/TSGS2_154AHE_Electronic_2023-01/Docs/S2-2301103.zip" TargetMode="External"/><Relationship Id="rId10" Type="http://schemas.openxmlformats.org/officeDocument/2006/relationships/hyperlink" Target="https://www.3gpp.org/ftp/tsg_sa/WG2_Arch/TSGS2_154AHE_Electronic_2023-01/Docs/S2-2301205.zip" TargetMode="External"/><Relationship Id="rId19" Type="http://schemas.openxmlformats.org/officeDocument/2006/relationships/hyperlink" Target="https://www.3gpp.org/ftp/tsg_sa/WG2_Arch/TSGS2_154AHE_Electronic_2023-01/Docs/S2-2300824.zip" TargetMode="External"/><Relationship Id="rId4" Type="http://schemas.openxmlformats.org/officeDocument/2006/relationships/webSettings" Target="webSettings.xml"/><Relationship Id="rId9" Type="http://schemas.openxmlformats.org/officeDocument/2006/relationships/hyperlink" Target="https://www.3gpp.org/ftp/tsg_sa/WG2_Arch/TSGS2_154AHE_Electronic_2023-01/Docs/S2-2300755.zip" TargetMode="External"/><Relationship Id="rId14" Type="http://schemas.openxmlformats.org/officeDocument/2006/relationships/package" Target="embeddings/Microsoft_Word_Document.docx"/><Relationship Id="rId22" Type="http://schemas.openxmlformats.org/officeDocument/2006/relationships/hyperlink" Target="https://www.3gpp.org/ftp/tsg_sa/WG2_Arch/TSGS2_154AHE_Electronic_2023-01/Docs/S2-2300152.zip" TargetMode="External"/><Relationship Id="rId27" Type="http://schemas.openxmlformats.org/officeDocument/2006/relationships/package" Target="embeddings/Microsoft_Word_Document3.docx"/><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688</TotalTime>
  <Pages>10</Pages>
  <Words>3266</Words>
  <Characters>18622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OPPOp</dc:creator>
  <cp:keywords/>
  <dc:description/>
  <cp:lastModifiedBy>OPPO</cp:lastModifiedBy>
  <cp:revision>93</cp:revision>
  <dcterms:created xsi:type="dcterms:W3CDTF">2023-02-06T13:39:00Z</dcterms:created>
  <dcterms:modified xsi:type="dcterms:W3CDTF">2023-02-07T15:03:00Z</dcterms:modified>
</cp:coreProperties>
</file>