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Docs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Docs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(or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3GPP Access. Also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QoS and PCC. Also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non-3GPP access related aspects and for any work items from that area, like: SEW1, VoWLAN.</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non-3GPP Access. Also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are IMS-related and similar aspects and for any work items from that area, like: IMS, Emergency, PS_data_off.</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And for maintenance of functionality introduced by TEIx CRs (x&lt;17) in the area of IMS-related. Also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General aspects, concepts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as long as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Related high level function descriptions. Related system procedure flows. Related service based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Related high level functions and procedures, including 3GGP access related specifics of RM and CM states and registration procedures. Related service based procedures, if primarily motivated by the procedures here. Also on radio and CN idle related aspects, i.e. including aspects of RRC_inactive.</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NAS level procedures and functions that are needed to support or enable specific services, e.g.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Related high level function descriptions. Related system procedure flows. Related service based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Related high level function descriptions including non3GPP access related specifics of RM and CM states and registration procedures. Related system procedure flows. Related service based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(eNA)</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(Vertical_LAN)</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(eNS)</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(UDICoM)</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(xBDT)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(eNPN)</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(IIoT)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Enhancement to the 5GC LoCation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Support of different slices over different Non-3GPP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support for NB-IoT/eMTC Non-Terrestrial Networks in EPS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IoT_SAT_ARCH_EPS</w:t>
            </w:r>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This agenda is for topics that are not covered by the dedicated agenda items above, e.g.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Generic group management, exposure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Generic group management, exposure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Extensions to the TSC Framework to support DetNet (FS_DetNet)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RedCap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r w:rsidRPr="00383585">
              <w:rPr>
                <w:rFonts w:ascii="Arial" w:hAnsi="Arial" w:cs="Arial"/>
                <w:b/>
                <w:bCs/>
                <w:color w:val="7F7F7F" w:themeColor="text1" w:themeTint="80"/>
                <w:kern w:val="24"/>
                <w:sz w:val="18"/>
                <w:szCs w:val="18"/>
              </w:rPr>
              <w:t>RedCap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5GC LoCation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5GC LoCation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Ranging based services and sidelink positioning (FS_Ranging_SL)</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(FS_AIMLsys)</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(AIMLsys)</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(FS_eUEPO)</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UPF enhancement for Exposure And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UPF enhancement for Exposure And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3GU (3GPP Ultimate) will be used for Tdoc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remember to fill in all relevant fields for each document type when requesting a tdoc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Tdoc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include all Sources in the Source List field. If this list changes after having requested the tdoc number, please correct them in 3GU before uploading the tdoc.</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give also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pCR,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(e.g. draftCR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 in particular, for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r w:rsidR="00AC7DD2">
        <w:rPr>
          <w:rFonts w:ascii="Arial" w:hAnsi="Arial" w:cs="Arial"/>
          <w:sz w:val="18"/>
          <w:szCs w:val="18"/>
        </w:rPr>
        <w:t>T</w:t>
      </w:r>
      <w:r w:rsidRPr="00383585">
        <w:rPr>
          <w:rFonts w:ascii="Arial" w:hAnsi="Arial" w:cs="Arial"/>
          <w:sz w:val="18"/>
          <w:szCs w:val="18"/>
        </w:rPr>
        <w:t xml:space="preserve">docs may only be agreed. Tdocs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207958" w:rsidRPr="00735ACD" w14:paraId="3876F8C2" w14:textId="77777777" w:rsidTr="00501C3A">
        <w:trPr>
          <w:trHeight w:val="456"/>
          <w:jc w:val="center"/>
        </w:trPr>
        <w:tc>
          <w:tcPr>
            <w:tcW w:w="763" w:type="dxa"/>
            <w:vMerge w:val="restart"/>
            <w:shd w:val="clear" w:color="auto" w:fill="auto"/>
          </w:tcPr>
          <w:p w14:paraId="29B6D99A" w14:textId="5434D822"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207958" w:rsidRPr="00735ACD" w:rsidRDefault="00207958" w:rsidP="00207958">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207958" w:rsidRPr="00735ACD" w:rsidRDefault="00207958" w:rsidP="00207958">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22E433AE" w:rsidR="00207958" w:rsidRPr="00D76AB6" w:rsidRDefault="009E00D6" w:rsidP="00207958">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ENS (KI#1, KI#2, KI#3 ) Discuss SoH questions. - Jinguo</w:t>
            </w:r>
          </w:p>
        </w:tc>
        <w:tc>
          <w:tcPr>
            <w:tcW w:w="2835" w:type="dxa"/>
            <w:tcBorders>
              <w:bottom w:val="single" w:sz="4" w:space="0" w:color="000000"/>
            </w:tcBorders>
            <w:shd w:val="clear" w:color="auto" w:fill="auto"/>
          </w:tcPr>
          <w:p w14:paraId="6EA4C291" w14:textId="2603E425" w:rsidR="00207958" w:rsidRPr="00735ACD"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Pr>
                <w:rFonts w:ascii="Arial" w:hAnsi="Arial" w:cs="Arial"/>
                <w:color w:val="auto"/>
                <w:sz w:val="16"/>
                <w:szCs w:val="16"/>
              </w:rPr>
              <w:t xml:space="preserve">AIMLsys - Tricci </w:t>
            </w:r>
          </w:p>
        </w:tc>
        <w:tc>
          <w:tcPr>
            <w:tcW w:w="2835" w:type="dxa"/>
            <w:tcBorders>
              <w:bottom w:val="single" w:sz="4" w:space="0" w:color="000000"/>
            </w:tcBorders>
            <w:shd w:val="clear" w:color="auto" w:fill="auto"/>
          </w:tcPr>
          <w:p w14:paraId="41C931CE" w14:textId="2876DCED" w:rsidR="00207958" w:rsidRPr="00735ACD" w:rsidRDefault="00207958" w:rsidP="00207958">
            <w:pPr>
              <w:spacing w:before="2" w:after="0"/>
              <w:rPr>
                <w:rFonts w:ascii="Arial" w:hAnsi="Arial" w:cs="Arial"/>
                <w:color w:val="auto"/>
                <w:sz w:val="16"/>
                <w:szCs w:val="16"/>
              </w:rPr>
            </w:pPr>
          </w:p>
        </w:tc>
        <w:tc>
          <w:tcPr>
            <w:tcW w:w="3246" w:type="dxa"/>
            <w:shd w:val="clear" w:color="auto" w:fill="auto"/>
          </w:tcPr>
          <w:p w14:paraId="5E8892DC" w14:textId="77777777" w:rsidR="00207958" w:rsidRPr="00735ACD" w:rsidRDefault="00207958" w:rsidP="00207958">
            <w:pPr>
              <w:pStyle w:val="agenda-entry"/>
              <w:spacing w:before="2"/>
              <w:rPr>
                <w:sz w:val="16"/>
                <w:szCs w:val="16"/>
              </w:rPr>
            </w:pPr>
          </w:p>
        </w:tc>
      </w:tr>
      <w:tr w:rsidR="00207958" w:rsidRPr="00735ACD" w14:paraId="7B651431" w14:textId="77777777" w:rsidTr="00501C3A">
        <w:trPr>
          <w:trHeight w:val="380"/>
          <w:jc w:val="center"/>
        </w:trPr>
        <w:tc>
          <w:tcPr>
            <w:tcW w:w="763" w:type="dxa"/>
            <w:vMerge/>
            <w:shd w:val="clear" w:color="auto" w:fill="auto"/>
          </w:tcPr>
          <w:p w14:paraId="47320776" w14:textId="77777777" w:rsidR="00207958" w:rsidRPr="00735ACD" w:rsidRDefault="00207958" w:rsidP="00207958">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207958" w:rsidRPr="00735ACD" w:rsidRDefault="00207958" w:rsidP="00207958">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207958" w:rsidRPr="00D76AB6"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207958" w:rsidRPr="00735ACD" w:rsidRDefault="009E00D6" w:rsidP="00207958">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207958" w:rsidRPr="00735ACD" w:rsidRDefault="00207958" w:rsidP="00207958">
            <w:pPr>
              <w:suppressAutoHyphens/>
              <w:overflowPunct/>
              <w:autoSpaceDE/>
              <w:autoSpaceDN/>
              <w:adjustRightInd/>
              <w:spacing w:after="0"/>
              <w:textAlignment w:val="auto"/>
              <w:rPr>
                <w:rFonts w:ascii="Arial" w:eastAsia="MS Mincho" w:hAnsi="Arial" w:cs="Arial"/>
                <w:sz w:val="16"/>
                <w:szCs w:val="16"/>
                <w:highlight w:val="yellow"/>
              </w:rPr>
            </w:pPr>
          </w:p>
        </w:tc>
      </w:tr>
      <w:tr w:rsidR="00D76AB6" w:rsidRPr="00735ACD" w14:paraId="64DCC750" w14:textId="77777777" w:rsidTr="00501C3A">
        <w:trPr>
          <w:trHeight w:val="417"/>
          <w:jc w:val="center"/>
        </w:trPr>
        <w:tc>
          <w:tcPr>
            <w:tcW w:w="763" w:type="dxa"/>
            <w:vMerge/>
            <w:shd w:val="clear" w:color="auto" w:fill="auto"/>
          </w:tcPr>
          <w:p w14:paraId="6FC48D51" w14:textId="77777777" w:rsidR="00D76AB6" w:rsidRPr="00735ACD" w:rsidRDefault="00D76AB6" w:rsidP="00D76AB6">
            <w:pPr>
              <w:spacing w:before="2" w:after="0"/>
              <w:ind w:left="28"/>
              <w:rPr>
                <w:rFonts w:ascii="Arial" w:hAnsi="Arial" w:cs="Arial"/>
                <w:b/>
                <w:color w:val="auto"/>
                <w:sz w:val="16"/>
                <w:szCs w:val="16"/>
              </w:rPr>
            </w:pPr>
          </w:p>
        </w:tc>
        <w:tc>
          <w:tcPr>
            <w:tcW w:w="2819" w:type="dxa"/>
            <w:vMerge/>
            <w:shd w:val="clear" w:color="auto" w:fill="auto"/>
          </w:tcPr>
          <w:p w14:paraId="626E3D75" w14:textId="77777777" w:rsidR="00D76AB6" w:rsidRPr="00735ACD" w:rsidRDefault="00D76AB6" w:rsidP="00D76AB6">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2A82F215" w:rsidR="00D76AB6" w:rsidRPr="00D76AB6" w:rsidRDefault="009E00D6" w:rsidP="00D76AB6">
            <w:pPr>
              <w:spacing w:before="2" w:after="0"/>
              <w:rPr>
                <w:rFonts w:ascii="Arial" w:hAnsi="Arial" w:cs="Arial"/>
                <w:color w:val="auto"/>
                <w:sz w:val="16"/>
                <w:szCs w:val="16"/>
              </w:rPr>
            </w:pPr>
            <w:r w:rsidRPr="00735ACD">
              <w:rPr>
                <w:rFonts w:ascii="Arial" w:hAnsi="Arial" w:cs="Arial"/>
                <w:color w:val="auto"/>
                <w:sz w:val="16"/>
                <w:szCs w:val="16"/>
              </w:rPr>
              <w:t>Reserved</w:t>
            </w:r>
          </w:p>
        </w:tc>
        <w:tc>
          <w:tcPr>
            <w:tcW w:w="2835" w:type="dxa"/>
            <w:tcBorders>
              <w:top w:val="single" w:sz="4" w:space="0" w:color="000000"/>
            </w:tcBorders>
            <w:shd w:val="thinDiagStripe" w:color="D9D9D9" w:themeColor="background1" w:themeShade="D9" w:fill="auto"/>
          </w:tcPr>
          <w:p w14:paraId="262FE69F" w14:textId="44949C5A"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rPr>
              <w:t>Reserved</w:t>
            </w:r>
          </w:p>
        </w:tc>
        <w:tc>
          <w:tcPr>
            <w:tcW w:w="2835" w:type="dxa"/>
            <w:tcBorders>
              <w:top w:val="single" w:sz="4" w:space="0" w:color="000000"/>
              <w:right w:val="single" w:sz="12" w:space="0" w:color="000000"/>
            </w:tcBorders>
            <w:shd w:val="thinDiagStripe" w:color="D9D9D9" w:fill="auto"/>
          </w:tcPr>
          <w:p w14:paraId="16AF35C2" w14:textId="4E16A9FF"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D76AB6" w:rsidRPr="00735ACD" w:rsidRDefault="00D76AB6" w:rsidP="00D76AB6">
            <w:pPr>
              <w:spacing w:before="2" w:after="0"/>
              <w:rPr>
                <w:rFonts w:ascii="Arial" w:hAnsi="Arial" w:cs="Arial"/>
                <w:sz w:val="16"/>
                <w:szCs w:val="16"/>
                <w:highlight w:val="yellow"/>
              </w:rPr>
            </w:pPr>
          </w:p>
        </w:tc>
      </w:tr>
      <w:tr w:rsidR="00CE4F37" w:rsidRPr="00735ACD" w14:paraId="0212DB82" w14:textId="77777777" w:rsidTr="00501C3A">
        <w:trPr>
          <w:trHeight w:val="456"/>
          <w:jc w:val="center"/>
        </w:trPr>
        <w:tc>
          <w:tcPr>
            <w:tcW w:w="763" w:type="dxa"/>
            <w:vMerge w:val="restart"/>
            <w:shd w:val="clear" w:color="auto" w:fill="auto"/>
          </w:tcPr>
          <w:p w14:paraId="1418160A" w14:textId="77DDD4EE"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CE4F37"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CE4F37" w:rsidRDefault="00CE4F37" w:rsidP="00CE4F37">
            <w:pPr>
              <w:spacing w:before="2" w:after="0"/>
              <w:ind w:left="28"/>
              <w:rPr>
                <w:rFonts w:ascii="Arial" w:hAnsi="Arial" w:cs="Arial"/>
                <w:color w:val="auto"/>
                <w:sz w:val="16"/>
                <w:szCs w:val="16"/>
              </w:rPr>
            </w:pPr>
          </w:p>
          <w:p w14:paraId="4CDB494B" w14:textId="2C351F5E" w:rsidR="00CE4F37" w:rsidRPr="00735ACD" w:rsidRDefault="00CE4F37" w:rsidP="00CE4F37">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CE4F37" w:rsidRPr="00735ACD" w:rsidRDefault="00CE4F37" w:rsidP="00CE4F37">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CE4F37" w:rsidRPr="00735ACD" w:rsidRDefault="00CE4F37" w:rsidP="00CE4F37">
            <w:pPr>
              <w:spacing w:before="2" w:after="0"/>
              <w:rPr>
                <w:rFonts w:ascii="Arial" w:hAnsi="Arial" w:cs="Arial"/>
                <w:color w:val="auto"/>
                <w:sz w:val="16"/>
                <w:szCs w:val="16"/>
              </w:rPr>
            </w:pPr>
          </w:p>
        </w:tc>
        <w:tc>
          <w:tcPr>
            <w:tcW w:w="3246" w:type="dxa"/>
            <w:shd w:val="clear" w:color="auto" w:fill="auto"/>
          </w:tcPr>
          <w:p w14:paraId="4D3B96BE" w14:textId="77777777" w:rsidR="00CE4F37" w:rsidRPr="00735ACD" w:rsidRDefault="00CE4F37" w:rsidP="00CE4F37">
            <w:pPr>
              <w:pStyle w:val="agenda-entry"/>
              <w:spacing w:before="2"/>
              <w:rPr>
                <w:sz w:val="16"/>
                <w:szCs w:val="16"/>
              </w:rPr>
            </w:pPr>
          </w:p>
        </w:tc>
      </w:tr>
      <w:tr w:rsidR="00CE4F37" w:rsidRPr="00735ACD" w14:paraId="0AC910D5" w14:textId="77777777" w:rsidTr="00501C3A">
        <w:trPr>
          <w:trHeight w:val="552"/>
          <w:jc w:val="center"/>
        </w:trPr>
        <w:tc>
          <w:tcPr>
            <w:tcW w:w="763" w:type="dxa"/>
            <w:vMerge/>
            <w:shd w:val="clear" w:color="auto" w:fill="auto"/>
          </w:tcPr>
          <w:p w14:paraId="287BAD98" w14:textId="77777777" w:rsidR="00CE4F37" w:rsidRPr="00735ACD" w:rsidRDefault="00CE4F37" w:rsidP="00CE4F37">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E4F37" w:rsidRPr="00735ACD" w:rsidRDefault="00CE4F37" w:rsidP="00CE4F37">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CE4F37" w:rsidRPr="00735ACD" w:rsidRDefault="00CE4F37" w:rsidP="00CE4F37">
            <w:pPr>
              <w:suppressAutoHyphens/>
              <w:overflowPunct/>
              <w:autoSpaceDE/>
              <w:autoSpaceDN/>
              <w:adjustRightInd/>
              <w:spacing w:after="0"/>
              <w:textAlignment w:val="auto"/>
              <w:rPr>
                <w:rFonts w:ascii="Arial" w:eastAsia="MS Mincho" w:hAnsi="Arial" w:cs="Arial"/>
                <w:sz w:val="16"/>
                <w:szCs w:val="16"/>
                <w:highlight w:val="yellow"/>
              </w:rPr>
            </w:pPr>
          </w:p>
        </w:tc>
      </w:tr>
      <w:tr w:rsidR="00CE4F37" w:rsidRPr="00735ACD" w14:paraId="1495692A" w14:textId="77777777" w:rsidTr="00501C3A">
        <w:trPr>
          <w:trHeight w:val="507"/>
          <w:jc w:val="center"/>
        </w:trPr>
        <w:tc>
          <w:tcPr>
            <w:tcW w:w="763" w:type="dxa"/>
            <w:vMerge/>
            <w:shd w:val="clear" w:color="auto" w:fill="auto"/>
          </w:tcPr>
          <w:p w14:paraId="5E97651D" w14:textId="77777777" w:rsidR="00CE4F37" w:rsidRPr="00735ACD" w:rsidRDefault="00CE4F37" w:rsidP="00CE4F37">
            <w:pPr>
              <w:spacing w:before="2" w:after="0"/>
              <w:ind w:left="28"/>
              <w:rPr>
                <w:rFonts w:ascii="Arial" w:hAnsi="Arial" w:cs="Arial"/>
                <w:b/>
                <w:color w:val="auto"/>
                <w:sz w:val="16"/>
                <w:szCs w:val="16"/>
              </w:rPr>
            </w:pPr>
          </w:p>
        </w:tc>
        <w:tc>
          <w:tcPr>
            <w:tcW w:w="2819" w:type="dxa"/>
            <w:vMerge/>
            <w:shd w:val="clear" w:color="auto" w:fill="auto"/>
          </w:tcPr>
          <w:p w14:paraId="710EEA0A"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CE4F37" w:rsidRPr="00735ACD" w:rsidRDefault="00CE4F37" w:rsidP="00CE4F37">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CE4F37" w:rsidRPr="00735ACD" w:rsidRDefault="00CE4F37" w:rsidP="00CE4F37">
            <w:pPr>
              <w:spacing w:before="2" w:after="0"/>
              <w:rPr>
                <w:rFonts w:ascii="Arial" w:hAnsi="Arial" w:cs="Arial"/>
                <w:sz w:val="16"/>
                <w:szCs w:val="16"/>
                <w:highlight w:val="yellow"/>
              </w:rPr>
            </w:pPr>
          </w:p>
        </w:tc>
      </w:tr>
      <w:tr w:rsidR="00CE4F37" w:rsidRPr="00735ACD" w14:paraId="45E276C7" w14:textId="77777777" w:rsidTr="00501C3A">
        <w:trPr>
          <w:trHeight w:val="358"/>
          <w:jc w:val="center"/>
        </w:trPr>
        <w:tc>
          <w:tcPr>
            <w:tcW w:w="763" w:type="dxa"/>
            <w:vMerge w:val="restart"/>
            <w:shd w:val="clear" w:color="auto" w:fill="auto"/>
          </w:tcPr>
          <w:p w14:paraId="42F037AA" w14:textId="021DC994"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CE4F37" w:rsidRPr="00735ACD" w:rsidRDefault="00CE4F37" w:rsidP="00CE4F37">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r>
      <w:tr w:rsidR="00CE4F37"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CE4F37" w:rsidRPr="00735ACD" w:rsidRDefault="00CE4F37" w:rsidP="00CE4F37">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CE4F37" w:rsidRPr="00735ACD" w:rsidRDefault="00CE4F37" w:rsidP="00CE4F37">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CE4F37" w:rsidRPr="00735ACD" w:rsidRDefault="00CE4F37" w:rsidP="00CE4F37">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CE4F37" w:rsidRPr="00735ACD" w:rsidRDefault="00CE4F37" w:rsidP="00CE4F37">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3D19218" w:rsidR="00CE4F37" w:rsidRPr="00735ACD" w:rsidRDefault="00CE4F37" w:rsidP="00CE4F37">
            <w:pPr>
              <w:spacing w:before="2" w:after="0"/>
              <w:rPr>
                <w:rFonts w:ascii="Arial" w:hAnsi="Arial" w:cs="Arial"/>
                <w:color w:val="auto"/>
                <w:sz w:val="16"/>
                <w:szCs w:val="16"/>
                <w:shd w:val="clear" w:color="auto" w:fill="C5E0B3" w:themeFill="accent6" w:themeFillTint="66"/>
              </w:rPr>
            </w:pPr>
            <w:r w:rsidRPr="00735ACD">
              <w:rPr>
                <w:rFonts w:ascii="Arial" w:hAnsi="Arial" w:cs="Arial"/>
                <w:color w:val="auto"/>
                <w:sz w:val="16"/>
                <w:szCs w:val="16"/>
                <w:highlight w:val="cyan"/>
              </w:rPr>
              <w:t>TBD</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532BCF58" w14:textId="3960393E" w:rsidR="009E00D6" w:rsidRPr="00735ACD" w:rsidRDefault="009E00D6" w:rsidP="00CE4F37">
            <w:pPr>
              <w:spacing w:before="2" w:after="0"/>
              <w:rPr>
                <w:rFonts w:ascii="Arial" w:eastAsia="MS Mincho"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eNA_ph3 (KI#1, KI#3, KI#4, SoH questions) - AiHua</w:t>
            </w:r>
          </w:p>
        </w:tc>
        <w:tc>
          <w:tcPr>
            <w:tcW w:w="2835" w:type="dxa"/>
            <w:tcBorders>
              <w:bottom w:val="single" w:sz="12" w:space="0" w:color="auto"/>
            </w:tcBorders>
            <w:shd w:val="clear" w:color="auto" w:fill="BFBFBF" w:themeFill="background1" w:themeFillShade="BF"/>
          </w:tcPr>
          <w:p w14:paraId="67F8D9D1" w14:textId="7C8C0187" w:rsidR="00CE4F37" w:rsidRPr="00735ACD" w:rsidRDefault="00CE4F37" w:rsidP="00CE4F37">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CE4F3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CE4F37" w:rsidRPr="00735ACD" w:rsidRDefault="00CE4F37" w:rsidP="00CE4F3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CE4F37" w:rsidRPr="00735ACD" w:rsidRDefault="00CE4F37" w:rsidP="00CE4F3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CE4F37" w:rsidRPr="00735ACD" w:rsidRDefault="00CE4F37" w:rsidP="00CE4F3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List of agreed tdocs for block approval</w:t>
            </w:r>
          </w:p>
          <w:p w14:paraId="085E4A56"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CE4F37" w:rsidRPr="00735ACD" w:rsidRDefault="00CE4F37" w:rsidP="00CE4F37">
            <w:pPr>
              <w:spacing w:before="2" w:after="0"/>
              <w:ind w:left="28"/>
              <w:rPr>
                <w:rFonts w:ascii="Arial" w:hAnsi="Arial" w:cs="Arial"/>
                <w:b/>
                <w:color w:val="auto"/>
                <w:sz w:val="16"/>
                <w:szCs w:val="16"/>
              </w:rPr>
            </w:pPr>
          </w:p>
          <w:p w14:paraId="7E6736AB"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block approval of agreed tdocs</w:t>
            </w:r>
          </w:p>
          <w:p w14:paraId="58A93FBF"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Agreed tdocs not available by the time of the block approval may be turned to status OPEN on request.</w:t>
            </w:r>
          </w:p>
          <w:p w14:paraId="33E65EB5" w14:textId="0483D1B2"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CE4F3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CE4F37" w:rsidRPr="00735ACD" w:rsidRDefault="00CE4F37" w:rsidP="00CE4F3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CE4F37" w:rsidRPr="00735ACD" w:rsidRDefault="00CE4F37" w:rsidP="00CE4F3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CE4F37" w:rsidRPr="00735ACD" w:rsidRDefault="00CE4F37" w:rsidP="00CE4F3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CE4F37" w:rsidRPr="00735ACD" w:rsidRDefault="00CE4F37" w:rsidP="00CE4F37">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r w:rsidR="00736BD4" w:rsidRPr="00F51B3B">
              <w:rPr>
                <w:rFonts w:ascii="Arial" w:hAnsi="Arial" w:cs="Arial"/>
                <w:color w:val="auto"/>
                <w:sz w:val="16"/>
                <w:szCs w:val="16"/>
              </w:rPr>
              <w:t>eNPN (KI#4 – SOH question based on progress) - Peter</w:t>
            </w:r>
          </w:p>
        </w:tc>
        <w:tc>
          <w:tcPr>
            <w:tcW w:w="2977" w:type="dxa"/>
            <w:tcBorders>
              <w:bottom w:val="single" w:sz="4" w:space="0" w:color="000000"/>
            </w:tcBorders>
            <w:shd w:val="clear" w:color="auto" w:fill="auto"/>
          </w:tcPr>
          <w:p w14:paraId="41509059" w14:textId="30A622D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Reserved</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71A949AF" w:rsidR="00736BD4" w:rsidRPr="00735ACD" w:rsidRDefault="00736BD4" w:rsidP="00736BD4">
            <w:pPr>
              <w:spacing w:before="2" w:after="0"/>
              <w:rPr>
                <w:rFonts w:ascii="Arial" w:hAnsi="Arial" w:cs="Arial"/>
                <w:color w:val="auto"/>
                <w:sz w:val="16"/>
                <w:szCs w:val="16"/>
              </w:rPr>
            </w:pP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Approved tdocs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77E4D965" w:rsidR="00736BD4" w:rsidRPr="00904EA0" w:rsidRDefault="007952B3" w:rsidP="00904EA0">
            <w:pPr>
              <w:spacing w:before="2" w:after="0"/>
              <w:ind w:left="28"/>
              <w:rPr>
                <w:rFonts w:ascii="Arial" w:hAnsi="Arial" w:cs="Arial"/>
                <w:b/>
                <w:color w:val="auto"/>
                <w:sz w:val="16"/>
                <w:szCs w:val="16"/>
              </w:rPr>
            </w:pPr>
            <w:r w:rsidRPr="005C5A25">
              <w:rPr>
                <w:rFonts w:ascii="Arial" w:hAnsi="Arial" w:cs="Arial"/>
                <w:b/>
                <w:color w:val="auto"/>
                <w:sz w:val="16"/>
                <w:szCs w:val="16"/>
                <w:highlight w:val="yellow"/>
              </w:rPr>
              <w:t>18:00</w:t>
            </w:r>
            <w:r w:rsidR="00904EA0" w:rsidRPr="005C5A25">
              <w:rPr>
                <w:rFonts w:ascii="Arial" w:hAnsi="Arial" w:cs="Arial"/>
                <w:b/>
                <w:color w:val="auto"/>
                <w:sz w:val="16"/>
                <w:szCs w:val="16"/>
                <w:highlight w:val="yellow"/>
              </w:rPr>
              <w:t xml:space="preserve"> - </w:t>
            </w:r>
            <w:r w:rsidRPr="005C5A25">
              <w:rPr>
                <w:rFonts w:ascii="Arial" w:hAnsi="Arial" w:cs="Arial"/>
                <w:b/>
                <w:color w:val="auto"/>
                <w:sz w:val="16"/>
                <w:szCs w:val="16"/>
                <w:highlight w:val="yellow"/>
              </w:rPr>
              <w:t>19:</w:t>
            </w:r>
            <w:r w:rsidR="00904EA0" w:rsidRPr="005C5A25">
              <w:rPr>
                <w:rFonts w:ascii="Arial" w:hAnsi="Arial" w:cs="Arial"/>
                <w:b/>
                <w:color w:val="auto"/>
                <w:sz w:val="16"/>
                <w:szCs w:val="16"/>
                <w:highlight w:val="yellow"/>
              </w:rPr>
              <w:t>0</w:t>
            </w:r>
            <w:r w:rsidRPr="005C5A25">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Drafting session</w:t>
            </w:r>
            <w:r w:rsidR="00671DFE">
              <w:rPr>
                <w:rFonts w:ascii="Arial" w:hAnsi="Arial" w:cs="Arial"/>
                <w:color w:val="auto"/>
                <w:sz w:val="16"/>
                <w:szCs w:val="16"/>
              </w:rPr>
              <w:t xml:space="preserve"> </w:t>
            </w:r>
            <w:r w:rsidR="00671DFE">
              <w:rPr>
                <w:rFonts w:ascii="Arial" w:hAnsi="Arial" w:cs="Arial"/>
                <w:b/>
                <w:color w:val="auto"/>
                <w:sz w:val="16"/>
                <w:szCs w:val="16"/>
              </w:rPr>
              <w:t xml:space="preserve">on </w:t>
            </w:r>
            <w:r w:rsidR="00C05F98">
              <w:rPr>
                <w:rFonts w:ascii="Arial" w:hAnsi="Arial" w:cs="Arial"/>
                <w:color w:val="auto"/>
                <w:sz w:val="16"/>
                <w:szCs w:val="16"/>
              </w:rPr>
              <w:t>5TRS_U</w:t>
            </w:r>
            <w:r w:rsidR="00736BD4" w:rsidRPr="00D76AB6">
              <w:rPr>
                <w:rFonts w:ascii="Arial" w:hAnsi="Arial" w:cs="Arial"/>
                <w:color w:val="auto"/>
                <w:sz w:val="16"/>
                <w:szCs w:val="16"/>
              </w:rPr>
              <w:t>RLLC - Devaki</w:t>
            </w: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7093764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rPr>
              <w:t>Reserved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642DA2BD" w:rsidR="00736BD4" w:rsidRPr="00735ACD" w:rsidRDefault="00736BD4" w:rsidP="00736BD4">
            <w:pPr>
              <w:spacing w:before="2" w:after="0"/>
              <w:rPr>
                <w:rFonts w:ascii="Arial" w:hAnsi="Arial" w:cs="Arial"/>
                <w:color w:val="auto"/>
                <w:sz w:val="16"/>
                <w:szCs w:val="16"/>
                <w:highlight w:val="cyan"/>
                <w:shd w:val="clear" w:color="auto" w:fill="FBA7A7"/>
              </w:rPr>
            </w:pPr>
            <w:r w:rsidRPr="00735ACD">
              <w:rPr>
                <w:rFonts w:ascii="Arial" w:hAnsi="Arial" w:cs="Arial"/>
                <w:color w:val="auto"/>
                <w:sz w:val="16"/>
                <w:szCs w:val="16"/>
              </w:rPr>
              <w:t>Reserved</w:t>
            </w: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lastRenderedPageBreak/>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really necessary. </w:t>
      </w:r>
      <w:r w:rsidR="001F0E60">
        <w:rPr>
          <w:sz w:val="24"/>
        </w:rPr>
        <w:t xml:space="preserve">Further details on email approval </w:t>
      </w:r>
      <w:r w:rsidR="00DC3B6C">
        <w:rPr>
          <w:sz w:val="24"/>
        </w:rPr>
        <w:t xml:space="preserve">such as </w:t>
      </w:r>
      <w:r w:rsidR="00CA5F41">
        <w:rPr>
          <w:sz w:val="24"/>
        </w:rPr>
        <w:t xml:space="preserve"> </w:t>
      </w:r>
      <w:r w:rsidR="00BC1129">
        <w:rPr>
          <w:sz w:val="24"/>
        </w:rPr>
        <w:t xml:space="preserve">TDoc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tdocs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 xml:space="preserve">If the Technical Document (TDoc) is not available by </w:t>
      </w:r>
      <w:r w:rsidR="00E50A5C">
        <w:rPr>
          <w:sz w:val="24"/>
        </w:rPr>
        <w:t xml:space="preserve">the </w:t>
      </w:r>
      <w:r>
        <w:rPr>
          <w:sz w:val="24"/>
        </w:rPr>
        <w:t>"</w:t>
      </w:r>
      <w:r w:rsidRPr="00EC3B68">
        <w:rPr>
          <w:sz w:val="24"/>
        </w:rPr>
        <w:t>Docs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(e.g.</w:t>
      </w:r>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&lt;TDoc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lastRenderedPageBreak/>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r w:rsidR="00EE05C4">
        <w:rPr>
          <w:sz w:val="24"/>
        </w:rPr>
        <w:t>TDoc</w:t>
      </w:r>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new TD</w:t>
      </w:r>
      <w:r w:rsidR="00EE05C4">
        <w:rPr>
          <w:sz w:val="24"/>
        </w:rPr>
        <w:t>oc</w:t>
      </w:r>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INBOX using new TD</w:t>
      </w:r>
      <w:r w:rsidR="00EE05C4" w:rsidRPr="00AC7DD2">
        <w:rPr>
          <w:sz w:val="24"/>
        </w:rPr>
        <w:t>oc</w:t>
      </w:r>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DF7E" w14:textId="77777777" w:rsidR="00073312" w:rsidRDefault="00073312">
      <w:pPr>
        <w:spacing w:after="0"/>
      </w:pPr>
      <w:r>
        <w:separator/>
      </w:r>
    </w:p>
  </w:endnote>
  <w:endnote w:type="continuationSeparator" w:id="0">
    <w:p w14:paraId="38355CA3" w14:textId="77777777" w:rsidR="00073312" w:rsidRDefault="00073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2E74" w14:textId="77777777" w:rsidR="00073312" w:rsidRDefault="00073312">
      <w:pPr>
        <w:spacing w:after="0"/>
      </w:pPr>
      <w:r>
        <w:separator/>
      </w:r>
    </w:p>
  </w:footnote>
  <w:footnote w:type="continuationSeparator" w:id="0">
    <w:p w14:paraId="16A917BC" w14:textId="77777777" w:rsidR="00073312" w:rsidRDefault="000733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M6kFAJd2KSo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3463</Words>
  <Characters>19741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3</cp:revision>
  <cp:lastPrinted>2019-06-19T11:49:00Z</cp:lastPrinted>
  <dcterms:created xsi:type="dcterms:W3CDTF">2022-11-14T15:04:00Z</dcterms:created>
  <dcterms:modified xsi:type="dcterms:W3CDTF">2022-11-14T15:06:00Z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