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C8BF6" w14:textId="173B6F7B" w:rsidR="00D85FB0" w:rsidRPr="00051600" w:rsidRDefault="00D85FB0" w:rsidP="00D85FB0">
      <w:pPr>
        <w:tabs>
          <w:tab w:val="right" w:pos="9638"/>
        </w:tabs>
        <w:rPr>
          <w:rFonts w:ascii="Arial" w:eastAsia="MS Mincho" w:hAnsi="Arial" w:cs="Arial"/>
          <w:b/>
          <w:bCs/>
          <w:sz w:val="24"/>
          <w:szCs w:val="24"/>
          <w:lang w:eastAsia="ko-KR"/>
        </w:rPr>
      </w:pPr>
      <w:r>
        <w:rPr>
          <w:rFonts w:ascii="Arial" w:hAnsi="Arial" w:cs="Arial"/>
          <w:b/>
          <w:bCs/>
          <w:sz w:val="24"/>
          <w:szCs w:val="24"/>
        </w:rPr>
        <w:t>SA WG2 Meeting #140-e</w:t>
      </w:r>
      <w:r w:rsidRPr="00F76B76">
        <w:rPr>
          <w:rFonts w:ascii="Arial" w:hAnsi="Arial" w:cs="Arial"/>
          <w:b/>
          <w:bCs/>
          <w:sz w:val="24"/>
          <w:szCs w:val="24"/>
        </w:rPr>
        <w:tab/>
      </w:r>
      <w:r w:rsidRPr="00E21ABA">
        <w:rPr>
          <w:rFonts w:ascii="Arial" w:hAnsi="Arial" w:cs="Arial"/>
          <w:b/>
          <w:bCs/>
          <w:sz w:val="24"/>
          <w:szCs w:val="24"/>
        </w:rPr>
        <w:t>S2-2</w:t>
      </w:r>
      <w:r>
        <w:rPr>
          <w:rFonts w:ascii="Arial" w:hAnsi="Arial" w:cs="Arial"/>
          <w:b/>
          <w:bCs/>
          <w:sz w:val="24"/>
          <w:szCs w:val="24"/>
        </w:rPr>
        <w:t>xxxxx</w:t>
      </w:r>
    </w:p>
    <w:p w14:paraId="69C20D85" w14:textId="77777777" w:rsidR="00D85FB0" w:rsidRPr="00F76B76" w:rsidRDefault="00D85FB0" w:rsidP="00D85FB0">
      <w:pPr>
        <w:pBdr>
          <w:bottom w:val="single" w:sz="6" w:space="0" w:color="auto"/>
        </w:pBdr>
        <w:tabs>
          <w:tab w:val="right" w:pos="9638"/>
        </w:tabs>
        <w:rPr>
          <w:rFonts w:ascii="Arial" w:hAnsi="Arial" w:cs="Arial"/>
          <w:b/>
          <w:bCs/>
          <w:sz w:val="24"/>
          <w:szCs w:val="24"/>
        </w:rPr>
      </w:pPr>
      <w:r>
        <w:rPr>
          <w:rFonts w:ascii="Arial" w:hAnsi="Arial" w:cs="Arial"/>
          <w:b/>
          <w:bCs/>
          <w:sz w:val="24"/>
        </w:rPr>
        <w:t>August 19</w:t>
      </w:r>
      <w:r w:rsidRPr="00BD3540">
        <w:rPr>
          <w:rFonts w:ascii="Arial" w:hAnsi="Arial" w:cs="Arial"/>
          <w:b/>
          <w:bCs/>
          <w:sz w:val="24"/>
          <w:vertAlign w:val="superscript"/>
        </w:rPr>
        <w:t>th</w:t>
      </w:r>
      <w:r>
        <w:rPr>
          <w:rFonts w:ascii="Arial" w:hAnsi="Arial" w:cs="Arial"/>
          <w:b/>
          <w:bCs/>
          <w:sz w:val="24"/>
        </w:rPr>
        <w:t xml:space="preserve"> -September 2</w:t>
      </w:r>
      <w:r w:rsidRPr="00BD3540">
        <w:rPr>
          <w:rFonts w:ascii="Arial" w:hAnsi="Arial" w:cs="Arial"/>
          <w:b/>
          <w:bCs/>
          <w:sz w:val="24"/>
          <w:vertAlign w:val="superscript"/>
        </w:rPr>
        <w:t>nd</w:t>
      </w:r>
      <w:proofErr w:type="gramStart"/>
      <w:r>
        <w:rPr>
          <w:rFonts w:ascii="Arial" w:hAnsi="Arial" w:cs="Arial"/>
          <w:b/>
          <w:bCs/>
          <w:sz w:val="24"/>
        </w:rPr>
        <w:t xml:space="preserve"> </w:t>
      </w:r>
      <w:r w:rsidRPr="009C7CB1">
        <w:rPr>
          <w:rFonts w:ascii="Arial" w:hAnsi="Arial" w:cs="Arial"/>
          <w:b/>
          <w:bCs/>
          <w:sz w:val="24"/>
        </w:rPr>
        <w:t>2020</w:t>
      </w:r>
      <w:proofErr w:type="gramEnd"/>
      <w:r w:rsidRPr="009C7CB1">
        <w:rPr>
          <w:rFonts w:ascii="Arial" w:hAnsi="Arial" w:cs="Arial"/>
          <w:b/>
          <w:bCs/>
          <w:sz w:val="24"/>
        </w:rPr>
        <w:t>,</w:t>
      </w:r>
      <w:r>
        <w:rPr>
          <w:rFonts w:ascii="Arial" w:hAnsi="Arial" w:cs="Arial"/>
          <w:b/>
          <w:bCs/>
          <w:sz w:val="24"/>
        </w:rPr>
        <w:t xml:space="preserve"> Online</w:t>
      </w:r>
      <w:r w:rsidRPr="00F76B76">
        <w:rPr>
          <w:rFonts w:ascii="Arial" w:hAnsi="Arial" w:cs="Arial"/>
          <w:b/>
          <w:bCs/>
        </w:rPr>
        <w:tab/>
      </w:r>
      <w:r w:rsidRPr="00894F6B">
        <w:rPr>
          <w:rFonts w:ascii="Arial" w:hAnsi="Arial" w:cs="Arial"/>
          <w:b/>
          <w:bCs/>
        </w:rPr>
        <w:t>(</w:t>
      </w:r>
      <w:r>
        <w:rPr>
          <w:rFonts w:ascii="Arial" w:hAnsi="Arial" w:cs="Arial"/>
          <w:b/>
          <w:bCs/>
          <w:color w:val="0000FF"/>
        </w:rPr>
        <w:t xml:space="preserve">revision of </w:t>
      </w:r>
      <w:r w:rsidRPr="000263E1">
        <w:rPr>
          <w:rFonts w:ascii="Arial" w:hAnsi="Arial" w:cs="Arial"/>
          <w:b/>
          <w:bCs/>
          <w:sz w:val="24"/>
          <w:szCs w:val="24"/>
        </w:rPr>
        <w:t>S2-20</w:t>
      </w:r>
      <w:r>
        <w:rPr>
          <w:rFonts w:ascii="Arial" w:hAnsi="Arial" w:cs="Arial"/>
          <w:b/>
          <w:bCs/>
          <w:sz w:val="24"/>
          <w:szCs w:val="24"/>
        </w:rPr>
        <w:t>xxxx</w:t>
      </w:r>
      <w:r w:rsidRPr="00894F6B">
        <w:rPr>
          <w:rFonts w:ascii="Arial" w:hAnsi="Arial" w:cs="Arial"/>
          <w:b/>
          <w:bCs/>
        </w:rPr>
        <w:t>)</w:t>
      </w:r>
    </w:p>
    <w:p w14:paraId="548D8726" w14:textId="06363E9C" w:rsidR="00D85FB0" w:rsidRPr="006C4EBD" w:rsidRDefault="00D85FB0" w:rsidP="00D85FB0">
      <w:pPr>
        <w:ind w:left="2127" w:hanging="2127"/>
        <w:rPr>
          <w:rFonts w:ascii="Arial" w:eastAsia="MS Mincho" w:hAnsi="Arial" w:cs="Arial"/>
          <w:b/>
          <w:lang w:eastAsia="ko-KR"/>
        </w:rPr>
      </w:pPr>
      <w:r w:rsidRPr="005D5DB8">
        <w:rPr>
          <w:rFonts w:ascii="Arial" w:hAnsi="Arial" w:cs="Arial"/>
          <w:b/>
        </w:rPr>
        <w:t>Source:</w:t>
      </w:r>
      <w:r w:rsidRPr="005D5DB8">
        <w:rPr>
          <w:rFonts w:ascii="Arial" w:hAnsi="Arial" w:cs="Arial"/>
          <w:b/>
        </w:rPr>
        <w:tab/>
      </w:r>
      <w:r>
        <w:rPr>
          <w:rFonts w:ascii="Arial" w:hAnsi="Arial" w:cs="Arial"/>
          <w:b/>
        </w:rPr>
        <w:t>Nokia, Nokia Shanghai Bell</w:t>
      </w:r>
    </w:p>
    <w:p w14:paraId="5486A2DB" w14:textId="1B4CB544" w:rsidR="00D85FB0" w:rsidRDefault="00D85FB0" w:rsidP="00D85FB0">
      <w:pPr>
        <w:ind w:left="2127" w:hanging="2127"/>
        <w:rPr>
          <w:rFonts w:ascii="Arial" w:hAnsi="Arial" w:cs="Arial"/>
          <w:b/>
        </w:rPr>
      </w:pPr>
      <w:r>
        <w:rPr>
          <w:rFonts w:ascii="Arial" w:hAnsi="Arial" w:cs="Arial"/>
          <w:b/>
        </w:rPr>
        <w:t>Title:</w:t>
      </w:r>
      <w:r>
        <w:rPr>
          <w:rFonts w:ascii="Arial" w:hAnsi="Arial" w:cs="Arial"/>
          <w:b/>
        </w:rPr>
        <w:tab/>
      </w:r>
      <w:bookmarkStart w:id="0" w:name="_GoBack"/>
      <w:r w:rsidRPr="00D85FB0">
        <w:rPr>
          <w:rFonts w:ascii="Arial" w:hAnsi="Arial" w:cs="Arial"/>
          <w:b/>
        </w:rPr>
        <w:t xml:space="preserve">CC#4 discussion of </w:t>
      </w:r>
      <w:r w:rsidRPr="00D85FB0">
        <w:rPr>
          <w:b/>
        </w:rPr>
        <w:t>S2-2005337</w:t>
      </w:r>
      <w:bookmarkEnd w:id="0"/>
    </w:p>
    <w:p w14:paraId="4C229488" w14:textId="4D02ECB1" w:rsidR="00D85FB0" w:rsidRDefault="00D85FB0" w:rsidP="00D85FB0">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information</w:t>
      </w:r>
    </w:p>
    <w:p w14:paraId="65A9119A" w14:textId="77777777" w:rsidR="00D85FB0" w:rsidRDefault="00D85FB0" w:rsidP="00D85FB0">
      <w:pPr>
        <w:ind w:left="2127" w:hanging="2127"/>
        <w:rPr>
          <w:rFonts w:ascii="Arial" w:hAnsi="Arial" w:cs="Arial"/>
          <w:b/>
        </w:rPr>
      </w:pPr>
      <w:r>
        <w:rPr>
          <w:rFonts w:ascii="Arial" w:hAnsi="Arial" w:cs="Arial"/>
          <w:b/>
        </w:rPr>
        <w:t>Agenda Item:</w:t>
      </w:r>
      <w:r>
        <w:rPr>
          <w:rFonts w:ascii="Arial" w:hAnsi="Arial" w:cs="Arial"/>
          <w:b/>
        </w:rPr>
        <w:tab/>
        <w:t>8.4</w:t>
      </w:r>
    </w:p>
    <w:p w14:paraId="221525E0" w14:textId="77777777" w:rsidR="00D85FB0" w:rsidRPr="005C2018" w:rsidRDefault="00D85FB0" w:rsidP="00D85FB0">
      <w:pPr>
        <w:ind w:left="2127" w:hanging="2127"/>
        <w:rPr>
          <w:rFonts w:ascii="Arial" w:hAnsi="Arial" w:cs="Arial"/>
          <w:b/>
          <w:lang w:val="el-GR"/>
        </w:rPr>
      </w:pPr>
      <w:r>
        <w:rPr>
          <w:rFonts w:ascii="Arial" w:hAnsi="Arial" w:cs="Arial"/>
          <w:b/>
        </w:rPr>
        <w:t>Work Item / Release:</w:t>
      </w:r>
      <w:r>
        <w:rPr>
          <w:rFonts w:ascii="Arial" w:hAnsi="Arial" w:cs="Arial"/>
          <w:b/>
        </w:rPr>
        <w:tab/>
      </w:r>
      <w:r>
        <w:rPr>
          <w:rFonts w:ascii="Arial" w:hAnsi="Arial" w:cs="Arial"/>
          <w:b/>
          <w:lang w:eastAsia="ko-KR"/>
        </w:rPr>
        <w:t>FS_eNS_Ph2</w:t>
      </w:r>
    </w:p>
    <w:p w14:paraId="205ACF8E" w14:textId="77777777" w:rsidR="00D85FB0" w:rsidRDefault="00D85FB0" w:rsidP="00D85FB0">
      <w:pPr>
        <w:rPr>
          <w:rFonts w:ascii="Arial" w:hAnsi="Arial" w:cs="Arial"/>
          <w:i/>
          <w:lang w:eastAsia="zh-CN"/>
        </w:rPr>
      </w:pPr>
      <w:r>
        <w:rPr>
          <w:rFonts w:ascii="Arial" w:hAnsi="Arial" w:cs="Arial"/>
          <w:i/>
        </w:rPr>
        <w:t>Abstract of the contribution:</w:t>
      </w:r>
      <w:r w:rsidRPr="00F70E87">
        <w:rPr>
          <w:rFonts w:ascii="Arial" w:hAnsi="Arial" w:cs="Arial"/>
          <w:i/>
        </w:rPr>
        <w:t xml:space="preserve"> </w:t>
      </w:r>
      <w:r>
        <w:rPr>
          <w:rFonts w:ascii="Arial" w:hAnsi="Arial" w:cs="Arial"/>
          <w:i/>
        </w:rPr>
        <w:t>xxx</w:t>
      </w:r>
    </w:p>
    <w:p w14:paraId="2B3253C0" w14:textId="77777777" w:rsidR="00D85FB0" w:rsidRDefault="00D85FB0" w:rsidP="00FB1000">
      <w:pPr>
        <w:rPr>
          <w:b/>
          <w:bCs/>
        </w:rPr>
      </w:pPr>
    </w:p>
    <w:p w14:paraId="17377EA9" w14:textId="7F57D355" w:rsidR="00FB1000" w:rsidRDefault="00C578B1" w:rsidP="00D85FB0">
      <w:pPr>
        <w:pStyle w:val="Heading1"/>
        <w:rPr>
          <w:b/>
          <w:bCs/>
          <w:color w:val="auto"/>
        </w:rPr>
      </w:pPr>
      <w:r w:rsidRPr="00D85FB0">
        <w:rPr>
          <w:b/>
          <w:bCs/>
          <w:color w:val="auto"/>
        </w:rPr>
        <w:t>Justification of why we need this for KI 1,2</w:t>
      </w:r>
    </w:p>
    <w:p w14:paraId="67537025" w14:textId="77777777" w:rsidR="00D85FB0" w:rsidRPr="00D85FB0" w:rsidRDefault="00D85FB0" w:rsidP="00D85FB0"/>
    <w:p w14:paraId="2D8091EE" w14:textId="37D98C58" w:rsidR="00FB1000" w:rsidRDefault="00FB1000" w:rsidP="00FB1000">
      <w:r>
        <w:t xml:space="preserve">Today the </w:t>
      </w:r>
      <w:r w:rsidR="00C578B1">
        <w:t>decision</w:t>
      </w:r>
      <w:r>
        <w:t xml:space="preserve"> of when a UE triggers a registration to a network slice or decides to establish a PDU session is left to </w:t>
      </w:r>
      <w:r w:rsidR="00C578B1">
        <w:t xml:space="preserve">UE </w:t>
      </w:r>
      <w:r>
        <w:t>implementation.</w:t>
      </w:r>
    </w:p>
    <w:p w14:paraId="6B1DA477" w14:textId="552F799A" w:rsidR="00FB1000" w:rsidRDefault="00C578B1" w:rsidP="00FB1000">
      <w:r>
        <w:t>Taking for example the case of Registration to a network slice, d</w:t>
      </w:r>
      <w:r w:rsidR="00FB1000">
        <w:t>ifferent criteri</w:t>
      </w:r>
      <w:r>
        <w:t>a</w:t>
      </w:r>
      <w:r w:rsidR="00FB1000">
        <w:t xml:space="preserve"> </w:t>
      </w:r>
      <w:r>
        <w:t>have been observed in UE implementations</w:t>
      </w:r>
      <w:r w:rsidR="00FB1000">
        <w:t>:</w:t>
      </w:r>
    </w:p>
    <w:p w14:paraId="6A59E671" w14:textId="23C7C470" w:rsidR="00FB1000" w:rsidRDefault="00FB1000" w:rsidP="00FB1000">
      <w:pPr>
        <w:pStyle w:val="ListParagraph"/>
        <w:numPr>
          <w:ilvl w:val="0"/>
          <w:numId w:val="1"/>
        </w:numPr>
      </w:pPr>
      <w:r>
        <w:t>IF the S-NSSAI is in configured NSSAI, then UE registers; or</w:t>
      </w:r>
    </w:p>
    <w:p w14:paraId="12E9C898" w14:textId="36FEF675" w:rsidR="00FB1000" w:rsidRDefault="00FB1000" w:rsidP="00FB1000">
      <w:pPr>
        <w:pStyle w:val="ListParagraph"/>
        <w:numPr>
          <w:ilvl w:val="0"/>
          <w:numId w:val="1"/>
        </w:numPr>
      </w:pPr>
      <w:r>
        <w:t>IF the S-NSSAI is required based on URSP rules by an APP, then the UE registers.</w:t>
      </w:r>
    </w:p>
    <w:p w14:paraId="6E41A67D" w14:textId="13268D06" w:rsidR="00695C1B" w:rsidRDefault="00695C1B" w:rsidP="00695C1B">
      <w:r>
        <w:t>And, for deregistration:</w:t>
      </w:r>
    </w:p>
    <w:p w14:paraId="39F9F531" w14:textId="4167E488" w:rsidR="00C578B1" w:rsidRDefault="00C578B1" w:rsidP="00FB1000">
      <w:pPr>
        <w:pStyle w:val="ListParagraph"/>
        <w:numPr>
          <w:ilvl w:val="0"/>
          <w:numId w:val="1"/>
        </w:numPr>
      </w:pPr>
      <w:r>
        <w:t>Never deregister if the S-NSSAI is in configured NSSAI; or</w:t>
      </w:r>
    </w:p>
    <w:p w14:paraId="4C460341" w14:textId="3AD18139" w:rsidR="00FB1000" w:rsidRDefault="00FB1000" w:rsidP="00FB1000">
      <w:pPr>
        <w:pStyle w:val="ListParagraph"/>
        <w:numPr>
          <w:ilvl w:val="0"/>
          <w:numId w:val="1"/>
        </w:numPr>
      </w:pPr>
      <w:r>
        <w:t xml:space="preserve">IF the S-NSSAI is no </w:t>
      </w:r>
      <w:r w:rsidR="00695C1B">
        <w:t>longer required</w:t>
      </w:r>
      <w:r>
        <w:t xml:space="preserve"> based on URSP rules by an APP, then the UE </w:t>
      </w:r>
      <w:r w:rsidR="00695C1B">
        <w:t>deregisters the S-NSSAI immediately</w:t>
      </w:r>
      <w:r w:rsidR="00C578B1">
        <w:t>; or</w:t>
      </w:r>
    </w:p>
    <w:p w14:paraId="7E2E0BF0" w14:textId="380DC497" w:rsidR="00695C1B" w:rsidRDefault="00695C1B" w:rsidP="00695C1B">
      <w:pPr>
        <w:pStyle w:val="ListParagraph"/>
        <w:numPr>
          <w:ilvl w:val="0"/>
          <w:numId w:val="1"/>
        </w:numPr>
      </w:pPr>
      <w:r>
        <w:t>IF the S-NSSAI is no longer required based on URSP rules by an APP, then the UE deregisters the S-NSSAI after an implementation dependent timer.</w:t>
      </w:r>
    </w:p>
    <w:p w14:paraId="69FC1738" w14:textId="033BB55E" w:rsidR="00FB1000" w:rsidRDefault="00FB1000" w:rsidP="00FB1000">
      <w:pPr>
        <w:pStyle w:val="ListParagraph"/>
      </w:pPr>
    </w:p>
    <w:p w14:paraId="2E6260DF" w14:textId="57420C50" w:rsidR="00695C1B" w:rsidRDefault="00695C1B" w:rsidP="00695C1B">
      <w:pPr>
        <w:pStyle w:val="ListParagraph"/>
        <w:ind w:left="0"/>
        <w:jc w:val="both"/>
      </w:pPr>
      <w:r>
        <w:t xml:space="preserve">Let's assume a customer of </w:t>
      </w:r>
      <w:r w:rsidR="00C578B1">
        <w:t>a</w:t>
      </w:r>
      <w:r>
        <w:t xml:space="preserve"> corporate slice and has 10000 employees that use normally </w:t>
      </w:r>
      <w:proofErr w:type="spellStart"/>
      <w:r>
        <w:t>eMBB</w:t>
      </w:r>
      <w:proofErr w:type="spellEnd"/>
      <w:r>
        <w:t xml:space="preserve"> but occasionally access enterprise slice.</w:t>
      </w:r>
    </w:p>
    <w:p w14:paraId="200B69E8" w14:textId="70EAA273" w:rsidR="00695C1B" w:rsidRDefault="00695C1B" w:rsidP="00695C1B">
      <w:pPr>
        <w:pStyle w:val="ListParagraph"/>
        <w:ind w:left="0"/>
        <w:jc w:val="both"/>
      </w:pPr>
    </w:p>
    <w:p w14:paraId="41A94D7A" w14:textId="365EDB44" w:rsidR="00695C1B" w:rsidRDefault="00695C1B" w:rsidP="00695C1B">
      <w:pPr>
        <w:pStyle w:val="ListParagraph"/>
        <w:ind w:left="0"/>
        <w:jc w:val="both"/>
      </w:pPr>
      <w:r>
        <w:t>let's say that at any point in time 5000 users are active on average (have the</w:t>
      </w:r>
      <w:r w:rsidR="00C578B1">
        <w:t xml:space="preserve"> company</w:t>
      </w:r>
      <w:r>
        <w:t xml:space="preserve"> phone turned on) then these users use statistically the</w:t>
      </w:r>
      <w:r w:rsidR="00C578B1">
        <w:t xml:space="preserve"> corporate</w:t>
      </w:r>
      <w:r>
        <w:t xml:space="preserve"> slice with likelihood 50%</w:t>
      </w:r>
    </w:p>
    <w:p w14:paraId="3896D396" w14:textId="0D3FFC02" w:rsidR="00695C1B" w:rsidRDefault="00695C1B" w:rsidP="00695C1B">
      <w:pPr>
        <w:pStyle w:val="ListParagraph"/>
        <w:ind w:left="0"/>
        <w:jc w:val="both"/>
      </w:pPr>
    </w:p>
    <w:p w14:paraId="55855E16" w14:textId="24F3B373" w:rsidR="00695C1B" w:rsidRDefault="00695C1B" w:rsidP="00695C1B">
      <w:pPr>
        <w:pStyle w:val="ListParagraph"/>
        <w:ind w:left="0"/>
        <w:jc w:val="both"/>
      </w:pPr>
      <w:r>
        <w:t>if the UE behaviour is not known, it may be all the UEs get connected to the enterprise slice as soon as they are turned on: so the enterprise needs on average 5000 simultaneous UEs supported and that is what they will need</w:t>
      </w:r>
      <w:r w:rsidR="00C578B1">
        <w:t xml:space="preserve"> to buy</w:t>
      </w:r>
      <w:r>
        <w:t xml:space="preserve"> from the service provider.</w:t>
      </w:r>
    </w:p>
    <w:p w14:paraId="548DCC81" w14:textId="5EEB52A5" w:rsidR="00695C1B" w:rsidRDefault="00695C1B" w:rsidP="00695C1B">
      <w:pPr>
        <w:pStyle w:val="ListParagraph"/>
        <w:ind w:left="0"/>
        <w:jc w:val="both"/>
      </w:pPr>
    </w:p>
    <w:p w14:paraId="04CE5F5C" w14:textId="7B7E9AE4" w:rsidR="00695C1B" w:rsidRDefault="00695C1B" w:rsidP="00695C1B">
      <w:pPr>
        <w:pStyle w:val="ListParagraph"/>
        <w:ind w:left="0"/>
        <w:jc w:val="both"/>
      </w:pPr>
      <w:r>
        <w:t>If instead the UEs all activate the slice only upon usage, the enterprise will only need 2500 simultaneous connection on average.</w:t>
      </w:r>
    </w:p>
    <w:p w14:paraId="43090FFE" w14:textId="4DB76428" w:rsidR="00695C1B" w:rsidRDefault="00695C1B" w:rsidP="00695C1B">
      <w:pPr>
        <w:pStyle w:val="ListParagraph"/>
        <w:ind w:left="0"/>
        <w:jc w:val="both"/>
      </w:pPr>
    </w:p>
    <w:p w14:paraId="6C6D2839" w14:textId="2E68FB13" w:rsidR="00695C1B" w:rsidRDefault="00695C1B" w:rsidP="00695C1B">
      <w:pPr>
        <w:pStyle w:val="ListParagraph"/>
        <w:ind w:left="0"/>
        <w:jc w:val="both"/>
      </w:pPr>
      <w:r w:rsidRPr="00C578B1">
        <w:rPr>
          <w:b/>
          <w:bCs/>
        </w:rPr>
        <w:t xml:space="preserve">This is to show that the UE behaviour is relevant to quota management solutions. </w:t>
      </w:r>
      <w:r w:rsidR="00C578B1">
        <w:t>This</w:t>
      </w:r>
      <w:r>
        <w:t xml:space="preserve"> will enable the operator to tell the customer more predictably the number of connections that should satisfy their </w:t>
      </w:r>
      <w:r>
        <w:lastRenderedPageBreak/>
        <w:t>needs</w:t>
      </w:r>
      <w:r w:rsidR="00C578B1">
        <w:t xml:space="preserve"> or customers</w:t>
      </w:r>
      <w:r>
        <w:t>.</w:t>
      </w:r>
      <w:r w:rsidR="00DF2DAC">
        <w:t xml:space="preserve"> Today this is NOT possible</w:t>
      </w:r>
      <w:r w:rsidR="00C578B1">
        <w:t xml:space="preserve"> as the UE behaviour is not known</w:t>
      </w:r>
      <w:r w:rsidR="00DF2DAC">
        <w:t>.</w:t>
      </w:r>
      <w:r w:rsidR="00C578B1">
        <w:t xml:space="preserve"> During email discussion some UE vendors explicitly stated that today UEs would request all S-NSSAIs</w:t>
      </w:r>
    </w:p>
    <w:p w14:paraId="06068013" w14:textId="77777777" w:rsidR="00C578B1" w:rsidRDefault="00C578B1" w:rsidP="00695C1B">
      <w:pPr>
        <w:pStyle w:val="ListParagraph"/>
        <w:ind w:left="0"/>
        <w:jc w:val="both"/>
      </w:pPr>
    </w:p>
    <w:p w14:paraId="11285F4C" w14:textId="2A8D3424" w:rsidR="00DF2DAC" w:rsidRDefault="00DF2DAC" w:rsidP="00695C1B">
      <w:pPr>
        <w:pStyle w:val="ListParagraph"/>
        <w:ind w:left="0"/>
        <w:jc w:val="both"/>
      </w:pPr>
      <w:r>
        <w:t>The deregistration</w:t>
      </w:r>
      <w:r w:rsidR="00C578B1">
        <w:t xml:space="preserve"> hysteresis</w:t>
      </w:r>
      <w:r>
        <w:t xml:space="preserve"> aspects are not strictly related to the KI but are useful pieces of information that should be added to e.g. reduce the signalling UEs generate when users switch apps inside the slice.</w:t>
      </w:r>
    </w:p>
    <w:p w14:paraId="06160CF8" w14:textId="16FC28F0" w:rsidR="00C578B1" w:rsidRDefault="00C578B1" w:rsidP="00695C1B">
      <w:pPr>
        <w:pStyle w:val="ListParagraph"/>
        <w:ind w:left="0"/>
        <w:jc w:val="both"/>
      </w:pPr>
    </w:p>
    <w:p w14:paraId="0B3AEA02" w14:textId="254E132F" w:rsidR="00D85FB0" w:rsidRPr="00D85FB0" w:rsidRDefault="00D85FB0" w:rsidP="00D85FB0">
      <w:pPr>
        <w:pStyle w:val="Heading1"/>
        <w:rPr>
          <w:b/>
          <w:bCs/>
          <w:color w:val="auto"/>
        </w:rPr>
      </w:pPr>
      <w:r w:rsidRPr="00D85FB0">
        <w:rPr>
          <w:b/>
          <w:bCs/>
          <w:color w:val="auto"/>
        </w:rPr>
        <w:t>conclusion</w:t>
      </w:r>
    </w:p>
    <w:p w14:paraId="285BCDB5" w14:textId="64EF6002" w:rsidR="00DF2DAC" w:rsidRDefault="00DF2DAC" w:rsidP="00695C1B">
      <w:pPr>
        <w:pStyle w:val="ListParagraph"/>
        <w:ind w:left="0"/>
        <w:jc w:val="both"/>
      </w:pPr>
    </w:p>
    <w:p w14:paraId="41BB8648" w14:textId="1B658B1F" w:rsidR="00DF2DAC" w:rsidRPr="00D85FB0" w:rsidRDefault="00DF2DAC" w:rsidP="00695C1B">
      <w:pPr>
        <w:pStyle w:val="ListParagraph"/>
        <w:ind w:left="0"/>
        <w:jc w:val="both"/>
        <w:rPr>
          <w:b/>
          <w:bCs/>
        </w:rPr>
      </w:pPr>
      <w:r w:rsidRPr="00D85FB0">
        <w:rPr>
          <w:b/>
          <w:bCs/>
        </w:rPr>
        <w:t>With this in mind, we are strongly supporting the case for adopting this solution in S2-2005337.</w:t>
      </w:r>
    </w:p>
    <w:sectPr w:rsidR="00DF2DAC" w:rsidRPr="00D85F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167E2" w14:textId="77777777" w:rsidR="00A838EF" w:rsidRDefault="00A838EF" w:rsidP="00A838EF">
      <w:pPr>
        <w:spacing w:after="0" w:line="240" w:lineRule="auto"/>
      </w:pPr>
      <w:r>
        <w:separator/>
      </w:r>
    </w:p>
  </w:endnote>
  <w:endnote w:type="continuationSeparator" w:id="0">
    <w:p w14:paraId="3D6D5D2A" w14:textId="77777777" w:rsidR="00A838EF" w:rsidRDefault="00A838EF" w:rsidP="00A8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E367" w14:textId="77777777" w:rsidR="00A838EF" w:rsidRDefault="00A838EF" w:rsidP="00A838EF">
      <w:pPr>
        <w:spacing w:after="0" w:line="240" w:lineRule="auto"/>
      </w:pPr>
      <w:r>
        <w:separator/>
      </w:r>
    </w:p>
  </w:footnote>
  <w:footnote w:type="continuationSeparator" w:id="0">
    <w:p w14:paraId="70378A9E" w14:textId="77777777" w:rsidR="00A838EF" w:rsidRDefault="00A838EF" w:rsidP="00A83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D2B13"/>
    <w:multiLevelType w:val="hybridMultilevel"/>
    <w:tmpl w:val="FCD4E3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7E"/>
    <w:rsid w:val="0004286B"/>
    <w:rsid w:val="0028207E"/>
    <w:rsid w:val="00424A59"/>
    <w:rsid w:val="004642CF"/>
    <w:rsid w:val="004775C8"/>
    <w:rsid w:val="005A5B09"/>
    <w:rsid w:val="00695C1B"/>
    <w:rsid w:val="007A3481"/>
    <w:rsid w:val="00A838EF"/>
    <w:rsid w:val="00B622D5"/>
    <w:rsid w:val="00C578B1"/>
    <w:rsid w:val="00D85FB0"/>
    <w:rsid w:val="00DE4A23"/>
    <w:rsid w:val="00DF2DAC"/>
    <w:rsid w:val="00E36F4C"/>
    <w:rsid w:val="00E9695C"/>
    <w:rsid w:val="00EA709B"/>
    <w:rsid w:val="00FB1000"/>
    <w:rsid w:val="00FF7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572A5D"/>
  <w15:chartTrackingRefBased/>
  <w15:docId w15:val="{F4E81FFD-C183-4972-A04B-CB15F930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000"/>
    <w:pPr>
      <w:ind w:left="720"/>
      <w:contextualSpacing/>
    </w:pPr>
  </w:style>
  <w:style w:type="character" w:customStyle="1" w:styleId="Heading1Char">
    <w:name w:val="Heading 1 Char"/>
    <w:basedOn w:val="DefaultParagraphFont"/>
    <w:link w:val="Heading1"/>
    <w:uiPriority w:val="9"/>
    <w:rsid w:val="00D85F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94BD056-3A15-4D81-9FA2-6B7C369F1213}">
  <ds:schemaRefs>
    <ds:schemaRef ds:uri="http://schemas.microsoft.com/sharepoint/events"/>
  </ds:schemaRefs>
</ds:datastoreItem>
</file>

<file path=customXml/itemProps2.xml><?xml version="1.0" encoding="utf-8"?>
<ds:datastoreItem xmlns:ds="http://schemas.openxmlformats.org/officeDocument/2006/customXml" ds:itemID="{F3B92F81-8158-407F-AC6A-5AEEAA88F0B8}">
  <ds:schemaRefs>
    <ds:schemaRef ds:uri="http://schemas.microsoft.com/sharepoint/v3/contenttype/forms"/>
  </ds:schemaRefs>
</ds:datastoreItem>
</file>

<file path=customXml/itemProps3.xml><?xml version="1.0" encoding="utf-8"?>
<ds:datastoreItem xmlns:ds="http://schemas.openxmlformats.org/officeDocument/2006/customXml" ds:itemID="{3322131F-5FF1-4E11-AEA3-3FD58B4DE9D0}">
  <ds:schemaRefs>
    <ds:schemaRef ds:uri="http://schemas.microsoft.com/office/2006/metadata/properties"/>
    <ds:schemaRef ds:uri="71c5aaf6-e6ce-465b-b873-5148d2a4c105"/>
    <ds:schemaRef ds:uri="a4ab1a16-c41d-4865-a433-ad08d2a54ac6"/>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C8DAE4A-403E-4F5A-B573-6591E3846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ED7360-E5FD-4BE3-83A5-28135D42C6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5</cp:revision>
  <dcterms:created xsi:type="dcterms:W3CDTF">2020-08-31T12:07:00Z</dcterms:created>
  <dcterms:modified xsi:type="dcterms:W3CDTF">2020-09-01T10:50:00Z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0x01010009E82D54F3F10D468133B175E7F78D1A</vt:lpwstr>
  </property>
</Properties>
</file>