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745" w:rsidRPr="00E35276" w:rsidRDefault="003D0745" w:rsidP="003D0745">
      <w:pPr>
        <w:pStyle w:val="ZA"/>
        <w:framePr w:w="10563" w:h="782" w:hRule="exact" w:wrap="notBeside" w:hAnchor="page" w:x="661" w:y="646" w:anchorLock="1"/>
        <w:pBdr>
          <w:bottom w:val="none" w:sz="0" w:space="0" w:color="auto"/>
        </w:pBdr>
        <w:jc w:val="center"/>
        <w:rPr>
          <w:noProof w:val="0"/>
          <w:lang w:val="en-US"/>
        </w:rPr>
      </w:pPr>
      <w:bookmarkStart w:id="0" w:name="doctype"/>
      <w:r w:rsidRPr="00E35276">
        <w:rPr>
          <w:noProof w:val="0"/>
          <w:sz w:val="64"/>
          <w:lang w:val="en-US"/>
        </w:rPr>
        <w:t>E</w:t>
      </w:r>
      <w:bookmarkEnd w:id="0"/>
      <w:r w:rsidR="006E2BCC" w:rsidRPr="00E35276">
        <w:rPr>
          <w:noProof w:val="0"/>
          <w:sz w:val="64"/>
          <w:lang w:val="en-US"/>
        </w:rPr>
        <w:t>S</w:t>
      </w:r>
      <w:r w:rsidRPr="00E35276">
        <w:rPr>
          <w:noProof w:val="0"/>
          <w:sz w:val="64"/>
          <w:lang w:val="en-US"/>
        </w:rPr>
        <w:t xml:space="preserve"> </w:t>
      </w:r>
      <w:bookmarkStart w:id="1" w:name="docnumber"/>
      <w:r w:rsidR="00A969FA">
        <w:rPr>
          <w:noProof w:val="0"/>
          <w:sz w:val="64"/>
          <w:lang w:val="en-US"/>
        </w:rPr>
        <w:t>203</w:t>
      </w:r>
      <w:r w:rsidRPr="00E35276">
        <w:rPr>
          <w:noProof w:val="0"/>
          <w:sz w:val="64"/>
          <w:lang w:val="en-US"/>
        </w:rPr>
        <w:t xml:space="preserve"> </w:t>
      </w:r>
      <w:bookmarkEnd w:id="1"/>
      <w:r w:rsidR="00A969FA">
        <w:rPr>
          <w:noProof w:val="0"/>
          <w:sz w:val="64"/>
          <w:lang w:val="en-US"/>
        </w:rPr>
        <w:t>228</w:t>
      </w:r>
      <w:r w:rsidRPr="00E35276">
        <w:rPr>
          <w:noProof w:val="0"/>
          <w:sz w:val="64"/>
          <w:lang w:val="en-US"/>
        </w:rPr>
        <w:t xml:space="preserve"> </w:t>
      </w:r>
      <w:r w:rsidRPr="00E35276">
        <w:rPr>
          <w:noProof w:val="0"/>
          <w:lang w:val="en-US"/>
        </w:rPr>
        <w:t>V</w:t>
      </w:r>
      <w:bookmarkStart w:id="2" w:name="docversion"/>
      <w:r w:rsidR="00E35276" w:rsidRPr="00E35276">
        <w:rPr>
          <w:noProof w:val="0"/>
          <w:lang w:val="en-US"/>
        </w:rPr>
        <w:t>&lt;</w:t>
      </w:r>
      <w:r w:rsidR="0089184E">
        <w:rPr>
          <w:noProof w:val="0"/>
          <w:lang w:val="en-US"/>
        </w:rPr>
        <w:t>0</w:t>
      </w:r>
      <w:r w:rsidRPr="00E35276">
        <w:rPr>
          <w:noProof w:val="0"/>
          <w:lang w:val="en-US"/>
        </w:rPr>
        <w:t>.</w:t>
      </w:r>
      <w:r w:rsidR="0089184E">
        <w:rPr>
          <w:noProof w:val="0"/>
          <w:lang w:val="en-US"/>
        </w:rPr>
        <w:t>0</w:t>
      </w:r>
      <w:r w:rsidRPr="00E35276">
        <w:rPr>
          <w:noProof w:val="0"/>
          <w:lang w:val="en-US"/>
        </w:rPr>
        <w:t>.</w:t>
      </w:r>
      <w:r w:rsidR="00C07921">
        <w:rPr>
          <w:noProof w:val="0"/>
          <w:lang w:val="en-US"/>
        </w:rPr>
        <w:t>3</w:t>
      </w:r>
      <w:r w:rsidRPr="00E35276">
        <w:rPr>
          <w:noProof w:val="0"/>
          <w:lang w:val="en-US"/>
        </w:rPr>
        <w:t>&gt;</w:t>
      </w:r>
      <w:bookmarkEnd w:id="2"/>
      <w:r w:rsidRPr="00E35276">
        <w:rPr>
          <w:rStyle w:val="ZGSM"/>
          <w:noProof w:val="0"/>
          <w:lang w:val="en-US"/>
        </w:rPr>
        <w:t xml:space="preserve"> </w:t>
      </w:r>
      <w:r w:rsidRPr="00E35276">
        <w:rPr>
          <w:noProof w:val="0"/>
          <w:sz w:val="32"/>
          <w:lang w:val="en-US"/>
        </w:rPr>
        <w:t>(</w:t>
      </w:r>
      <w:bookmarkStart w:id="3" w:name="docdate"/>
      <w:r w:rsidRPr="00E35276">
        <w:rPr>
          <w:noProof w:val="0"/>
          <w:sz w:val="32"/>
          <w:lang w:val="en-US"/>
        </w:rPr>
        <w:t>&lt;</w:t>
      </w:r>
      <w:r w:rsidR="00E35276">
        <w:rPr>
          <w:noProof w:val="0"/>
          <w:sz w:val="32"/>
          <w:lang w:val="en-US"/>
        </w:rPr>
        <w:t>2013-</w:t>
      </w:r>
      <w:r w:rsidR="00C07921">
        <w:rPr>
          <w:noProof w:val="0"/>
          <w:sz w:val="32"/>
          <w:lang w:val="en-US"/>
        </w:rPr>
        <w:t>12</w:t>
      </w:r>
      <w:r w:rsidRPr="00E35276">
        <w:rPr>
          <w:noProof w:val="0"/>
          <w:sz w:val="32"/>
          <w:lang w:val="en-US"/>
        </w:rPr>
        <w:t>&gt;</w:t>
      </w:r>
      <w:bookmarkEnd w:id="3"/>
      <w:r w:rsidRPr="00E35276">
        <w:rPr>
          <w:noProof w:val="0"/>
          <w:sz w:val="32"/>
          <w:szCs w:val="32"/>
          <w:lang w:val="en-US"/>
        </w:rPr>
        <w:t>)</w:t>
      </w:r>
    </w:p>
    <w:p w:rsidR="003D0745" w:rsidRDefault="003D0745" w:rsidP="008942B6">
      <w:pPr>
        <w:pStyle w:val="ZT"/>
        <w:framePr w:w="10206" w:h="3701" w:hRule="exact" w:wrap="notBeside" w:vAnchor="page" w:hAnchor="page" w:x="880" w:y="7094" w:anchorLock="1"/>
        <w:spacing w:line="360" w:lineRule="auto"/>
        <w:jc w:val="center"/>
      </w:pPr>
      <w:bookmarkStart w:id="4" w:name="doctitle"/>
      <w:r>
        <w:t>&lt;</w:t>
      </w:r>
      <w:r w:rsidR="008942B6">
        <w:t>Environmental Engineering (EE)</w:t>
      </w:r>
      <w:r w:rsidR="00847CD0">
        <w:t>;</w:t>
      </w:r>
      <w:r w:rsidR="008942B6">
        <w:t xml:space="preserve"> </w:t>
      </w:r>
      <w:r w:rsidR="00847CD0">
        <w:br/>
      </w:r>
      <w:r w:rsidR="009B060F">
        <w:t>Assessment of Mobile Network Energy E</w:t>
      </w:r>
      <w:r w:rsidR="008942B6">
        <w:t xml:space="preserve">fficiency </w:t>
      </w:r>
      <w:r>
        <w:t>&gt;</w:t>
      </w:r>
    </w:p>
    <w:p w:rsidR="003D0745" w:rsidRDefault="003D0745" w:rsidP="003D0745">
      <w:pPr>
        <w:pStyle w:val="ZT"/>
        <w:framePr w:w="10206" w:h="3701" w:hRule="exact" w:wrap="notBeside" w:vAnchor="page" w:hAnchor="page" w:x="880" w:y="7094" w:anchorLock="1"/>
        <w:spacing w:line="360" w:lineRule="auto"/>
        <w:jc w:val="center"/>
      </w:pPr>
    </w:p>
    <w:p w:rsidR="003D0745" w:rsidRPr="00055551" w:rsidRDefault="003D0745" w:rsidP="003D0745">
      <w:pPr>
        <w:pStyle w:val="ZT"/>
        <w:framePr w:w="10206" w:h="3701" w:hRule="exact" w:wrap="notBeside" w:vAnchor="page" w:hAnchor="page" w:x="880" w:y="7094" w:anchorLock="1"/>
        <w:jc w:val="center"/>
        <w:rPr>
          <w:rStyle w:val="ZGSM"/>
        </w:rPr>
      </w:pPr>
      <w:r w:rsidRPr="00055551">
        <w:rPr>
          <w:rStyle w:val="ZGSM"/>
        </w:rPr>
        <w:t>[&lt;GSM/UMTS</w:t>
      </w:r>
      <w:r w:rsidR="00847CD0">
        <w:rPr>
          <w:rStyle w:val="ZGSM"/>
        </w:rPr>
        <w:t>/LTE</w:t>
      </w:r>
      <w:r w:rsidRPr="00055551">
        <w:rPr>
          <w:rStyle w:val="ZGSM"/>
        </w:rPr>
        <w:t xml:space="preserve"> spec&gt;]</w:t>
      </w:r>
    </w:p>
    <w:p w:rsidR="003D0745" w:rsidRPr="00055551" w:rsidRDefault="003D0745" w:rsidP="003D0745">
      <w:pPr>
        <w:pStyle w:val="ZT"/>
        <w:framePr w:w="10206" w:h="3701" w:hRule="exact" w:wrap="notBeside" w:vAnchor="page" w:hAnchor="page" w:x="880" w:y="7094" w:anchorLock="1"/>
        <w:rPr>
          <w:rStyle w:val="ZGSM"/>
        </w:rPr>
      </w:pPr>
    </w:p>
    <w:p w:rsidR="003D0745" w:rsidRDefault="003D0745" w:rsidP="003D0745">
      <w:pPr>
        <w:pStyle w:val="ZT"/>
        <w:framePr w:w="10206" w:h="3701" w:hRule="exact" w:wrap="notBeside" w:vAnchor="page" w:hAnchor="page" w:x="880" w:y="7094" w:anchorLock="1"/>
        <w:jc w:val="center"/>
      </w:pPr>
      <w:r w:rsidRPr="00055551">
        <w:rPr>
          <w:rStyle w:val="ZGSM"/>
        </w:rPr>
        <w:t>[</w:t>
      </w:r>
      <w:r w:rsidRPr="00055551">
        <w:rPr>
          <w:rStyle w:val="ZGSM"/>
          <w:sz w:val="24"/>
          <w:szCs w:val="24"/>
        </w:rPr>
        <w:t>Part element for endorsement</w:t>
      </w:r>
      <w:r w:rsidRPr="00055551">
        <w:rPr>
          <w:rStyle w:val="ZGSM"/>
        </w:rPr>
        <w:t>]</w:t>
      </w:r>
    </w:p>
    <w:p w:rsidR="003D0745" w:rsidRPr="00055551" w:rsidRDefault="003D0745" w:rsidP="003D0745">
      <w:pPr>
        <w:pStyle w:val="ZG"/>
        <w:framePr w:w="10624" w:h="3271" w:hRule="exact" w:wrap="notBeside" w:hAnchor="page" w:x="674" w:y="12211"/>
        <w:rPr>
          <w:noProof w:val="0"/>
        </w:rPr>
      </w:pPr>
      <w:bookmarkStart w:id="5" w:name="doclogo"/>
      <w:bookmarkEnd w:id="4"/>
    </w:p>
    <w:bookmarkStart w:id="6" w:name="docdiskette"/>
    <w:bookmarkEnd w:id="5"/>
    <w:p w:rsidR="003D0745" w:rsidRDefault="003D0745" w:rsidP="003D0745">
      <w:pPr>
        <w:pStyle w:val="ZD"/>
        <w:framePr w:wrap="notBeside"/>
        <w:rPr>
          <w:noProof w:val="0"/>
        </w:rPr>
      </w:pPr>
      <w:r w:rsidRPr="00055551">
        <w:rPr>
          <w:noProof w:val="0"/>
        </w:rPr>
        <w:fldChar w:fldCharType="begin"/>
      </w:r>
      <w:r w:rsidRPr="00055551">
        <w:rPr>
          <w:noProof w:val="0"/>
        </w:rPr>
        <w:instrText>symbol 60 \f "Wingdings" \s 16</w:instrText>
      </w:r>
      <w:r w:rsidRPr="00055551">
        <w:rPr>
          <w:noProof w:val="0"/>
        </w:rPr>
        <w:fldChar w:fldCharType="separate"/>
      </w:r>
      <w:r w:rsidRPr="00055551">
        <w:rPr>
          <w:rFonts w:ascii="Wingdings" w:hAnsi="Wingdings"/>
          <w:noProof w:val="0"/>
        </w:rPr>
        <w:t>&lt;</w:t>
      </w:r>
      <w:r w:rsidRPr="00055551">
        <w:rPr>
          <w:noProof w:val="0"/>
        </w:rPr>
        <w:fldChar w:fldCharType="end"/>
      </w:r>
      <w:bookmarkEnd w:id="6"/>
    </w:p>
    <w:p w:rsidR="003D0745" w:rsidRDefault="003D0745" w:rsidP="003D0745">
      <w:pPr>
        <w:pStyle w:val="ZB"/>
        <w:framePr w:wrap="notBeside" w:hAnchor="page" w:x="901" w:y="1421"/>
      </w:pPr>
    </w:p>
    <w:p w:rsidR="003D0745" w:rsidRDefault="003D0745" w:rsidP="003D0745">
      <w:pPr>
        <w:rPr>
          <w:lang w:val="fr-FR"/>
        </w:rPr>
      </w:pPr>
    </w:p>
    <w:p w:rsidR="003D0745" w:rsidRDefault="003D0745" w:rsidP="003D0745">
      <w:pPr>
        <w:rPr>
          <w:lang w:val="fr-FR"/>
        </w:rPr>
      </w:pPr>
    </w:p>
    <w:p w:rsidR="003D0745" w:rsidRDefault="003D0745" w:rsidP="003D0745">
      <w:pPr>
        <w:rPr>
          <w:lang w:val="fr-FR"/>
        </w:rPr>
      </w:pPr>
    </w:p>
    <w:p w:rsidR="003D0745" w:rsidRDefault="003D0745" w:rsidP="003D0745">
      <w:pPr>
        <w:rPr>
          <w:lang w:val="fr-FR"/>
        </w:rPr>
      </w:pPr>
    </w:p>
    <w:p w:rsidR="003D0745" w:rsidRDefault="003D0745" w:rsidP="003D0745">
      <w:pPr>
        <w:rPr>
          <w:lang w:val="fr-FR"/>
        </w:rPr>
      </w:pPr>
    </w:p>
    <w:p w:rsidR="003D0745" w:rsidRDefault="003D0745" w:rsidP="003D0745">
      <w:pPr>
        <w:pStyle w:val="ZB"/>
        <w:framePr w:wrap="notBeside" w:hAnchor="page" w:x="901" w:y="1421"/>
      </w:pPr>
    </w:p>
    <w:p w:rsidR="003D0745" w:rsidRPr="0035391E" w:rsidRDefault="003D0745" w:rsidP="003D0745">
      <w:pPr>
        <w:pStyle w:val="FP"/>
        <w:framePr w:h="1625" w:hRule="exact" w:wrap="notBeside" w:vAnchor="page" w:hAnchor="page" w:x="871" w:y="11581"/>
        <w:spacing w:after="240"/>
        <w:jc w:val="center"/>
        <w:rPr>
          <w:rFonts w:ascii="Arial" w:hAnsi="Arial" w:cs="Arial"/>
          <w:sz w:val="18"/>
          <w:szCs w:val="18"/>
        </w:rPr>
      </w:pPr>
      <w:bookmarkStart w:id="7" w:name="GSBox"/>
    </w:p>
    <w:p w:rsidR="003D0745" w:rsidRPr="00D4734E" w:rsidRDefault="004A13D6" w:rsidP="003D0745">
      <w:pPr>
        <w:pStyle w:val="ZB"/>
        <w:framePr w:w="6341" w:h="450" w:hRule="exact" w:wrap="notBeside" w:hAnchor="page" w:x="811" w:y="5401"/>
        <w:jc w:val="left"/>
        <w:rPr>
          <w:rFonts w:ascii="Century Gothic" w:hAnsi="Century Gothic"/>
          <w:b/>
          <w:i w:val="0"/>
          <w:color w:val="FFFFFF"/>
          <w:sz w:val="32"/>
          <w:szCs w:val="32"/>
        </w:rPr>
      </w:pPr>
      <w:bookmarkStart w:id="8" w:name="doctypelong"/>
      <w:bookmarkEnd w:id="7"/>
      <w:r>
        <w:rPr>
          <w:rFonts w:ascii="Century Gothic" w:hAnsi="Century Gothic"/>
          <w:b/>
          <w:i w:val="0"/>
          <w:noProof w:val="0"/>
          <w:color w:val="FFFFFF"/>
          <w:sz w:val="32"/>
          <w:szCs w:val="32"/>
        </w:rPr>
        <w:t>ETSI SPECIFICATION</w:t>
      </w:r>
    </w:p>
    <w:bookmarkEnd w:id="8"/>
    <w:p w:rsidR="003D0745" w:rsidRDefault="003D0745" w:rsidP="003D0745">
      <w:pPr>
        <w:rPr>
          <w:rFonts w:ascii="Arial" w:hAnsi="Arial" w:cs="Arial"/>
          <w:sz w:val="18"/>
          <w:szCs w:val="18"/>
        </w:rPr>
        <w:sectPr w:rsidR="003D0745" w:rsidSect="003D0745">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rsidR="003D0745" w:rsidRPr="00055551" w:rsidRDefault="003D0745" w:rsidP="003D0745">
      <w:pPr>
        <w:pStyle w:val="FP"/>
        <w:framePr w:wrap="notBeside" w:vAnchor="page" w:hAnchor="page" w:x="1141" w:y="2836"/>
        <w:pBdr>
          <w:bottom w:val="single" w:sz="6" w:space="1" w:color="auto"/>
        </w:pBdr>
        <w:ind w:left="2835" w:right="2835"/>
        <w:jc w:val="center"/>
      </w:pPr>
      <w:bookmarkStart w:id="9" w:name="page2"/>
      <w:r w:rsidRPr="00055551">
        <w:lastRenderedPageBreak/>
        <w:t>Reference</w:t>
      </w:r>
    </w:p>
    <w:p w:rsidR="003D0745" w:rsidRPr="00055551" w:rsidRDefault="003D0745" w:rsidP="003D0745">
      <w:pPr>
        <w:pStyle w:val="FP"/>
        <w:framePr w:wrap="notBeside" w:vAnchor="page" w:hAnchor="page" w:x="1141" w:y="2836"/>
        <w:ind w:left="2268" w:right="2268"/>
        <w:jc w:val="center"/>
        <w:rPr>
          <w:rFonts w:ascii="Arial" w:hAnsi="Arial"/>
          <w:sz w:val="18"/>
        </w:rPr>
      </w:pPr>
      <w:bookmarkStart w:id="10" w:name="docworkitem"/>
      <w:r w:rsidRPr="00055551">
        <w:rPr>
          <w:rFonts w:ascii="Arial" w:hAnsi="Arial"/>
          <w:sz w:val="18"/>
        </w:rPr>
        <w:t>&lt;</w:t>
      </w:r>
      <w:r w:rsidR="00E35276">
        <w:rPr>
          <w:rFonts w:ascii="Arial" w:hAnsi="Arial"/>
          <w:sz w:val="18"/>
        </w:rPr>
        <w:t>EEPS DES00005</w:t>
      </w:r>
      <w:r w:rsidRPr="00055551">
        <w:rPr>
          <w:rFonts w:ascii="Arial" w:hAnsi="Arial"/>
          <w:sz w:val="18"/>
        </w:rPr>
        <w:t>&gt;</w:t>
      </w:r>
      <w:bookmarkEnd w:id="10"/>
    </w:p>
    <w:p w:rsidR="003D0745" w:rsidRPr="00055551" w:rsidRDefault="003D0745" w:rsidP="003D0745">
      <w:pPr>
        <w:pStyle w:val="FP"/>
        <w:framePr w:wrap="notBeside" w:vAnchor="page" w:hAnchor="page" w:x="1141" w:y="2836"/>
        <w:pBdr>
          <w:bottom w:val="single" w:sz="6" w:space="1" w:color="auto"/>
        </w:pBdr>
        <w:spacing w:before="240"/>
        <w:ind w:left="2835" w:right="2835"/>
        <w:jc w:val="center"/>
      </w:pPr>
      <w:r w:rsidRPr="00055551">
        <w:t>Keywords</w:t>
      </w:r>
    </w:p>
    <w:p w:rsidR="003D0745" w:rsidRPr="00055551" w:rsidRDefault="00E35276" w:rsidP="003D0745">
      <w:pPr>
        <w:pStyle w:val="FP"/>
        <w:framePr w:wrap="notBeside" w:vAnchor="page" w:hAnchor="page" w:x="1141" w:y="2836"/>
        <w:ind w:left="2835" w:right="2835"/>
        <w:jc w:val="center"/>
        <w:rPr>
          <w:rFonts w:ascii="Arial" w:hAnsi="Arial"/>
          <w:sz w:val="18"/>
        </w:rPr>
      </w:pPr>
      <w:bookmarkStart w:id="11" w:name="keywords"/>
      <w:r>
        <w:rPr>
          <w:rFonts w:ascii="Arial" w:hAnsi="Arial"/>
          <w:sz w:val="18"/>
        </w:rPr>
        <w:t>&lt;energy efficiency, radio access networks, UMTS, GSM, LTE, base stations</w:t>
      </w:r>
      <w:r w:rsidR="003D0745" w:rsidRPr="00055551">
        <w:rPr>
          <w:rFonts w:ascii="Arial" w:hAnsi="Arial"/>
          <w:sz w:val="18"/>
        </w:rPr>
        <w:t>&gt;</w:t>
      </w:r>
      <w:bookmarkEnd w:id="11"/>
    </w:p>
    <w:p w:rsidR="003D0745" w:rsidRPr="00055551" w:rsidRDefault="003D0745" w:rsidP="003D0745"/>
    <w:p w:rsidR="003D0745" w:rsidRPr="00055551" w:rsidRDefault="003D0745" w:rsidP="003D0745">
      <w:pPr>
        <w:pStyle w:val="FP"/>
        <w:framePr w:wrap="notBeside" w:vAnchor="page" w:hAnchor="page" w:x="1156" w:y="5581"/>
        <w:spacing w:after="240"/>
        <w:ind w:left="2835" w:right="2835"/>
        <w:jc w:val="center"/>
        <w:rPr>
          <w:rFonts w:ascii="Arial" w:hAnsi="Arial"/>
          <w:b/>
          <w:i/>
        </w:rPr>
      </w:pPr>
      <w:bookmarkStart w:id="12" w:name="ETSIinfo"/>
      <w:r w:rsidRPr="00055551">
        <w:rPr>
          <w:rFonts w:ascii="Arial" w:hAnsi="Arial"/>
          <w:b/>
          <w:i/>
        </w:rPr>
        <w:t>ETSI</w:t>
      </w:r>
    </w:p>
    <w:p w:rsidR="003D0745" w:rsidRPr="00055551" w:rsidRDefault="003D0745" w:rsidP="003D0745">
      <w:pPr>
        <w:pStyle w:val="FP"/>
        <w:framePr w:wrap="notBeside" w:vAnchor="page" w:hAnchor="page" w:x="1156" w:y="5581"/>
        <w:pBdr>
          <w:bottom w:val="single" w:sz="6" w:space="1" w:color="auto"/>
        </w:pBdr>
        <w:ind w:left="2835" w:right="2835"/>
        <w:jc w:val="center"/>
        <w:rPr>
          <w:rFonts w:ascii="Arial" w:hAnsi="Arial"/>
          <w:sz w:val="18"/>
        </w:rPr>
      </w:pPr>
      <w:r w:rsidRPr="00055551">
        <w:rPr>
          <w:rFonts w:ascii="Arial" w:hAnsi="Arial"/>
          <w:sz w:val="18"/>
        </w:rPr>
        <w:t xml:space="preserve">650 Route des </w:t>
      </w:r>
      <w:proofErr w:type="spellStart"/>
      <w:r w:rsidRPr="00055551">
        <w:rPr>
          <w:rFonts w:ascii="Arial" w:hAnsi="Arial"/>
          <w:sz w:val="18"/>
        </w:rPr>
        <w:t>Lucioles</w:t>
      </w:r>
      <w:proofErr w:type="spellEnd"/>
    </w:p>
    <w:p w:rsidR="003D0745" w:rsidRPr="00055551" w:rsidRDefault="003D0745" w:rsidP="003D0745">
      <w:pPr>
        <w:pStyle w:val="FP"/>
        <w:framePr w:wrap="notBeside" w:vAnchor="page" w:hAnchor="page" w:x="1156" w:y="5581"/>
        <w:pBdr>
          <w:bottom w:val="single" w:sz="6" w:space="1" w:color="auto"/>
        </w:pBdr>
        <w:ind w:left="2835" w:right="2835"/>
        <w:jc w:val="center"/>
      </w:pPr>
      <w:r w:rsidRPr="00055551">
        <w:rPr>
          <w:rFonts w:ascii="Arial" w:hAnsi="Arial"/>
          <w:sz w:val="18"/>
        </w:rPr>
        <w:t xml:space="preserve">F-06921 Sophia </w:t>
      </w:r>
      <w:proofErr w:type="spellStart"/>
      <w:r w:rsidRPr="00055551">
        <w:rPr>
          <w:rFonts w:ascii="Arial" w:hAnsi="Arial"/>
          <w:sz w:val="18"/>
        </w:rPr>
        <w:t>Antipolis</w:t>
      </w:r>
      <w:proofErr w:type="spellEnd"/>
      <w:r w:rsidRPr="00055551">
        <w:rPr>
          <w:rFonts w:ascii="Arial" w:hAnsi="Arial"/>
          <w:sz w:val="18"/>
        </w:rPr>
        <w:t xml:space="preserve"> </w:t>
      </w:r>
      <w:proofErr w:type="spellStart"/>
      <w:r w:rsidRPr="00055551">
        <w:rPr>
          <w:rFonts w:ascii="Arial" w:hAnsi="Arial"/>
          <w:sz w:val="18"/>
        </w:rPr>
        <w:t>Cedex</w:t>
      </w:r>
      <w:proofErr w:type="spellEnd"/>
      <w:r w:rsidRPr="00055551">
        <w:rPr>
          <w:rFonts w:ascii="Arial" w:hAnsi="Arial"/>
          <w:sz w:val="18"/>
        </w:rPr>
        <w:t xml:space="preserve"> - FRANCE</w:t>
      </w:r>
    </w:p>
    <w:p w:rsidR="003D0745" w:rsidRPr="00055551" w:rsidRDefault="003D0745" w:rsidP="003D0745">
      <w:pPr>
        <w:pStyle w:val="FP"/>
        <w:framePr w:wrap="notBeside" w:vAnchor="page" w:hAnchor="page" w:x="1156" w:y="5581"/>
        <w:ind w:left="2835" w:right="2835"/>
        <w:jc w:val="center"/>
        <w:rPr>
          <w:rFonts w:ascii="Arial" w:hAnsi="Arial"/>
          <w:sz w:val="18"/>
        </w:rPr>
      </w:pPr>
    </w:p>
    <w:p w:rsidR="003D0745" w:rsidRPr="00055551" w:rsidRDefault="003D0745" w:rsidP="003D0745">
      <w:pPr>
        <w:pStyle w:val="FP"/>
        <w:framePr w:wrap="notBeside" w:vAnchor="page" w:hAnchor="page" w:x="1156" w:y="5581"/>
        <w:spacing w:after="20"/>
        <w:ind w:left="2835" w:right="2835"/>
        <w:jc w:val="center"/>
        <w:rPr>
          <w:rFonts w:ascii="Arial" w:hAnsi="Arial"/>
          <w:sz w:val="18"/>
        </w:rPr>
      </w:pPr>
      <w:r w:rsidRPr="00055551">
        <w:rPr>
          <w:rFonts w:ascii="Arial" w:hAnsi="Arial"/>
          <w:sz w:val="18"/>
        </w:rPr>
        <w:t>Tel.: +33 4 92 94 42 00   Fax: +33 4 93 65 47 16</w:t>
      </w:r>
    </w:p>
    <w:p w:rsidR="003D0745" w:rsidRPr="00055551" w:rsidRDefault="003D0745" w:rsidP="003D0745">
      <w:pPr>
        <w:pStyle w:val="FP"/>
        <w:framePr w:wrap="notBeside" w:vAnchor="page" w:hAnchor="page" w:x="1156" w:y="5581"/>
        <w:ind w:left="2835" w:right="2835"/>
        <w:jc w:val="center"/>
        <w:rPr>
          <w:rFonts w:ascii="Arial" w:hAnsi="Arial"/>
          <w:sz w:val="15"/>
        </w:rPr>
      </w:pPr>
    </w:p>
    <w:p w:rsidR="003D0745" w:rsidRPr="00055551" w:rsidRDefault="003D0745" w:rsidP="003D0745">
      <w:pPr>
        <w:pStyle w:val="FP"/>
        <w:framePr w:wrap="notBeside" w:vAnchor="page" w:hAnchor="page" w:x="1156" w:y="5581"/>
        <w:ind w:left="2835" w:right="2835"/>
        <w:jc w:val="center"/>
        <w:rPr>
          <w:rFonts w:ascii="Arial" w:hAnsi="Arial"/>
          <w:sz w:val="15"/>
        </w:rPr>
      </w:pPr>
      <w:proofErr w:type="spellStart"/>
      <w:r w:rsidRPr="00055551">
        <w:rPr>
          <w:rFonts w:ascii="Arial" w:hAnsi="Arial"/>
          <w:sz w:val="15"/>
        </w:rPr>
        <w:t>Siret</w:t>
      </w:r>
      <w:proofErr w:type="spellEnd"/>
      <w:r w:rsidRPr="00055551">
        <w:rPr>
          <w:rFonts w:ascii="Arial" w:hAnsi="Arial"/>
          <w:sz w:val="15"/>
        </w:rPr>
        <w:t xml:space="preserve"> N° 348 623 562 00017 - NAF 742 C</w:t>
      </w:r>
    </w:p>
    <w:p w:rsidR="003D0745" w:rsidRPr="00055551" w:rsidRDefault="003D0745" w:rsidP="003D0745">
      <w:pPr>
        <w:pStyle w:val="FP"/>
        <w:framePr w:wrap="notBeside" w:vAnchor="page" w:hAnchor="page" w:x="1156" w:y="5581"/>
        <w:ind w:left="2835" w:right="2835"/>
        <w:jc w:val="center"/>
        <w:rPr>
          <w:rFonts w:ascii="Arial" w:hAnsi="Arial"/>
          <w:sz w:val="15"/>
        </w:rPr>
      </w:pPr>
      <w:r w:rsidRPr="00055551">
        <w:rPr>
          <w:rFonts w:ascii="Arial" w:hAnsi="Arial"/>
          <w:sz w:val="15"/>
        </w:rPr>
        <w:t xml:space="preserve">Association à but non </w:t>
      </w:r>
      <w:proofErr w:type="spellStart"/>
      <w:r w:rsidRPr="00055551">
        <w:rPr>
          <w:rFonts w:ascii="Arial" w:hAnsi="Arial"/>
          <w:sz w:val="15"/>
        </w:rPr>
        <w:t>lucratif</w:t>
      </w:r>
      <w:proofErr w:type="spellEnd"/>
      <w:r w:rsidRPr="00055551">
        <w:rPr>
          <w:rFonts w:ascii="Arial" w:hAnsi="Arial"/>
          <w:sz w:val="15"/>
        </w:rPr>
        <w:t xml:space="preserve"> </w:t>
      </w:r>
      <w:proofErr w:type="spellStart"/>
      <w:r w:rsidRPr="00055551">
        <w:rPr>
          <w:rFonts w:ascii="Arial" w:hAnsi="Arial"/>
          <w:sz w:val="15"/>
        </w:rPr>
        <w:t>enregistrée</w:t>
      </w:r>
      <w:proofErr w:type="spellEnd"/>
      <w:r w:rsidRPr="00055551">
        <w:rPr>
          <w:rFonts w:ascii="Arial" w:hAnsi="Arial"/>
          <w:sz w:val="15"/>
        </w:rPr>
        <w:t xml:space="preserve"> à la</w:t>
      </w:r>
    </w:p>
    <w:p w:rsidR="003D0745" w:rsidRPr="00055551" w:rsidRDefault="003D0745" w:rsidP="003D0745">
      <w:pPr>
        <w:pStyle w:val="FP"/>
        <w:framePr w:wrap="notBeside" w:vAnchor="page" w:hAnchor="page" w:x="1156" w:y="5581"/>
        <w:ind w:left="2835" w:right="2835"/>
        <w:jc w:val="center"/>
        <w:rPr>
          <w:rFonts w:ascii="Arial" w:hAnsi="Arial"/>
          <w:sz w:val="15"/>
        </w:rPr>
      </w:pPr>
      <w:r w:rsidRPr="00055551">
        <w:rPr>
          <w:rFonts w:ascii="Arial" w:hAnsi="Arial"/>
          <w:sz w:val="15"/>
        </w:rPr>
        <w:t>Sous-</w:t>
      </w:r>
      <w:proofErr w:type="spellStart"/>
      <w:r w:rsidRPr="00055551">
        <w:rPr>
          <w:rFonts w:ascii="Arial" w:hAnsi="Arial"/>
          <w:sz w:val="15"/>
        </w:rPr>
        <w:t>Préfecture</w:t>
      </w:r>
      <w:proofErr w:type="spellEnd"/>
      <w:r w:rsidRPr="00055551">
        <w:rPr>
          <w:rFonts w:ascii="Arial" w:hAnsi="Arial"/>
          <w:sz w:val="15"/>
        </w:rPr>
        <w:t xml:space="preserve"> de Grasse (06) N° 7803/88</w:t>
      </w:r>
    </w:p>
    <w:p w:rsidR="003D0745" w:rsidRPr="00055551" w:rsidRDefault="003D0745" w:rsidP="003D0745">
      <w:pPr>
        <w:pStyle w:val="FP"/>
        <w:framePr w:wrap="notBeside" w:vAnchor="page" w:hAnchor="page" w:x="1156" w:y="5581"/>
        <w:ind w:left="2835" w:right="2835"/>
        <w:jc w:val="center"/>
        <w:rPr>
          <w:rFonts w:ascii="Arial" w:hAnsi="Arial"/>
          <w:sz w:val="18"/>
        </w:rPr>
      </w:pPr>
    </w:p>
    <w:bookmarkEnd w:id="12"/>
    <w:p w:rsidR="003D0745" w:rsidRPr="00055551" w:rsidRDefault="003D0745" w:rsidP="003D0745"/>
    <w:p w:rsidR="003D0745" w:rsidRPr="00055551" w:rsidRDefault="003D0745" w:rsidP="003D0745"/>
    <w:bookmarkEnd w:id="9"/>
    <w:p w:rsidR="003D0745" w:rsidRPr="00055551" w:rsidRDefault="003D0745" w:rsidP="003D0745">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3D0745" w:rsidRPr="00055551" w:rsidRDefault="003D0745" w:rsidP="003D0745">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Individual copies of the present document can be downloaded from:</w:t>
      </w:r>
      <w:r w:rsidRPr="00055551">
        <w:rPr>
          <w:rFonts w:ascii="Arial" w:hAnsi="Arial" w:cs="Arial"/>
          <w:sz w:val="18"/>
        </w:rPr>
        <w:br/>
      </w:r>
      <w:hyperlink r:id="rId10" w:history="1">
        <w:r w:rsidRPr="00055551">
          <w:rPr>
            <w:rStyle w:val="Hyperlink"/>
            <w:rFonts w:ascii="Arial" w:hAnsi="Arial"/>
            <w:sz w:val="18"/>
          </w:rPr>
          <w:t>http://www.etsi.org</w:t>
        </w:r>
      </w:hyperlink>
    </w:p>
    <w:p w:rsidR="003D0745" w:rsidRPr="00055551" w:rsidRDefault="003D0745" w:rsidP="003D0745">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more than one electronic version or in print. In any case of existing or perceived difference in contents between such versions, the reference version is the</w:t>
      </w:r>
      <w:r w:rsidRPr="00055551">
        <w:rPr>
          <w:rFonts w:ascii="Arial" w:hAnsi="Arial" w:cs="Arial"/>
          <w:color w:val="000000"/>
          <w:sz w:val="18"/>
        </w:rPr>
        <w:t xml:space="preserve"> Portable Document Format (PDF). In case of dispute, the reference shall be the printing on ETSI printers of the PDF version kept on a specific network drive within </w:t>
      </w:r>
      <w:r w:rsidRPr="00055551">
        <w:rPr>
          <w:rFonts w:ascii="Arial" w:hAnsi="Arial" w:cs="Arial"/>
          <w:sz w:val="18"/>
        </w:rPr>
        <w:t>ETSI Secretariat.</w:t>
      </w:r>
    </w:p>
    <w:p w:rsidR="003D0745" w:rsidRPr="00055551" w:rsidRDefault="003D0745" w:rsidP="003D0745">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1" w:history="1">
        <w:r w:rsidRPr="00055551">
          <w:rPr>
            <w:rStyle w:val="Hyperlink"/>
            <w:rFonts w:ascii="Arial" w:hAnsi="Arial" w:cs="Arial"/>
            <w:sz w:val="18"/>
          </w:rPr>
          <w:t>http://portal.etsi.org/tb/status/status.asp</w:t>
        </w:r>
      </w:hyperlink>
    </w:p>
    <w:p w:rsidR="003D0745" w:rsidRPr="00055551" w:rsidRDefault="003D0745" w:rsidP="003D0745">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r w:rsidRPr="00055551">
        <w:rPr>
          <w:rFonts w:ascii="Arial" w:hAnsi="Arial" w:cs="Arial"/>
          <w:sz w:val="18"/>
        </w:rPr>
        <w:br/>
      </w:r>
      <w:bookmarkStart w:id="13" w:name="mailto"/>
      <w:r w:rsidRPr="00055551">
        <w:rPr>
          <w:rFonts w:ascii="Arial" w:hAnsi="Arial" w:cs="Arial"/>
          <w:sz w:val="18"/>
          <w:szCs w:val="18"/>
        </w:rPr>
        <w:fldChar w:fldCharType="begin"/>
      </w:r>
      <w:r w:rsidRPr="00055551">
        <w:rPr>
          <w:rFonts w:ascii="Arial" w:hAnsi="Arial" w:cs="Arial"/>
          <w:sz w:val="18"/>
          <w:szCs w:val="18"/>
        </w:rPr>
        <w:instrText>HYPERLINK "http://portal.etsi.org/chaircor/ETSI_support.asp"</w:instrText>
      </w:r>
      <w:r w:rsidRPr="00055551">
        <w:rPr>
          <w:rFonts w:ascii="Arial" w:hAnsi="Arial" w:cs="Arial"/>
          <w:sz w:val="18"/>
          <w:szCs w:val="18"/>
        </w:rPr>
        <w:fldChar w:fldCharType="separate"/>
      </w:r>
      <w:r w:rsidRPr="00055551">
        <w:rPr>
          <w:rFonts w:ascii="Arial" w:hAnsi="Arial" w:cs="Arial"/>
          <w:color w:val="0000FF"/>
          <w:sz w:val="18"/>
          <w:szCs w:val="18"/>
          <w:u w:val="single"/>
        </w:rPr>
        <w:t>http://portal.etsi.org/chaircor/ETSI_support.asp</w:t>
      </w:r>
      <w:r w:rsidRPr="00055551">
        <w:rPr>
          <w:rFonts w:ascii="Arial" w:hAnsi="Arial" w:cs="Arial"/>
          <w:sz w:val="18"/>
          <w:szCs w:val="18"/>
        </w:rPr>
        <w:fldChar w:fldCharType="end"/>
      </w:r>
      <w:bookmarkEnd w:id="13"/>
    </w:p>
    <w:p w:rsidR="003D0745" w:rsidRPr="00055551" w:rsidRDefault="003D0745" w:rsidP="003D0745">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3D0745" w:rsidRPr="00055551" w:rsidRDefault="003D0745" w:rsidP="003D0745">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 except as authorized by written permission.</w:t>
      </w:r>
      <w:r w:rsidRPr="00055551">
        <w:rPr>
          <w:rFonts w:ascii="Arial" w:hAnsi="Arial" w:cs="Arial"/>
          <w:sz w:val="18"/>
        </w:rPr>
        <w:br/>
        <w:t>The copyright and the foregoing restriction extend to reproduction in all media.</w:t>
      </w:r>
    </w:p>
    <w:p w:rsidR="003D0745" w:rsidRPr="00055551" w:rsidRDefault="003D0745" w:rsidP="003D0745">
      <w:pPr>
        <w:pStyle w:val="FP"/>
        <w:framePr w:h="6890" w:hRule="exact" w:wrap="notBeside" w:vAnchor="page" w:hAnchor="page" w:x="1036" w:y="8926"/>
        <w:jc w:val="center"/>
        <w:rPr>
          <w:rFonts w:ascii="Arial" w:hAnsi="Arial" w:cs="Arial"/>
          <w:sz w:val="18"/>
        </w:rPr>
      </w:pPr>
    </w:p>
    <w:p w:rsidR="003D0745" w:rsidRPr="00055551" w:rsidRDefault="003D0745" w:rsidP="003D0745">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proofErr w:type="spellStart"/>
      <w:r w:rsidRPr="00055551">
        <w:rPr>
          <w:rFonts w:ascii="Arial" w:hAnsi="Arial" w:cs="Arial"/>
          <w:sz w:val="18"/>
        </w:rPr>
        <w:t>yyyy</w:t>
      </w:r>
      <w:proofErr w:type="spellEnd"/>
      <w:r w:rsidRPr="00055551">
        <w:rPr>
          <w:rFonts w:ascii="Arial" w:hAnsi="Arial" w:cs="Arial"/>
          <w:sz w:val="18"/>
        </w:rPr>
        <w:t>.</w:t>
      </w:r>
      <w:bookmarkStart w:id="14" w:name="copyrightaddon"/>
      <w:bookmarkEnd w:id="14"/>
    </w:p>
    <w:p w:rsidR="003D0745" w:rsidRPr="00055551" w:rsidRDefault="003D0745" w:rsidP="003D0745">
      <w:pPr>
        <w:pStyle w:val="FP"/>
        <w:framePr w:h="6890" w:hRule="exact" w:wrap="notBeside" w:vAnchor="page" w:hAnchor="page" w:x="1036" w:y="8926"/>
        <w:jc w:val="center"/>
        <w:rPr>
          <w:rFonts w:ascii="Arial" w:hAnsi="Arial" w:cs="Arial"/>
          <w:sz w:val="18"/>
        </w:rPr>
      </w:pPr>
      <w:bookmarkStart w:id="15" w:name="tbcopyright"/>
      <w:bookmarkEnd w:id="15"/>
      <w:r w:rsidRPr="00055551">
        <w:rPr>
          <w:rFonts w:ascii="Arial" w:hAnsi="Arial" w:cs="Arial"/>
          <w:sz w:val="18"/>
        </w:rPr>
        <w:t>All rights reserved.</w:t>
      </w:r>
      <w:r w:rsidRPr="00055551">
        <w:rPr>
          <w:rFonts w:ascii="Arial" w:hAnsi="Arial" w:cs="Arial"/>
          <w:sz w:val="18"/>
        </w:rPr>
        <w:br/>
      </w:r>
    </w:p>
    <w:p w:rsidR="003D0745" w:rsidRDefault="003D0745" w:rsidP="003D0745">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3212D4" w:rsidRPr="003212D4" w:rsidRDefault="003212D4" w:rsidP="00351C0C">
      <w:pPr>
        <w:pStyle w:val="Heading1"/>
        <w:rPr>
          <w:rFonts w:cs="Arial"/>
          <w:sz w:val="18"/>
          <w:szCs w:val="18"/>
        </w:rPr>
      </w:pPr>
      <w:r>
        <w:br w:type="page"/>
      </w:r>
    </w:p>
    <w:p w:rsidR="00CB3396" w:rsidRDefault="003212D4">
      <w:pPr>
        <w:pStyle w:val="TT"/>
      </w:pPr>
      <w:r>
        <w:lastRenderedPageBreak/>
        <w:br w:type="page"/>
      </w:r>
      <w:r w:rsidR="00CB3396">
        <w:lastRenderedPageBreak/>
        <w:t>Contents</w:t>
      </w:r>
    </w:p>
    <w:p w:rsidR="00B744FC" w:rsidRPr="00B744FC" w:rsidRDefault="00B31BB0">
      <w:pPr>
        <w:pStyle w:val="TOC1"/>
        <w:rPr>
          <w:rFonts w:asciiTheme="minorHAnsi" w:eastAsiaTheme="minorEastAsia" w:hAnsiTheme="minorHAnsi" w:cstheme="minorBidi"/>
          <w:szCs w:val="22"/>
          <w:lang w:val="en-US" w:eastAsia="it-IT"/>
        </w:rPr>
      </w:pPr>
      <w:r>
        <w:fldChar w:fldCharType="begin"/>
      </w:r>
      <w:r>
        <w:instrText xml:space="preserve"> TOC \o \w "1-9"</w:instrText>
      </w:r>
      <w:r>
        <w:fldChar w:fldCharType="separate"/>
      </w:r>
      <w:r w:rsidR="00B744FC">
        <w:t>Intellectual Property Rights</w:t>
      </w:r>
      <w:r w:rsidR="00B744FC">
        <w:tab/>
      </w:r>
      <w:r w:rsidR="00B744FC">
        <w:fldChar w:fldCharType="begin"/>
      </w:r>
      <w:r w:rsidR="00B744FC">
        <w:instrText xml:space="preserve"> PAGEREF _Toc375054151 \h </w:instrText>
      </w:r>
      <w:r w:rsidR="00B744FC">
        <w:fldChar w:fldCharType="separate"/>
      </w:r>
      <w:r w:rsidR="00B744FC">
        <w:t>5</w:t>
      </w:r>
      <w:r w:rsidR="00B744FC">
        <w:fldChar w:fldCharType="end"/>
      </w:r>
    </w:p>
    <w:p w:rsidR="00B744FC" w:rsidRPr="00B744FC" w:rsidRDefault="00B744FC">
      <w:pPr>
        <w:pStyle w:val="TOC1"/>
        <w:rPr>
          <w:rFonts w:asciiTheme="minorHAnsi" w:eastAsiaTheme="minorEastAsia" w:hAnsiTheme="minorHAnsi" w:cstheme="minorBidi"/>
          <w:szCs w:val="22"/>
          <w:lang w:val="en-US" w:eastAsia="it-IT"/>
        </w:rPr>
      </w:pPr>
      <w:r>
        <w:t>Foreword</w:t>
      </w:r>
      <w:r>
        <w:tab/>
      </w:r>
      <w:r>
        <w:fldChar w:fldCharType="begin"/>
      </w:r>
      <w:r>
        <w:instrText xml:space="preserve"> PAGEREF _Toc375054152 \h </w:instrText>
      </w:r>
      <w:r>
        <w:fldChar w:fldCharType="separate"/>
      </w:r>
      <w:r>
        <w:t>5</w:t>
      </w:r>
      <w:r>
        <w:fldChar w:fldCharType="end"/>
      </w:r>
    </w:p>
    <w:p w:rsidR="00B744FC" w:rsidRPr="00B744FC" w:rsidRDefault="00B744FC">
      <w:pPr>
        <w:pStyle w:val="TOC1"/>
        <w:rPr>
          <w:rFonts w:asciiTheme="minorHAnsi" w:eastAsiaTheme="minorEastAsia" w:hAnsiTheme="minorHAnsi" w:cstheme="minorBidi"/>
          <w:szCs w:val="22"/>
          <w:lang w:val="en-US" w:eastAsia="it-IT"/>
        </w:rPr>
      </w:pPr>
      <w:r>
        <w:t>Introduction</w:t>
      </w:r>
      <w:r>
        <w:tab/>
      </w:r>
      <w:r>
        <w:fldChar w:fldCharType="begin"/>
      </w:r>
      <w:r>
        <w:instrText xml:space="preserve"> PAGEREF _Toc375054153 \h </w:instrText>
      </w:r>
      <w:r>
        <w:fldChar w:fldCharType="separate"/>
      </w:r>
      <w:r>
        <w:t>5</w:t>
      </w:r>
      <w:r>
        <w:fldChar w:fldCharType="end"/>
      </w:r>
    </w:p>
    <w:p w:rsidR="00B744FC" w:rsidRPr="00B744FC" w:rsidRDefault="00B744FC">
      <w:pPr>
        <w:pStyle w:val="TOC1"/>
        <w:rPr>
          <w:rFonts w:asciiTheme="minorHAnsi" w:eastAsiaTheme="minorEastAsia" w:hAnsiTheme="minorHAnsi" w:cstheme="minorBidi"/>
          <w:szCs w:val="22"/>
          <w:lang w:val="en-US" w:eastAsia="it-IT"/>
        </w:rPr>
      </w:pPr>
      <w:r>
        <w:t>1</w:t>
      </w:r>
      <w:r>
        <w:tab/>
        <w:t>Scope</w:t>
      </w:r>
      <w:r>
        <w:tab/>
      </w:r>
      <w:r>
        <w:fldChar w:fldCharType="begin"/>
      </w:r>
      <w:r>
        <w:instrText xml:space="preserve"> PAGEREF _Toc375054154 \h </w:instrText>
      </w:r>
      <w:r>
        <w:fldChar w:fldCharType="separate"/>
      </w:r>
      <w:r>
        <w:t>6</w:t>
      </w:r>
      <w:r>
        <w:fldChar w:fldCharType="end"/>
      </w:r>
    </w:p>
    <w:p w:rsidR="00B744FC" w:rsidRPr="00B744FC" w:rsidRDefault="00B744FC">
      <w:pPr>
        <w:pStyle w:val="TOC1"/>
        <w:rPr>
          <w:rFonts w:asciiTheme="minorHAnsi" w:eastAsiaTheme="minorEastAsia" w:hAnsiTheme="minorHAnsi" w:cstheme="minorBidi"/>
          <w:szCs w:val="22"/>
          <w:lang w:val="en-US" w:eastAsia="it-IT"/>
        </w:rPr>
      </w:pPr>
      <w:r>
        <w:t>2</w:t>
      </w:r>
      <w:r>
        <w:tab/>
        <w:t>References</w:t>
      </w:r>
      <w:r>
        <w:tab/>
      </w:r>
      <w:r>
        <w:fldChar w:fldCharType="begin"/>
      </w:r>
      <w:r>
        <w:instrText xml:space="preserve"> PAGEREF _Toc375054155 \h </w:instrText>
      </w:r>
      <w:r>
        <w:fldChar w:fldCharType="separate"/>
      </w:r>
      <w:r>
        <w:t>6</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t>2.1</w:t>
      </w:r>
      <w:r>
        <w:tab/>
        <w:t>Normative references</w:t>
      </w:r>
      <w:r>
        <w:tab/>
      </w:r>
      <w:r>
        <w:fldChar w:fldCharType="begin"/>
      </w:r>
      <w:r>
        <w:instrText xml:space="preserve"> PAGEREF _Toc375054156 \h </w:instrText>
      </w:r>
      <w:r>
        <w:fldChar w:fldCharType="separate"/>
      </w:r>
      <w:r>
        <w:t>6</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t>2.2</w:t>
      </w:r>
      <w:r>
        <w:tab/>
        <w:t>Informative references</w:t>
      </w:r>
      <w:r>
        <w:tab/>
      </w:r>
      <w:r>
        <w:fldChar w:fldCharType="begin"/>
      </w:r>
      <w:r>
        <w:instrText xml:space="preserve"> PAGEREF _Toc375054157 \h </w:instrText>
      </w:r>
      <w:r>
        <w:fldChar w:fldCharType="separate"/>
      </w:r>
      <w:r>
        <w:t>7</w:t>
      </w:r>
      <w:r>
        <w:fldChar w:fldCharType="end"/>
      </w:r>
    </w:p>
    <w:p w:rsidR="00B744FC" w:rsidRPr="00B744FC" w:rsidRDefault="00B744FC">
      <w:pPr>
        <w:pStyle w:val="TOC1"/>
        <w:rPr>
          <w:rFonts w:asciiTheme="minorHAnsi" w:eastAsiaTheme="minorEastAsia" w:hAnsiTheme="minorHAnsi" w:cstheme="minorBidi"/>
          <w:szCs w:val="22"/>
          <w:lang w:val="en-US" w:eastAsia="it-IT"/>
        </w:rPr>
      </w:pPr>
      <w:r>
        <w:t>3</w:t>
      </w:r>
      <w:r>
        <w:tab/>
        <w:t>Definitions, symbols and abbreviations</w:t>
      </w:r>
      <w:r>
        <w:tab/>
      </w:r>
      <w:r>
        <w:fldChar w:fldCharType="begin"/>
      </w:r>
      <w:r>
        <w:instrText xml:space="preserve"> PAGEREF _Toc375054158 \h </w:instrText>
      </w:r>
      <w:r>
        <w:fldChar w:fldCharType="separate"/>
      </w:r>
      <w:r>
        <w:t>7</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t>3.1</w:t>
      </w:r>
      <w:r>
        <w:tab/>
        <w:t>Definitions</w:t>
      </w:r>
      <w:r>
        <w:tab/>
      </w:r>
      <w:r>
        <w:fldChar w:fldCharType="begin"/>
      </w:r>
      <w:r>
        <w:instrText xml:space="preserve"> PAGEREF _Toc375054159 \h </w:instrText>
      </w:r>
      <w:r>
        <w:fldChar w:fldCharType="separate"/>
      </w:r>
      <w:r>
        <w:t>7</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t>3.2</w:t>
      </w:r>
      <w:r>
        <w:tab/>
        <w:t>Symbols</w:t>
      </w:r>
      <w:r>
        <w:tab/>
      </w:r>
      <w:r>
        <w:fldChar w:fldCharType="begin"/>
      </w:r>
      <w:r>
        <w:instrText xml:space="preserve"> PAGEREF _Toc375054160 \h </w:instrText>
      </w:r>
      <w:r>
        <w:fldChar w:fldCharType="separate"/>
      </w:r>
      <w:r>
        <w:t>8</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t>3.3</w:t>
      </w:r>
      <w:r>
        <w:tab/>
        <w:t>Abbreviations</w:t>
      </w:r>
      <w:r>
        <w:tab/>
      </w:r>
      <w:r>
        <w:fldChar w:fldCharType="begin"/>
      </w:r>
      <w:r>
        <w:instrText xml:space="preserve"> PAGEREF _Toc375054161 \h </w:instrText>
      </w:r>
      <w:r>
        <w:fldChar w:fldCharType="separate"/>
      </w:r>
      <w:r>
        <w:t>8</w:t>
      </w:r>
      <w:r>
        <w:fldChar w:fldCharType="end"/>
      </w:r>
    </w:p>
    <w:p w:rsidR="00B744FC" w:rsidRPr="00B744FC" w:rsidRDefault="00B744FC">
      <w:pPr>
        <w:pStyle w:val="TOC1"/>
        <w:rPr>
          <w:rFonts w:asciiTheme="minorHAnsi" w:eastAsiaTheme="minorEastAsia" w:hAnsiTheme="minorHAnsi" w:cstheme="minorBidi"/>
          <w:szCs w:val="22"/>
          <w:lang w:val="en-US" w:eastAsia="it-IT"/>
        </w:rPr>
      </w:pPr>
      <w:r>
        <w:t>4</w:t>
      </w:r>
      <w:r>
        <w:tab/>
        <w:t>Network under test definition</w:t>
      </w:r>
      <w:r>
        <w:tab/>
      </w:r>
      <w:r>
        <w:fldChar w:fldCharType="begin"/>
      </w:r>
      <w:r>
        <w:instrText xml:space="preserve"> PAGEREF _Toc375054162 \h </w:instrText>
      </w:r>
      <w:r>
        <w:fldChar w:fldCharType="separate"/>
      </w:r>
      <w:r>
        <w:t>10</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t xml:space="preserve">4.1 </w:t>
      </w:r>
      <w:r>
        <w:tab/>
        <w:t>Introduction</w:t>
      </w:r>
      <w:r>
        <w:tab/>
      </w:r>
      <w:r>
        <w:fldChar w:fldCharType="begin"/>
      </w:r>
      <w:r>
        <w:instrText xml:space="preserve"> PAGEREF _Toc375054163 \h </w:instrText>
      </w:r>
      <w:r>
        <w:fldChar w:fldCharType="separate"/>
      </w:r>
      <w:r>
        <w:t>10</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t xml:space="preserve">4.2 </w:t>
      </w:r>
      <w:r>
        <w:tab/>
        <w:t>Test parameter categorization</w:t>
      </w:r>
      <w:r>
        <w:tab/>
      </w:r>
      <w:r>
        <w:fldChar w:fldCharType="begin"/>
      </w:r>
      <w:r>
        <w:instrText xml:space="preserve"> PAGEREF _Toc375054164 \h </w:instrText>
      </w:r>
      <w:r>
        <w:fldChar w:fldCharType="separate"/>
      </w:r>
      <w:r>
        <w:t>11</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t xml:space="preserve">4.3 </w:t>
      </w:r>
      <w:r>
        <w:tab/>
        <w:t>Network classification</w:t>
      </w:r>
      <w:r>
        <w:tab/>
      </w:r>
      <w:r>
        <w:fldChar w:fldCharType="begin"/>
      </w:r>
      <w:r>
        <w:instrText xml:space="preserve"> PAGEREF _Toc375054165 \h </w:instrText>
      </w:r>
      <w:r>
        <w:fldChar w:fldCharType="separate"/>
      </w:r>
      <w:r>
        <w:t>11</w:t>
      </w:r>
      <w:r>
        <w:fldChar w:fldCharType="end"/>
      </w:r>
    </w:p>
    <w:p w:rsidR="00B744FC" w:rsidRPr="00B744FC" w:rsidRDefault="00B744FC">
      <w:pPr>
        <w:pStyle w:val="TOC3"/>
        <w:rPr>
          <w:rFonts w:asciiTheme="minorHAnsi" w:eastAsiaTheme="minorEastAsia" w:hAnsiTheme="minorHAnsi" w:cstheme="minorBidi"/>
          <w:sz w:val="22"/>
          <w:szCs w:val="22"/>
          <w:lang w:val="en-US" w:eastAsia="it-IT"/>
        </w:rPr>
      </w:pPr>
      <w:r w:rsidRPr="00CD3550">
        <w:rPr>
          <w:lang w:val="en-US"/>
        </w:rPr>
        <w:t>4.3.1</w:t>
      </w:r>
      <w:r w:rsidRPr="00CD3550">
        <w:rPr>
          <w:lang w:val="en-US"/>
        </w:rPr>
        <w:tab/>
      </w:r>
      <w:r>
        <w:t>Demography</w:t>
      </w:r>
      <w:r>
        <w:tab/>
      </w:r>
      <w:r>
        <w:fldChar w:fldCharType="begin"/>
      </w:r>
      <w:r>
        <w:instrText xml:space="preserve"> PAGEREF _Toc375054166 \h </w:instrText>
      </w:r>
      <w:r>
        <w:fldChar w:fldCharType="separate"/>
      </w:r>
      <w:r>
        <w:t>12</w:t>
      </w:r>
      <w:r>
        <w:fldChar w:fldCharType="end"/>
      </w:r>
    </w:p>
    <w:p w:rsidR="00B744FC" w:rsidRPr="00B744FC" w:rsidRDefault="00B744FC">
      <w:pPr>
        <w:pStyle w:val="TOC3"/>
        <w:rPr>
          <w:rFonts w:asciiTheme="minorHAnsi" w:eastAsiaTheme="minorEastAsia" w:hAnsiTheme="minorHAnsi" w:cstheme="minorBidi"/>
          <w:sz w:val="22"/>
          <w:szCs w:val="22"/>
          <w:lang w:val="en-US" w:eastAsia="it-IT"/>
        </w:rPr>
      </w:pPr>
      <w:r w:rsidRPr="00CD3550">
        <w:rPr>
          <w:lang w:val="en-US"/>
        </w:rPr>
        <w:t>4.3.2</w:t>
      </w:r>
      <w:r w:rsidRPr="00CD3550">
        <w:rPr>
          <w:lang w:val="en-US"/>
        </w:rPr>
        <w:tab/>
      </w:r>
      <w:r>
        <w:t>Topography</w:t>
      </w:r>
      <w:r>
        <w:tab/>
      </w:r>
      <w:r>
        <w:fldChar w:fldCharType="begin"/>
      </w:r>
      <w:r>
        <w:instrText xml:space="preserve"> PAGEREF _Toc375054167 \h </w:instrText>
      </w:r>
      <w:r>
        <w:fldChar w:fldCharType="separate"/>
      </w:r>
      <w:r>
        <w:t>12</w:t>
      </w:r>
      <w:r>
        <w:fldChar w:fldCharType="end"/>
      </w:r>
    </w:p>
    <w:p w:rsidR="00B744FC" w:rsidRPr="00B744FC" w:rsidRDefault="00B744FC">
      <w:pPr>
        <w:pStyle w:val="TOC3"/>
        <w:rPr>
          <w:rFonts w:asciiTheme="minorHAnsi" w:eastAsiaTheme="minorEastAsia" w:hAnsiTheme="minorHAnsi" w:cstheme="minorBidi"/>
          <w:sz w:val="22"/>
          <w:szCs w:val="22"/>
          <w:lang w:val="en-US" w:eastAsia="it-IT"/>
        </w:rPr>
      </w:pPr>
      <w:r w:rsidRPr="00CD3550">
        <w:rPr>
          <w:lang w:val="en-US"/>
        </w:rPr>
        <w:t>4.3.3</w:t>
      </w:r>
      <w:r w:rsidRPr="00CD3550">
        <w:rPr>
          <w:lang w:val="en-US"/>
        </w:rPr>
        <w:tab/>
      </w:r>
      <w:r>
        <w:t>Climate</w:t>
      </w:r>
      <w:r>
        <w:tab/>
      </w:r>
      <w:r>
        <w:fldChar w:fldCharType="begin"/>
      </w:r>
      <w:r>
        <w:instrText xml:space="preserve"> PAGEREF _Toc375054168 \h </w:instrText>
      </w:r>
      <w:r>
        <w:fldChar w:fldCharType="separate"/>
      </w:r>
      <w:r>
        <w:t>12</w:t>
      </w:r>
      <w:r>
        <w:fldChar w:fldCharType="end"/>
      </w:r>
    </w:p>
    <w:p w:rsidR="00B744FC" w:rsidRPr="00B744FC" w:rsidRDefault="00B744FC">
      <w:pPr>
        <w:pStyle w:val="TOC3"/>
        <w:rPr>
          <w:rFonts w:asciiTheme="minorHAnsi" w:eastAsiaTheme="minorEastAsia" w:hAnsiTheme="minorHAnsi" w:cstheme="minorBidi"/>
          <w:sz w:val="22"/>
          <w:szCs w:val="22"/>
          <w:lang w:val="en-US" w:eastAsia="it-IT"/>
        </w:rPr>
      </w:pPr>
      <w:r w:rsidRPr="00CD3550">
        <w:rPr>
          <w:lang w:val="en-US"/>
        </w:rPr>
        <w:t>4.3.4</w:t>
      </w:r>
      <w:r w:rsidRPr="00CD3550">
        <w:rPr>
          <w:lang w:val="en-US"/>
        </w:rPr>
        <w:tab/>
      </w:r>
      <w:r>
        <w:t>Optional classification classes</w:t>
      </w:r>
      <w:r>
        <w:tab/>
      </w:r>
      <w:r>
        <w:fldChar w:fldCharType="begin"/>
      </w:r>
      <w:r>
        <w:instrText xml:space="preserve"> PAGEREF _Toc375054169 \h </w:instrText>
      </w:r>
      <w:r>
        <w:fldChar w:fldCharType="separate"/>
      </w:r>
      <w:r>
        <w:t>13</w:t>
      </w:r>
      <w:r>
        <w:fldChar w:fldCharType="end"/>
      </w:r>
    </w:p>
    <w:p w:rsidR="00B744FC" w:rsidRPr="00B744FC" w:rsidRDefault="00B744FC">
      <w:pPr>
        <w:pStyle w:val="TOC1"/>
        <w:rPr>
          <w:rFonts w:asciiTheme="minorHAnsi" w:eastAsiaTheme="minorEastAsia" w:hAnsiTheme="minorHAnsi" w:cstheme="minorBidi"/>
          <w:szCs w:val="22"/>
          <w:lang w:val="en-US" w:eastAsia="it-IT"/>
        </w:rPr>
      </w:pPr>
      <w:r>
        <w:t>5</w:t>
      </w:r>
      <w:r>
        <w:tab/>
        <w:t>Metrics for energy efficiency assessment</w:t>
      </w:r>
      <w:r>
        <w:tab/>
      </w:r>
      <w:r>
        <w:fldChar w:fldCharType="begin"/>
      </w:r>
      <w:r>
        <w:instrText xml:space="preserve"> PAGEREF _Toc375054170 \h </w:instrText>
      </w:r>
      <w:r>
        <w:fldChar w:fldCharType="separate"/>
      </w:r>
      <w:r>
        <w:t>14</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t xml:space="preserve">5.1 </w:t>
      </w:r>
      <w:r>
        <w:tab/>
        <w:t>Energy Consumption metrics</w:t>
      </w:r>
      <w:r>
        <w:tab/>
      </w:r>
      <w:r>
        <w:fldChar w:fldCharType="begin"/>
      </w:r>
      <w:r>
        <w:instrText xml:space="preserve"> PAGEREF _Toc375054171 \h </w:instrText>
      </w:r>
      <w:r>
        <w:fldChar w:fldCharType="separate"/>
      </w:r>
      <w:r>
        <w:t>14</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t xml:space="preserve">5.2 </w:t>
      </w:r>
      <w:r>
        <w:tab/>
        <w:t>Performance metrics</w:t>
      </w:r>
      <w:r>
        <w:tab/>
      </w:r>
      <w:r>
        <w:fldChar w:fldCharType="begin"/>
      </w:r>
      <w:r>
        <w:instrText xml:space="preserve"> PAGEREF _Toc375054172 \h </w:instrText>
      </w:r>
      <w:r>
        <w:fldChar w:fldCharType="separate"/>
      </w:r>
      <w:r>
        <w:t>14</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t xml:space="preserve">5.3  </w:t>
      </w:r>
      <w:r>
        <w:tab/>
        <w:t>Energy efficiency metrics</w:t>
      </w:r>
      <w:r>
        <w:tab/>
      </w:r>
      <w:r>
        <w:fldChar w:fldCharType="begin"/>
      </w:r>
      <w:r>
        <w:instrText xml:space="preserve"> PAGEREF _Toc375054173 \h </w:instrText>
      </w:r>
      <w:r>
        <w:fldChar w:fldCharType="separate"/>
      </w:r>
      <w:r>
        <w:t>14</w:t>
      </w:r>
      <w:r>
        <w:fldChar w:fldCharType="end"/>
      </w:r>
    </w:p>
    <w:p w:rsidR="00B744FC" w:rsidRPr="00B744FC" w:rsidRDefault="00B744FC">
      <w:pPr>
        <w:pStyle w:val="TOC1"/>
        <w:rPr>
          <w:rFonts w:asciiTheme="minorHAnsi" w:eastAsiaTheme="minorEastAsia" w:hAnsiTheme="minorHAnsi" w:cstheme="minorBidi"/>
          <w:szCs w:val="22"/>
          <w:lang w:val="en-US" w:eastAsia="it-IT"/>
        </w:rPr>
      </w:pPr>
      <w:r>
        <w:t>6</w:t>
      </w:r>
      <w:r>
        <w:tab/>
        <w:t>Measurement of energy efficiency</w:t>
      </w:r>
      <w:r>
        <w:tab/>
      </w:r>
      <w:r>
        <w:fldChar w:fldCharType="begin"/>
      </w:r>
      <w:r>
        <w:instrText xml:space="preserve"> PAGEREF _Toc375054174 \h </w:instrText>
      </w:r>
      <w:r>
        <w:fldChar w:fldCharType="separate"/>
      </w:r>
      <w:r>
        <w:t>16</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rsidRPr="00CD3550">
        <w:rPr>
          <w:lang w:val="en-US"/>
        </w:rPr>
        <w:t xml:space="preserve">6.1 </w:t>
      </w:r>
      <w:r w:rsidRPr="00CD3550">
        <w:rPr>
          <w:lang w:val="en-US"/>
        </w:rPr>
        <w:tab/>
        <w:t>Time duration of the measurement</w:t>
      </w:r>
      <w:r>
        <w:tab/>
      </w:r>
      <w:r>
        <w:fldChar w:fldCharType="begin"/>
      </w:r>
      <w:r>
        <w:instrText xml:space="preserve"> PAGEREF _Toc375054175 \h </w:instrText>
      </w:r>
      <w:r>
        <w:fldChar w:fldCharType="separate"/>
      </w:r>
      <w:r>
        <w:t>16</w:t>
      </w:r>
      <w:r>
        <w:fldChar w:fldCharType="end"/>
      </w:r>
    </w:p>
    <w:p w:rsidR="00B744FC" w:rsidRPr="00B744FC" w:rsidRDefault="00B744FC">
      <w:pPr>
        <w:pStyle w:val="TOC2"/>
        <w:rPr>
          <w:rFonts w:asciiTheme="minorHAnsi" w:eastAsiaTheme="minorEastAsia" w:hAnsiTheme="minorHAnsi" w:cstheme="minorBidi"/>
          <w:sz w:val="22"/>
          <w:szCs w:val="22"/>
          <w:lang w:val="en-US" w:eastAsia="it-IT"/>
        </w:rPr>
      </w:pPr>
      <w:r w:rsidRPr="00CD3550">
        <w:rPr>
          <w:lang w:val="en-US"/>
        </w:rPr>
        <w:t>6.2</w:t>
      </w:r>
      <w:r w:rsidRPr="00CD3550">
        <w:rPr>
          <w:lang w:val="en-US"/>
        </w:rPr>
        <w:tab/>
        <w:t>Measurement procedures</w:t>
      </w:r>
      <w:r>
        <w:tab/>
      </w:r>
      <w:r>
        <w:fldChar w:fldCharType="begin"/>
      </w:r>
      <w:r>
        <w:instrText xml:space="preserve"> PAGEREF _Toc375054176 \h </w:instrText>
      </w:r>
      <w:r>
        <w:fldChar w:fldCharType="separate"/>
      </w:r>
      <w:r>
        <w:t>16</w:t>
      </w:r>
      <w:r>
        <w:fldChar w:fldCharType="end"/>
      </w:r>
    </w:p>
    <w:p w:rsidR="00B744FC" w:rsidRPr="00B744FC" w:rsidRDefault="00B744FC">
      <w:pPr>
        <w:pStyle w:val="TOC3"/>
        <w:rPr>
          <w:rFonts w:asciiTheme="minorHAnsi" w:eastAsiaTheme="minorEastAsia" w:hAnsiTheme="minorHAnsi" w:cstheme="minorBidi"/>
          <w:sz w:val="22"/>
          <w:szCs w:val="22"/>
          <w:lang w:val="en-US" w:eastAsia="it-IT"/>
        </w:rPr>
      </w:pPr>
      <w:r w:rsidRPr="00CD3550">
        <w:rPr>
          <w:lang w:val="en-US"/>
        </w:rPr>
        <w:t>6.2.1</w:t>
      </w:r>
      <w:r w:rsidRPr="00CD3550">
        <w:rPr>
          <w:lang w:val="en-US"/>
        </w:rPr>
        <w:tab/>
      </w:r>
      <w:r>
        <w:t>Measurement of Energy Consumption</w:t>
      </w:r>
      <w:r>
        <w:tab/>
      </w:r>
      <w:r>
        <w:fldChar w:fldCharType="begin"/>
      </w:r>
      <w:r>
        <w:instrText xml:space="preserve"> PAGEREF _Toc375054177 \h </w:instrText>
      </w:r>
      <w:r>
        <w:fldChar w:fldCharType="separate"/>
      </w:r>
      <w:r>
        <w:t>16</w:t>
      </w:r>
      <w:r>
        <w:fldChar w:fldCharType="end"/>
      </w:r>
    </w:p>
    <w:p w:rsidR="00B744FC" w:rsidRPr="00B744FC" w:rsidRDefault="00B744FC">
      <w:pPr>
        <w:pStyle w:val="TOC3"/>
        <w:rPr>
          <w:rFonts w:asciiTheme="minorHAnsi" w:eastAsiaTheme="minorEastAsia" w:hAnsiTheme="minorHAnsi" w:cstheme="minorBidi"/>
          <w:sz w:val="22"/>
          <w:szCs w:val="22"/>
          <w:lang w:val="en-US" w:eastAsia="it-IT"/>
        </w:rPr>
      </w:pPr>
      <w:r>
        <w:t>6.</w:t>
      </w:r>
      <w:r w:rsidRPr="00CD3550">
        <w:rPr>
          <w:lang w:val="en-US"/>
        </w:rPr>
        <w:t>2.</w:t>
      </w:r>
      <w:r>
        <w:t>2</w:t>
      </w:r>
      <w:r>
        <w:tab/>
        <w:t>Measurement of capacity (data)</w:t>
      </w:r>
      <w:r>
        <w:tab/>
      </w:r>
      <w:r>
        <w:fldChar w:fldCharType="begin"/>
      </w:r>
      <w:r>
        <w:instrText xml:space="preserve"> PAGEREF _Toc375054178 \h </w:instrText>
      </w:r>
      <w:r>
        <w:fldChar w:fldCharType="separate"/>
      </w:r>
      <w:r>
        <w:t>16</w:t>
      </w:r>
      <w:r>
        <w:fldChar w:fldCharType="end"/>
      </w:r>
    </w:p>
    <w:p w:rsidR="00B744FC" w:rsidRPr="00B744FC" w:rsidRDefault="00B744FC">
      <w:pPr>
        <w:pStyle w:val="TOC3"/>
        <w:rPr>
          <w:rFonts w:asciiTheme="minorHAnsi" w:eastAsiaTheme="minorEastAsia" w:hAnsiTheme="minorHAnsi" w:cstheme="minorBidi"/>
          <w:sz w:val="22"/>
          <w:szCs w:val="22"/>
          <w:lang w:val="en-US" w:eastAsia="it-IT"/>
        </w:rPr>
      </w:pPr>
      <w:r>
        <w:t>6.</w:t>
      </w:r>
      <w:r w:rsidRPr="00CD3550">
        <w:rPr>
          <w:lang w:val="en-US"/>
        </w:rPr>
        <w:t>2.</w:t>
      </w:r>
      <w:r>
        <w:t>3</w:t>
      </w:r>
      <w:r>
        <w:tab/>
      </w:r>
      <w:r w:rsidRPr="00CD3550">
        <w:rPr>
          <w:lang w:val="en-US"/>
        </w:rPr>
        <w:t>Determination of coverage area</w:t>
      </w:r>
      <w:r>
        <w:tab/>
      </w:r>
      <w:r>
        <w:fldChar w:fldCharType="begin"/>
      </w:r>
      <w:r>
        <w:instrText xml:space="preserve"> PAGEREF _Toc375054179 \h </w:instrText>
      </w:r>
      <w:r>
        <w:fldChar w:fldCharType="separate"/>
      </w:r>
      <w:r>
        <w:t>17</w:t>
      </w:r>
      <w:r>
        <w:fldChar w:fldCharType="end"/>
      </w:r>
    </w:p>
    <w:p w:rsidR="00B744FC" w:rsidRPr="00B744FC" w:rsidRDefault="00B744FC">
      <w:pPr>
        <w:pStyle w:val="TOC4"/>
        <w:rPr>
          <w:rFonts w:asciiTheme="minorHAnsi" w:eastAsiaTheme="minorEastAsia" w:hAnsiTheme="minorHAnsi" w:cstheme="minorBidi"/>
          <w:sz w:val="22"/>
          <w:szCs w:val="22"/>
          <w:lang w:val="en-US" w:eastAsia="it-IT"/>
        </w:rPr>
      </w:pPr>
      <w:r>
        <w:t>6.2.3.1 Geographic coverage area</w:t>
      </w:r>
      <w:r>
        <w:tab/>
      </w:r>
      <w:r>
        <w:fldChar w:fldCharType="begin"/>
      </w:r>
      <w:r>
        <w:instrText xml:space="preserve"> PAGEREF _Toc375054180 \h </w:instrText>
      </w:r>
      <w:r>
        <w:fldChar w:fldCharType="separate"/>
      </w:r>
      <w:r>
        <w:t>17</w:t>
      </w:r>
      <w:r>
        <w:fldChar w:fldCharType="end"/>
      </w:r>
    </w:p>
    <w:p w:rsidR="00B744FC" w:rsidRPr="00B744FC" w:rsidRDefault="00B744FC">
      <w:pPr>
        <w:pStyle w:val="TOC4"/>
        <w:rPr>
          <w:rFonts w:asciiTheme="minorHAnsi" w:eastAsiaTheme="minorEastAsia" w:hAnsiTheme="minorHAnsi" w:cstheme="minorBidi"/>
          <w:sz w:val="22"/>
          <w:szCs w:val="22"/>
          <w:lang w:val="en-US" w:eastAsia="it-IT"/>
        </w:rPr>
      </w:pPr>
      <w:r>
        <w:t>6.2.3.2 Coverage ratio / effective coverage area</w:t>
      </w:r>
      <w:r>
        <w:tab/>
      </w:r>
      <w:r>
        <w:fldChar w:fldCharType="begin"/>
      </w:r>
      <w:r>
        <w:instrText xml:space="preserve"> PAGEREF _Toc375054181 \h </w:instrText>
      </w:r>
      <w:r>
        <w:fldChar w:fldCharType="separate"/>
      </w:r>
      <w:r>
        <w:t>17</w:t>
      </w:r>
      <w:r>
        <w:fldChar w:fldCharType="end"/>
      </w:r>
    </w:p>
    <w:p w:rsidR="00B744FC" w:rsidRPr="00B744FC" w:rsidRDefault="00B744FC">
      <w:pPr>
        <w:pStyle w:val="TOC1"/>
        <w:rPr>
          <w:rFonts w:asciiTheme="minorHAnsi" w:eastAsiaTheme="minorEastAsia" w:hAnsiTheme="minorHAnsi" w:cstheme="minorBidi"/>
          <w:szCs w:val="22"/>
          <w:lang w:val="en-US" w:eastAsia="it-IT"/>
        </w:rPr>
      </w:pPr>
      <w:r>
        <w:t>7</w:t>
      </w:r>
      <w:r>
        <w:tab/>
        <w:t>Extrapolation for global networks</w:t>
      </w:r>
      <w:r>
        <w:tab/>
      </w:r>
      <w:r>
        <w:fldChar w:fldCharType="begin"/>
      </w:r>
      <w:r>
        <w:instrText xml:space="preserve"> PAGEREF _Toc375054182 \h </w:instrText>
      </w:r>
      <w:r>
        <w:fldChar w:fldCharType="separate"/>
      </w:r>
      <w:r>
        <w:t>17</w:t>
      </w:r>
      <w:r>
        <w:fldChar w:fldCharType="end"/>
      </w:r>
    </w:p>
    <w:p w:rsidR="00B744FC" w:rsidRPr="00B744FC" w:rsidRDefault="00B744FC">
      <w:pPr>
        <w:pStyle w:val="TOC1"/>
        <w:rPr>
          <w:rFonts w:asciiTheme="minorHAnsi" w:eastAsiaTheme="minorEastAsia" w:hAnsiTheme="minorHAnsi" w:cstheme="minorBidi"/>
          <w:szCs w:val="22"/>
          <w:lang w:val="en-US" w:eastAsia="it-IT"/>
        </w:rPr>
      </w:pPr>
      <w:r>
        <w:t>8</w:t>
      </w:r>
      <w:r>
        <w:tab/>
        <w:t>Assessment report</w:t>
      </w:r>
      <w:r>
        <w:tab/>
      </w:r>
      <w:r>
        <w:fldChar w:fldCharType="begin"/>
      </w:r>
      <w:r>
        <w:instrText xml:space="preserve"> PAGEREF _Toc375054183 \h </w:instrText>
      </w:r>
      <w:r>
        <w:fldChar w:fldCharType="separate"/>
      </w:r>
      <w:r>
        <w:t>17</w:t>
      </w:r>
      <w:r>
        <w:fldChar w:fldCharType="end"/>
      </w:r>
    </w:p>
    <w:p w:rsidR="00B744FC" w:rsidRDefault="00B744FC">
      <w:pPr>
        <w:pStyle w:val="TOC1"/>
        <w:rPr>
          <w:rFonts w:asciiTheme="minorHAnsi" w:eastAsiaTheme="minorEastAsia" w:hAnsiTheme="minorHAnsi" w:cstheme="minorBidi"/>
          <w:szCs w:val="22"/>
          <w:lang w:val="it-IT" w:eastAsia="it-IT"/>
        </w:rPr>
      </w:pPr>
      <w:r>
        <w:t>History</w:t>
      </w:r>
      <w:r>
        <w:tab/>
      </w:r>
      <w:r>
        <w:fldChar w:fldCharType="begin"/>
      </w:r>
      <w:r>
        <w:instrText xml:space="preserve"> PAGEREF _Toc375054184 \h </w:instrText>
      </w:r>
      <w:r>
        <w:fldChar w:fldCharType="separate"/>
      </w:r>
      <w:r>
        <w:t>22</w:t>
      </w:r>
      <w:r>
        <w:fldChar w:fldCharType="end"/>
      </w:r>
    </w:p>
    <w:p w:rsidR="00CB3396" w:rsidRDefault="00B31BB0">
      <w:r>
        <w:fldChar w:fldCharType="end"/>
      </w:r>
    </w:p>
    <w:p w:rsidR="00CB3396" w:rsidRDefault="00CB3396">
      <w:pPr>
        <w:pStyle w:val="Heading1"/>
      </w:pPr>
      <w:r>
        <w:br w:type="page"/>
      </w:r>
      <w:bookmarkStart w:id="16" w:name="_Toc300915103"/>
      <w:bookmarkStart w:id="17" w:name="_Toc338076580"/>
      <w:bookmarkStart w:id="18" w:name="_Toc338076665"/>
      <w:bookmarkStart w:id="19" w:name="_Toc338144135"/>
      <w:bookmarkStart w:id="20" w:name="_Toc338144194"/>
      <w:bookmarkStart w:id="21" w:name="_Toc338144391"/>
      <w:bookmarkStart w:id="22" w:name="_Toc375054151"/>
      <w:r>
        <w:lastRenderedPageBreak/>
        <w:t>Intellectual Property Rights</w:t>
      </w:r>
      <w:bookmarkEnd w:id="16"/>
      <w:bookmarkEnd w:id="17"/>
      <w:bookmarkEnd w:id="18"/>
      <w:bookmarkEnd w:id="19"/>
      <w:bookmarkEnd w:id="20"/>
      <w:bookmarkEnd w:id="21"/>
      <w:bookmarkEnd w:id="22"/>
    </w:p>
    <w:p w:rsidR="00C46627" w:rsidRPr="00E47F9A" w:rsidRDefault="00C46627" w:rsidP="00C46627">
      <w:r w:rsidRPr="00E47F9A">
        <w:t xml:space="preserve">IPRs essential or potentially essential to the present document may have been declared to ETSI. The information pertaining to these essential IPRs, if any, is publicly available for </w:t>
      </w:r>
      <w:r w:rsidRPr="00E47F9A">
        <w:rPr>
          <w:b/>
        </w:rPr>
        <w:t>ETSI members and non-members</w:t>
      </w:r>
      <w:r w:rsidRPr="00E47F9A">
        <w:t xml:space="preserve">, and can be found in ETSI SR 000 314: </w:t>
      </w:r>
      <w:r w:rsidRPr="00E47F9A">
        <w:rPr>
          <w:i/>
        </w:rPr>
        <w:t>"Intellectual Property Rights (IPRs); Essential, or potentially Essential, IPRs notified to ETSI in respect of ETSI standards"</w:t>
      </w:r>
      <w:r w:rsidRPr="00E47F9A">
        <w:t>, which is available from the ETSI Secretariat. Latest updates are available on the ETSI Web server (</w:t>
      </w:r>
      <w:r w:rsidR="00E54F73">
        <w:rPr>
          <w:color w:val="0000FF"/>
          <w:u w:val="single"/>
        </w:rPr>
        <w:t>http://ipr.etsi.org</w:t>
      </w:r>
      <w:r w:rsidRPr="00E47F9A">
        <w:t>).</w:t>
      </w:r>
    </w:p>
    <w:p w:rsidR="00C46627" w:rsidRPr="00E47F9A" w:rsidRDefault="00C46627" w:rsidP="00C46627">
      <w:r w:rsidRPr="00E47F9A">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CB3396" w:rsidRDefault="00CB3396">
      <w:pPr>
        <w:pStyle w:val="Heading1"/>
      </w:pPr>
      <w:bookmarkStart w:id="23" w:name="_Toc300915104"/>
      <w:bookmarkStart w:id="24" w:name="_Toc338076581"/>
      <w:bookmarkStart w:id="25" w:name="_Toc338076666"/>
      <w:bookmarkStart w:id="26" w:name="_Toc338144136"/>
      <w:bookmarkStart w:id="27" w:name="_Toc338144195"/>
      <w:bookmarkStart w:id="28" w:name="_Toc338144392"/>
      <w:bookmarkStart w:id="29" w:name="_Toc375054152"/>
      <w:r>
        <w:t>Foreword</w:t>
      </w:r>
      <w:bookmarkEnd w:id="23"/>
      <w:bookmarkEnd w:id="24"/>
      <w:bookmarkEnd w:id="25"/>
      <w:bookmarkEnd w:id="26"/>
      <w:bookmarkEnd w:id="27"/>
      <w:bookmarkEnd w:id="28"/>
      <w:bookmarkEnd w:id="29"/>
    </w:p>
    <w:p w:rsidR="00CB3396" w:rsidRDefault="00CB3396"/>
    <w:p w:rsidR="006C3210" w:rsidRDefault="006C3210" w:rsidP="006C3210"/>
    <w:p w:rsidR="00CB3396" w:rsidRDefault="00CB3396">
      <w:pPr>
        <w:pStyle w:val="Heading1"/>
      </w:pPr>
      <w:bookmarkStart w:id="30" w:name="_Toc300915106"/>
      <w:bookmarkStart w:id="31" w:name="_Toc338076583"/>
      <w:bookmarkStart w:id="32" w:name="_Toc338076668"/>
      <w:bookmarkStart w:id="33" w:name="_Toc338144138"/>
      <w:bookmarkStart w:id="34" w:name="_Toc338144197"/>
      <w:bookmarkStart w:id="35" w:name="_Toc338144394"/>
      <w:bookmarkStart w:id="36" w:name="_Toc375054153"/>
      <w:r>
        <w:t>Introduction</w:t>
      </w:r>
      <w:bookmarkEnd w:id="30"/>
      <w:bookmarkEnd w:id="31"/>
      <w:bookmarkEnd w:id="32"/>
      <w:bookmarkEnd w:id="33"/>
      <w:bookmarkEnd w:id="34"/>
      <w:bookmarkEnd w:id="35"/>
      <w:bookmarkEnd w:id="36"/>
    </w:p>
    <w:p w:rsidR="00AA65F0" w:rsidRDefault="00C601D0" w:rsidP="00AA65F0">
      <w:r>
        <w:t xml:space="preserve">The items included in the following table are stable in this version.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528"/>
      </w:tblGrid>
      <w:tr w:rsidR="00C601D0" w:rsidTr="00C601D0">
        <w:trPr>
          <w:jc w:val="center"/>
        </w:trPr>
        <w:tc>
          <w:tcPr>
            <w:tcW w:w="3936" w:type="dxa"/>
            <w:shd w:val="clear" w:color="auto" w:fill="auto"/>
            <w:vAlign w:val="center"/>
          </w:tcPr>
          <w:p w:rsidR="00C601D0" w:rsidRPr="00F802CA" w:rsidRDefault="00C601D0" w:rsidP="00501080">
            <w:pPr>
              <w:pStyle w:val="TAH"/>
            </w:pPr>
            <w:r>
              <w:t>Item</w:t>
            </w:r>
          </w:p>
        </w:tc>
        <w:tc>
          <w:tcPr>
            <w:tcW w:w="5528" w:type="dxa"/>
            <w:shd w:val="clear" w:color="auto" w:fill="auto"/>
            <w:vAlign w:val="center"/>
          </w:tcPr>
          <w:p w:rsidR="00C601D0" w:rsidRPr="00F802CA" w:rsidRDefault="00C601D0" w:rsidP="00501080">
            <w:pPr>
              <w:pStyle w:val="TAH"/>
            </w:pPr>
            <w:r>
              <w:t>Section in the ES</w:t>
            </w:r>
          </w:p>
        </w:tc>
      </w:tr>
      <w:tr w:rsidR="00C601D0" w:rsidTr="00C601D0">
        <w:trPr>
          <w:jc w:val="center"/>
        </w:trPr>
        <w:tc>
          <w:tcPr>
            <w:tcW w:w="3936" w:type="dxa"/>
            <w:shd w:val="clear" w:color="auto" w:fill="auto"/>
            <w:vAlign w:val="center"/>
          </w:tcPr>
          <w:p w:rsidR="00C601D0" w:rsidRDefault="00C601D0" w:rsidP="00501080">
            <w:pPr>
              <w:pStyle w:val="TAC"/>
            </w:pPr>
            <w:r>
              <w:t>Scope of the ES</w:t>
            </w:r>
          </w:p>
        </w:tc>
        <w:tc>
          <w:tcPr>
            <w:tcW w:w="5528" w:type="dxa"/>
            <w:shd w:val="clear" w:color="auto" w:fill="auto"/>
            <w:vAlign w:val="center"/>
          </w:tcPr>
          <w:p w:rsidR="00C601D0" w:rsidRDefault="00C601D0" w:rsidP="00501080">
            <w:pPr>
              <w:pStyle w:val="TAC"/>
            </w:pPr>
            <w:r>
              <w:t>Clause 1</w:t>
            </w:r>
          </w:p>
        </w:tc>
      </w:tr>
      <w:tr w:rsidR="00C601D0" w:rsidTr="00C601D0">
        <w:trPr>
          <w:jc w:val="center"/>
        </w:trPr>
        <w:tc>
          <w:tcPr>
            <w:tcW w:w="3936" w:type="dxa"/>
            <w:shd w:val="clear" w:color="auto" w:fill="auto"/>
            <w:vAlign w:val="center"/>
          </w:tcPr>
          <w:p w:rsidR="00C601D0" w:rsidRDefault="00C601D0" w:rsidP="00501080">
            <w:pPr>
              <w:pStyle w:val="TAC"/>
            </w:pPr>
            <w:r>
              <w:t>Metrics and methods applied to sub-networks and extrapolation for larger networks</w:t>
            </w:r>
            <w:r w:rsidR="00804873">
              <w:t>; demography, topography and climate classes</w:t>
            </w:r>
          </w:p>
        </w:tc>
        <w:tc>
          <w:tcPr>
            <w:tcW w:w="5528" w:type="dxa"/>
            <w:shd w:val="clear" w:color="auto" w:fill="auto"/>
            <w:vAlign w:val="center"/>
          </w:tcPr>
          <w:p w:rsidR="00C601D0" w:rsidRDefault="00C601D0" w:rsidP="00804873">
            <w:pPr>
              <w:pStyle w:val="TAC"/>
            </w:pPr>
            <w:r>
              <w:t xml:space="preserve">Clause 1 </w:t>
            </w:r>
            <w:r w:rsidR="00804873">
              <w:t>and Clause 4</w:t>
            </w:r>
          </w:p>
        </w:tc>
      </w:tr>
      <w:tr w:rsidR="00C601D0" w:rsidTr="00C601D0">
        <w:trPr>
          <w:jc w:val="center"/>
        </w:trPr>
        <w:tc>
          <w:tcPr>
            <w:tcW w:w="3936" w:type="dxa"/>
            <w:shd w:val="clear" w:color="auto" w:fill="auto"/>
            <w:vAlign w:val="center"/>
          </w:tcPr>
          <w:p w:rsidR="00C601D0" w:rsidRDefault="00C601D0" w:rsidP="00501080">
            <w:pPr>
              <w:pStyle w:val="TAC"/>
            </w:pPr>
            <w:r>
              <w:t>Metric based on EE as a ratio between DV and EC (i.e. EE</w:t>
            </w:r>
            <w:r w:rsidRPr="00C601D0">
              <w:rPr>
                <w:vertAlign w:val="subscript"/>
              </w:rPr>
              <w:t>MN,D</w:t>
            </w:r>
            <w:r>
              <w:t>)</w:t>
            </w:r>
          </w:p>
        </w:tc>
        <w:tc>
          <w:tcPr>
            <w:tcW w:w="5528" w:type="dxa"/>
            <w:shd w:val="clear" w:color="auto" w:fill="auto"/>
            <w:vAlign w:val="center"/>
          </w:tcPr>
          <w:p w:rsidR="00C601D0" w:rsidRDefault="00C601D0" w:rsidP="00501080">
            <w:pPr>
              <w:pStyle w:val="TAC"/>
            </w:pPr>
            <w:r>
              <w:t>Clause 5 formula (3)</w:t>
            </w:r>
          </w:p>
        </w:tc>
      </w:tr>
      <w:tr w:rsidR="00804873" w:rsidTr="00C601D0">
        <w:trPr>
          <w:jc w:val="center"/>
        </w:trPr>
        <w:tc>
          <w:tcPr>
            <w:tcW w:w="3936" w:type="dxa"/>
            <w:shd w:val="clear" w:color="auto" w:fill="auto"/>
            <w:vAlign w:val="center"/>
          </w:tcPr>
          <w:p w:rsidR="00804873" w:rsidRDefault="00804873" w:rsidP="00501080">
            <w:pPr>
              <w:pStyle w:val="TAC"/>
            </w:pPr>
            <w:r>
              <w:t>Metric of EC in MN</w:t>
            </w:r>
          </w:p>
        </w:tc>
        <w:tc>
          <w:tcPr>
            <w:tcW w:w="5528" w:type="dxa"/>
            <w:shd w:val="clear" w:color="auto" w:fill="auto"/>
            <w:vAlign w:val="center"/>
          </w:tcPr>
          <w:p w:rsidR="00804873" w:rsidRDefault="00804873" w:rsidP="00501080">
            <w:pPr>
              <w:pStyle w:val="TAC"/>
            </w:pPr>
            <w:r>
              <w:t>Clause 5 formula (1)</w:t>
            </w:r>
          </w:p>
        </w:tc>
      </w:tr>
      <w:tr w:rsidR="00804873" w:rsidTr="00C601D0">
        <w:trPr>
          <w:jc w:val="center"/>
        </w:trPr>
        <w:tc>
          <w:tcPr>
            <w:tcW w:w="3936" w:type="dxa"/>
            <w:shd w:val="clear" w:color="auto" w:fill="auto"/>
            <w:vAlign w:val="center"/>
          </w:tcPr>
          <w:p w:rsidR="00804873" w:rsidRDefault="00263DAE" w:rsidP="00501080">
            <w:pPr>
              <w:pStyle w:val="TAC"/>
            </w:pPr>
            <w:r>
              <w:t>Time duration of the Test</w:t>
            </w:r>
          </w:p>
        </w:tc>
        <w:tc>
          <w:tcPr>
            <w:tcW w:w="5528" w:type="dxa"/>
            <w:shd w:val="clear" w:color="auto" w:fill="auto"/>
            <w:vAlign w:val="center"/>
          </w:tcPr>
          <w:p w:rsidR="00804873" w:rsidRDefault="00263DAE" w:rsidP="00501080">
            <w:pPr>
              <w:pStyle w:val="TAC"/>
            </w:pPr>
            <w:r>
              <w:t>Clause 6.1</w:t>
            </w:r>
          </w:p>
        </w:tc>
      </w:tr>
      <w:tr w:rsidR="00263DAE" w:rsidTr="00C601D0">
        <w:trPr>
          <w:jc w:val="center"/>
        </w:trPr>
        <w:tc>
          <w:tcPr>
            <w:tcW w:w="3936" w:type="dxa"/>
            <w:shd w:val="clear" w:color="auto" w:fill="auto"/>
            <w:vAlign w:val="center"/>
          </w:tcPr>
          <w:p w:rsidR="00263DAE" w:rsidRDefault="00263DAE" w:rsidP="00501080">
            <w:pPr>
              <w:pStyle w:val="TAC"/>
            </w:pPr>
            <w:r>
              <w:t>Introduction of Reporting Tables (content of the Tables to be checked and updated in next drafts)</w:t>
            </w:r>
          </w:p>
        </w:tc>
        <w:tc>
          <w:tcPr>
            <w:tcW w:w="5528" w:type="dxa"/>
            <w:shd w:val="clear" w:color="auto" w:fill="auto"/>
            <w:vAlign w:val="center"/>
          </w:tcPr>
          <w:p w:rsidR="00263DAE" w:rsidRDefault="00263DAE" w:rsidP="00501080">
            <w:pPr>
              <w:pStyle w:val="TAC"/>
            </w:pPr>
            <w:r>
              <w:t>Clause 8</w:t>
            </w:r>
          </w:p>
        </w:tc>
      </w:tr>
    </w:tbl>
    <w:p w:rsidR="00C601D0" w:rsidRDefault="00C601D0" w:rsidP="00AA65F0"/>
    <w:p w:rsidR="00C601D0" w:rsidRPr="00AA65F0" w:rsidRDefault="00C601D0" w:rsidP="00AA65F0">
      <w:r w:rsidRPr="00C601D0">
        <w:t>(Note: this table will be removed once the whole ES will be declared stable).</w:t>
      </w:r>
    </w:p>
    <w:p w:rsidR="00CE77F3" w:rsidRDefault="00CB3396" w:rsidP="00CE77F3">
      <w:pPr>
        <w:pStyle w:val="Heading1"/>
      </w:pPr>
      <w:r>
        <w:br w:type="page"/>
      </w:r>
      <w:bookmarkStart w:id="37" w:name="_Toc300915107"/>
      <w:bookmarkStart w:id="38" w:name="_Toc338076584"/>
      <w:bookmarkStart w:id="39" w:name="_Toc338076669"/>
      <w:bookmarkStart w:id="40" w:name="_Toc338144139"/>
      <w:bookmarkStart w:id="41" w:name="_Toc338144198"/>
      <w:bookmarkStart w:id="42" w:name="_Toc338144395"/>
      <w:bookmarkStart w:id="43" w:name="_Toc375054154"/>
      <w:r w:rsidR="00CE77F3">
        <w:lastRenderedPageBreak/>
        <w:t>1</w:t>
      </w:r>
      <w:r w:rsidR="00CE77F3">
        <w:tab/>
        <w:t>Scope</w:t>
      </w:r>
      <w:bookmarkEnd w:id="37"/>
      <w:bookmarkEnd w:id="38"/>
      <w:bookmarkEnd w:id="39"/>
      <w:bookmarkEnd w:id="40"/>
      <w:bookmarkEnd w:id="41"/>
      <w:bookmarkEnd w:id="42"/>
      <w:bookmarkEnd w:id="43"/>
    </w:p>
    <w:p w:rsidR="008942B6" w:rsidRPr="00D73FE6" w:rsidRDefault="008942B6" w:rsidP="008942B6">
      <w:r w:rsidRPr="00D73FE6">
        <w:t>The present document is aimed to define the topology and level of analysis to assess the energy efficiency of mobile networks. Within the scope of the document there is the radio access part of the mobile networks, and namely there are radio base stations, backhauling systems, radio controllers and other infrastructure radio site equipment. The covered technology are GSM, UMTS, LTE (</w:t>
      </w:r>
      <w:r w:rsidR="00FB7174" w:rsidRPr="00D73FE6">
        <w:t xml:space="preserve">including </w:t>
      </w:r>
      <w:r w:rsidRPr="00D73FE6">
        <w:t xml:space="preserve">LTE-A). In particular the document  defines metrics for network Energy Efficiency and methods for assessing (and measuring) Energy Efficiency in operational networks. The purpose of the specification is to allow comparisons of the networks energy efficiency. </w:t>
      </w:r>
    </w:p>
    <w:p w:rsidR="008942B6" w:rsidRPr="00D73FE6" w:rsidRDefault="008942B6" w:rsidP="008942B6">
      <w:r w:rsidRPr="00D73FE6">
        <w:t>The present document deals with both homogeneous and heterogeneous “network” considering  a network whose size and scale could be defined by topologic, geographic or demographic boundaries. For networks defined by topologic boundaries, the smallest network covered by this document consists of a control node</w:t>
      </w:r>
      <w:r w:rsidR="00C33F9F">
        <w:t xml:space="preserve"> (whenever applicable)</w:t>
      </w:r>
      <w:r w:rsidRPr="00D73FE6">
        <w:t>, its supported access nodes as well as the related network elements.  Networks could be defined by geographic boundaries, such as city-wide, national or continental networks and could be defined by demographic boundaries, such as urban or rural networks.</w:t>
      </w:r>
    </w:p>
    <w:p w:rsidR="008942B6" w:rsidRPr="00D73FE6" w:rsidRDefault="008942B6" w:rsidP="008942B6">
      <w:r w:rsidRPr="00D73FE6">
        <w:t xml:space="preserve">One goal is to introduce so-called “partial” networks where to measure energy efficiency in a standardized way. </w:t>
      </w:r>
      <w:r w:rsidR="00B81F15">
        <w:t>The specification extends the measurements</w:t>
      </w:r>
      <w:r w:rsidRPr="00D73FE6">
        <w:t xml:space="preserve"> to wider so-called “global” networks</w:t>
      </w:r>
      <w:r w:rsidR="00B81F15">
        <w:t xml:space="preserve"> energy efficiency estimation</w:t>
      </w:r>
      <w:r w:rsidRPr="00D73FE6">
        <w:t xml:space="preserve"> (i.e. the network in a geographic area, the network in a whole country, the network of an operator,…).</w:t>
      </w:r>
    </w:p>
    <w:p w:rsidR="00984304" w:rsidRPr="00984304" w:rsidRDefault="008942B6" w:rsidP="0016356D">
      <w:r w:rsidRPr="00D73FE6">
        <w:t>Terminal (end-user) equipment is outside the scope of this document and is not considered in the energy efficiency measurement.</w:t>
      </w:r>
      <w:r w:rsidR="00984304">
        <w:t xml:space="preserve"> </w:t>
      </w:r>
    </w:p>
    <w:p w:rsidR="00CB3396" w:rsidRDefault="00CB3396">
      <w:pPr>
        <w:pStyle w:val="Heading1"/>
      </w:pPr>
      <w:bookmarkStart w:id="44" w:name="_Toc300915108"/>
      <w:bookmarkStart w:id="45" w:name="_Toc338076585"/>
      <w:bookmarkStart w:id="46" w:name="_Toc338076670"/>
      <w:bookmarkStart w:id="47" w:name="_Toc338144140"/>
      <w:bookmarkStart w:id="48" w:name="_Toc338144199"/>
      <w:bookmarkStart w:id="49" w:name="_Toc338144396"/>
      <w:bookmarkStart w:id="50" w:name="_Toc375054155"/>
      <w:r>
        <w:t>2</w:t>
      </w:r>
      <w:r>
        <w:tab/>
        <w:t>References</w:t>
      </w:r>
      <w:bookmarkEnd w:id="44"/>
      <w:bookmarkEnd w:id="45"/>
      <w:bookmarkEnd w:id="46"/>
      <w:bookmarkEnd w:id="47"/>
      <w:bookmarkEnd w:id="48"/>
      <w:bookmarkEnd w:id="49"/>
      <w:bookmarkEnd w:id="50"/>
    </w:p>
    <w:p w:rsidR="002F0B8B" w:rsidRDefault="002F0B8B" w:rsidP="002F0B8B">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r w:rsidRPr="002C22D4">
        <w:t>reference</w:t>
      </w:r>
      <w:r>
        <w:t>s</w:t>
      </w:r>
      <w:r w:rsidRPr="002C22D4">
        <w:t>,</w:t>
      </w:r>
      <w:r>
        <w:t>only</w:t>
      </w:r>
      <w:proofErr w:type="spellEnd"/>
      <w:r>
        <w:t xml:space="preserve"> the cited version applies. For n</w:t>
      </w:r>
      <w:r w:rsidRPr="002C22D4">
        <w:t>on-specific reference</w:t>
      </w:r>
      <w:r>
        <w:t>s, the latest version of the referenced document (including any amendments) applies.</w:t>
      </w:r>
    </w:p>
    <w:p w:rsidR="00B42660" w:rsidRPr="0016356D" w:rsidRDefault="00B42660" w:rsidP="00B42660">
      <w:r w:rsidRPr="00C116CA">
        <w:t xml:space="preserve">Referenced documents which are not found to be publicly available in the expected location might be found at </w:t>
      </w:r>
      <w:hyperlink r:id="rId12" w:history="1">
        <w:r w:rsidRPr="0016356D">
          <w:rPr>
            <w:rStyle w:val="Hyperlink"/>
          </w:rPr>
          <w:t>http://docbox.etsi.org/Reference</w:t>
        </w:r>
      </w:hyperlink>
      <w:r w:rsidRPr="0016356D">
        <w:t>.</w:t>
      </w:r>
    </w:p>
    <w:p w:rsidR="00B42660" w:rsidRDefault="00B42660" w:rsidP="00B42660">
      <w:pPr>
        <w:pStyle w:val="NO"/>
      </w:pPr>
      <w:r w:rsidRPr="002C22D4">
        <w:t>NOTE:</w:t>
      </w:r>
      <w:r w:rsidRPr="002C22D4">
        <w:tab/>
        <w:t>While any hyperlinks included in this clause were valid at the time of publication</w:t>
      </w:r>
      <w:r w:rsidR="001540FD">
        <w:t>,</w:t>
      </w:r>
      <w:r w:rsidRPr="002C22D4">
        <w:t xml:space="preserve"> ETSI cannot guarantee their long term validity.</w:t>
      </w:r>
    </w:p>
    <w:p w:rsidR="00B42660" w:rsidRPr="002C22D4" w:rsidRDefault="00B42660" w:rsidP="008F442D">
      <w:pPr>
        <w:pStyle w:val="Heading2"/>
      </w:pPr>
      <w:bookmarkStart w:id="51" w:name="_Toc300915109"/>
      <w:bookmarkStart w:id="52" w:name="_Toc338076586"/>
      <w:bookmarkStart w:id="53" w:name="_Toc338076671"/>
      <w:bookmarkStart w:id="54" w:name="_Toc338144141"/>
      <w:bookmarkStart w:id="55" w:name="_Toc338144200"/>
      <w:bookmarkStart w:id="56" w:name="_Toc338144397"/>
      <w:bookmarkStart w:id="57" w:name="_Toc375054156"/>
      <w:r w:rsidRPr="002C22D4">
        <w:t>2.1</w:t>
      </w:r>
      <w:r w:rsidRPr="002C22D4">
        <w:tab/>
        <w:t>Normative references</w:t>
      </w:r>
      <w:bookmarkEnd w:id="51"/>
      <w:bookmarkEnd w:id="52"/>
      <w:bookmarkEnd w:id="53"/>
      <w:bookmarkEnd w:id="54"/>
      <w:bookmarkEnd w:id="55"/>
      <w:bookmarkEnd w:id="56"/>
      <w:bookmarkEnd w:id="57"/>
    </w:p>
    <w:p w:rsidR="002F0B8B" w:rsidRPr="00C16266" w:rsidRDefault="002F0B8B" w:rsidP="002F0B8B">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rsidR="008A7F93" w:rsidRPr="00F802CA" w:rsidRDefault="008A7F93" w:rsidP="00961DB0">
      <w:pPr>
        <w:pStyle w:val="EX"/>
        <w:keepNext/>
        <w:rPr>
          <w:lang w:val="en-US"/>
        </w:rPr>
      </w:pPr>
      <w:r w:rsidRPr="00F802CA">
        <w:rPr>
          <w:lang w:val="en-US"/>
        </w:rPr>
        <w:t>[1]</w:t>
      </w:r>
      <w:r w:rsidRPr="00F802CA">
        <w:rPr>
          <w:lang w:val="en-US"/>
        </w:rPr>
        <w:tab/>
      </w:r>
      <w:r w:rsidR="00961DB0" w:rsidRPr="00F802CA">
        <w:rPr>
          <w:lang w:val="en-US"/>
        </w:rPr>
        <w:t>ETSI TS 102 706: "Environmental Engineering (EE)</w:t>
      </w:r>
      <w:r w:rsidR="00961DB0">
        <w:rPr>
          <w:lang w:val="en-US"/>
        </w:rPr>
        <w:t>;</w:t>
      </w:r>
      <w:r w:rsidR="00961DB0" w:rsidRPr="00F802CA">
        <w:rPr>
          <w:lang w:val="en-US"/>
        </w:rPr>
        <w:t xml:space="preserve"> Measurement Method for Energy Efficiency</w:t>
      </w:r>
      <w:r w:rsidR="00961DB0">
        <w:rPr>
          <w:lang w:val="en-US"/>
        </w:rPr>
        <w:t xml:space="preserve"> </w:t>
      </w:r>
      <w:r w:rsidR="00961DB0" w:rsidRPr="00F802CA">
        <w:rPr>
          <w:lang w:val="en-US"/>
        </w:rPr>
        <w:t>of Wireless Access Network Equipment".</w:t>
      </w:r>
    </w:p>
    <w:p w:rsidR="00E40715" w:rsidRPr="005E4F3E" w:rsidRDefault="00E40715" w:rsidP="00E40715">
      <w:pPr>
        <w:pStyle w:val="EX"/>
      </w:pPr>
      <w:r w:rsidRPr="005E4F3E">
        <w:t>[</w:t>
      </w:r>
      <w:bookmarkStart w:id="58" w:name="REF_TS125104"/>
      <w:r w:rsidRPr="005E4F3E">
        <w:fldChar w:fldCharType="begin"/>
      </w:r>
      <w:r w:rsidRPr="005E4F3E">
        <w:instrText>SEQ REF</w:instrText>
      </w:r>
      <w:r w:rsidRPr="005E4F3E">
        <w:fldChar w:fldCharType="separate"/>
      </w:r>
      <w:r>
        <w:rPr>
          <w:noProof/>
        </w:rPr>
        <w:t>2</w:t>
      </w:r>
      <w:r w:rsidRPr="005E4F3E">
        <w:fldChar w:fldCharType="end"/>
      </w:r>
      <w:bookmarkEnd w:id="58"/>
      <w:r w:rsidRPr="005E4F3E">
        <w:t>]</w:t>
      </w:r>
      <w:r w:rsidRPr="005E4F3E">
        <w:tab/>
        <w:t>ETSI TS 125 104: "Universal Mobile Telecommunications System (UMTS); Base Station (BS) radio transmission and reception (FDD) (3GPP TS 25.104)".</w:t>
      </w:r>
    </w:p>
    <w:p w:rsidR="00647B2D" w:rsidRDefault="00E40715" w:rsidP="00F802CA">
      <w:pPr>
        <w:pStyle w:val="EX"/>
      </w:pPr>
      <w:r w:rsidRPr="005E4F3E">
        <w:t>[</w:t>
      </w:r>
      <w:r>
        <w:t>3</w:t>
      </w:r>
      <w:r w:rsidRPr="005E4F3E">
        <w:t>]</w:t>
      </w:r>
      <w:r w:rsidRPr="005E4F3E">
        <w:tab/>
        <w:t>ETSI TS 136 104: "LTE; Evolved Universal Terrestrial Radio Access (E-UTRA); Base Station (BS) radio transmission and reception (3GPP TS 36.104)".</w:t>
      </w:r>
    </w:p>
    <w:p w:rsidR="00647B2D" w:rsidRDefault="00647B2D" w:rsidP="00F802CA">
      <w:pPr>
        <w:pStyle w:val="EX"/>
        <w:rPr>
          <w:lang w:val="en-US"/>
        </w:rPr>
      </w:pPr>
      <w:r>
        <w:t>[4]</w:t>
      </w:r>
      <w:r>
        <w:tab/>
        <w:t xml:space="preserve">3GPP </w:t>
      </w:r>
      <w:r>
        <w:rPr>
          <w:lang w:val="en-US"/>
        </w:rPr>
        <w:t>TS 36.314: “</w:t>
      </w:r>
      <w:r w:rsidRPr="00647B2D">
        <w:rPr>
          <w:lang w:val="en-US"/>
        </w:rPr>
        <w:t xml:space="preserve">Evolved Universal Terrestrial Radio Access (E-UTRA); Layer 2 </w:t>
      </w:r>
      <w:r>
        <w:rPr>
          <w:lang w:val="en-US"/>
        </w:rPr>
        <w:t>–</w:t>
      </w:r>
      <w:r w:rsidRPr="00647B2D">
        <w:rPr>
          <w:lang w:val="en-US"/>
        </w:rPr>
        <w:t xml:space="preserve"> Measurements</w:t>
      </w:r>
      <w:r>
        <w:rPr>
          <w:lang w:val="en-US"/>
        </w:rPr>
        <w:t>”</w:t>
      </w:r>
    </w:p>
    <w:p w:rsidR="009B060F" w:rsidRDefault="009B060F" w:rsidP="009B060F">
      <w:pPr>
        <w:pStyle w:val="EX"/>
        <w:rPr>
          <w:lang w:val="en-US"/>
        </w:rPr>
      </w:pPr>
      <w:r>
        <w:rPr>
          <w:lang w:val="en-US"/>
        </w:rPr>
        <w:t>[5]</w:t>
      </w:r>
      <w:r>
        <w:rPr>
          <w:lang w:val="en-US"/>
        </w:rPr>
        <w:tab/>
        <w:t>3GPP TS 36.420: “</w:t>
      </w:r>
      <w:r w:rsidRPr="00647B2D">
        <w:rPr>
          <w:lang w:val="en-US"/>
        </w:rPr>
        <w:t>Evolved Universal Te</w:t>
      </w:r>
      <w:r>
        <w:rPr>
          <w:lang w:val="en-US"/>
        </w:rPr>
        <w:t xml:space="preserve">rrestrial Radio Access (E-UTRA); </w:t>
      </w:r>
      <w:r w:rsidRPr="008F0FD8">
        <w:rPr>
          <w:lang w:val="en-US"/>
        </w:rPr>
        <w:t>X2 general aspects and principles</w:t>
      </w:r>
      <w:r>
        <w:rPr>
          <w:lang w:val="en-US"/>
        </w:rPr>
        <w:t xml:space="preserve">”  </w:t>
      </w:r>
    </w:p>
    <w:p w:rsidR="00873C2D" w:rsidRDefault="00873C2D" w:rsidP="00873C2D">
      <w:pPr>
        <w:pStyle w:val="EX"/>
        <w:rPr>
          <w:lang w:val="en-US"/>
        </w:rPr>
      </w:pPr>
      <w:r>
        <w:rPr>
          <w:lang w:val="en-US"/>
        </w:rPr>
        <w:t>[6]</w:t>
      </w:r>
      <w:r>
        <w:rPr>
          <w:lang w:val="en-US"/>
        </w:rPr>
        <w:tab/>
        <w:t>3GPP TS 32.425: “</w:t>
      </w:r>
      <w:r w:rsidRPr="00873C2D">
        <w:rPr>
          <w:lang w:val="en-US"/>
        </w:rPr>
        <w:t>Performance measurements</w:t>
      </w:r>
      <w:r>
        <w:rPr>
          <w:lang w:val="en-US"/>
        </w:rPr>
        <w:t xml:space="preserve"> </w:t>
      </w:r>
      <w:r w:rsidRPr="00873C2D">
        <w:rPr>
          <w:lang w:val="en-US"/>
        </w:rPr>
        <w:t>Evolved Universal Terrestrial Radio Access Network</w:t>
      </w:r>
      <w:r>
        <w:rPr>
          <w:lang w:val="en-US"/>
        </w:rPr>
        <w:t>” v12.0.0</w:t>
      </w:r>
    </w:p>
    <w:p w:rsidR="00873C2D" w:rsidRDefault="00873C2D" w:rsidP="00873C2D">
      <w:pPr>
        <w:pStyle w:val="EX"/>
        <w:rPr>
          <w:lang w:val="en-US"/>
        </w:rPr>
      </w:pPr>
      <w:r>
        <w:rPr>
          <w:lang w:val="en-US"/>
        </w:rPr>
        <w:t>[7]</w:t>
      </w:r>
      <w:r>
        <w:rPr>
          <w:lang w:val="en-US"/>
        </w:rPr>
        <w:tab/>
        <w:t>3GPP TS 32.412: “</w:t>
      </w:r>
      <w:r w:rsidRPr="00873C2D">
        <w:rPr>
          <w:lang w:val="en-US"/>
        </w:rPr>
        <w:t>Integration Reference Point (IRP):</w:t>
      </w:r>
      <w:r>
        <w:rPr>
          <w:lang w:val="en-US"/>
        </w:rPr>
        <w:t xml:space="preserve"> </w:t>
      </w:r>
      <w:r w:rsidRPr="00873C2D">
        <w:rPr>
          <w:lang w:val="en-US"/>
        </w:rPr>
        <w:t>Information Service (IS)</w:t>
      </w:r>
      <w:r>
        <w:rPr>
          <w:lang w:val="en-US"/>
        </w:rPr>
        <w:t>” v11.1.0</w:t>
      </w:r>
    </w:p>
    <w:p w:rsidR="00873C2D" w:rsidRDefault="00873C2D" w:rsidP="009B060F">
      <w:pPr>
        <w:pStyle w:val="EX"/>
        <w:rPr>
          <w:lang w:val="en-US"/>
        </w:rPr>
      </w:pPr>
      <w:r>
        <w:rPr>
          <w:lang w:val="en-US"/>
        </w:rPr>
        <w:t>[8]</w:t>
      </w:r>
      <w:r>
        <w:rPr>
          <w:lang w:val="en-US"/>
        </w:rPr>
        <w:tab/>
        <w:t>3GPP TS 23.203: “</w:t>
      </w:r>
      <w:r w:rsidRPr="00873C2D">
        <w:rPr>
          <w:lang w:val="en-US"/>
        </w:rPr>
        <w:t>Policy and charging control architecture</w:t>
      </w:r>
      <w:r>
        <w:rPr>
          <w:lang w:val="en-US"/>
        </w:rPr>
        <w:t>” v12.2.0</w:t>
      </w:r>
    </w:p>
    <w:p w:rsidR="008A7F93" w:rsidRPr="00F802CA" w:rsidRDefault="008A7F93" w:rsidP="00E40715">
      <w:pPr>
        <w:pStyle w:val="EX"/>
        <w:rPr>
          <w:sz w:val="24"/>
          <w:lang w:val="en-US"/>
        </w:rPr>
      </w:pPr>
    </w:p>
    <w:p w:rsidR="00B42660" w:rsidRDefault="00B42660" w:rsidP="001C6327">
      <w:pPr>
        <w:pStyle w:val="Heading2"/>
      </w:pPr>
      <w:bookmarkStart w:id="59" w:name="_Toc300915110"/>
      <w:bookmarkStart w:id="60" w:name="_Toc338076587"/>
      <w:bookmarkStart w:id="61" w:name="_Toc338076672"/>
      <w:bookmarkStart w:id="62" w:name="_Toc338144142"/>
      <w:bookmarkStart w:id="63" w:name="_Toc338144201"/>
      <w:bookmarkStart w:id="64" w:name="_Toc338144398"/>
      <w:bookmarkStart w:id="65" w:name="_Toc375054157"/>
      <w:r w:rsidRPr="00C116CA">
        <w:lastRenderedPageBreak/>
        <w:t>2.2</w:t>
      </w:r>
      <w:r w:rsidRPr="00C116CA">
        <w:tab/>
        <w:t>Informative references</w:t>
      </w:r>
      <w:bookmarkEnd w:id="59"/>
      <w:bookmarkEnd w:id="60"/>
      <w:bookmarkEnd w:id="61"/>
      <w:bookmarkEnd w:id="62"/>
      <w:bookmarkEnd w:id="63"/>
      <w:bookmarkEnd w:id="64"/>
      <w:bookmarkEnd w:id="65"/>
    </w:p>
    <w:p w:rsidR="001C6327" w:rsidRPr="00702241" w:rsidRDefault="001C6327" w:rsidP="001C6327">
      <w:pPr>
        <w:keepNext/>
      </w:pPr>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8451B1">
        <w:t>.</w:t>
      </w:r>
    </w:p>
    <w:p w:rsidR="008A7F93" w:rsidRDefault="00D73FE6" w:rsidP="00847CD0">
      <w:pPr>
        <w:pStyle w:val="EX"/>
      </w:pPr>
      <w:r>
        <w:t xml:space="preserve"> </w:t>
      </w:r>
      <w:r w:rsidR="008A7F93">
        <w:t>[i.1]</w:t>
      </w:r>
      <w:r w:rsidR="008A7F93">
        <w:tab/>
        <w:t xml:space="preserve">ETSI TR </w:t>
      </w:r>
      <w:r w:rsidR="00847CD0">
        <w:t>103117</w:t>
      </w:r>
      <w:r w:rsidR="008A7F93">
        <w:t>: "</w:t>
      </w:r>
      <w:r w:rsidR="00847CD0">
        <w:t>Environmental Engineering (EE); Principles for Mobile Network level energy efficiency</w:t>
      </w:r>
      <w:r w:rsidR="008A7F93">
        <w:t>".</w:t>
      </w:r>
    </w:p>
    <w:p w:rsidR="00CB3396" w:rsidRDefault="00CB3396" w:rsidP="008F442D">
      <w:pPr>
        <w:pStyle w:val="Heading1"/>
      </w:pPr>
      <w:bookmarkStart w:id="66" w:name="_Toc300915111"/>
      <w:bookmarkStart w:id="67" w:name="_Toc338076588"/>
      <w:bookmarkStart w:id="68" w:name="_Toc338076673"/>
      <w:bookmarkStart w:id="69" w:name="_Toc338144143"/>
      <w:bookmarkStart w:id="70" w:name="_Toc338144202"/>
      <w:bookmarkStart w:id="71" w:name="_Toc338144399"/>
      <w:bookmarkStart w:id="72" w:name="_Toc375054158"/>
      <w:r>
        <w:t>3</w:t>
      </w:r>
      <w:r>
        <w:tab/>
        <w:t>Definitions, symbols and abbreviations</w:t>
      </w:r>
      <w:bookmarkEnd w:id="66"/>
      <w:bookmarkEnd w:id="67"/>
      <w:bookmarkEnd w:id="68"/>
      <w:bookmarkEnd w:id="69"/>
      <w:bookmarkEnd w:id="70"/>
      <w:bookmarkEnd w:id="71"/>
      <w:bookmarkEnd w:id="72"/>
    </w:p>
    <w:p w:rsidR="0016356D" w:rsidRDefault="0016356D" w:rsidP="0016356D">
      <w:pPr>
        <w:pStyle w:val="Heading2"/>
      </w:pPr>
      <w:bookmarkStart w:id="73" w:name="_Toc300915112"/>
      <w:bookmarkStart w:id="74" w:name="_Toc338076589"/>
      <w:bookmarkStart w:id="75" w:name="_Toc338076674"/>
      <w:bookmarkStart w:id="76" w:name="_Toc338144144"/>
      <w:bookmarkStart w:id="77" w:name="_Toc338144203"/>
      <w:bookmarkStart w:id="78" w:name="_Toc338144400"/>
      <w:bookmarkStart w:id="79" w:name="_Toc375054159"/>
      <w:r>
        <w:t>3.1</w:t>
      </w:r>
      <w:r>
        <w:tab/>
        <w:t>Definitions</w:t>
      </w:r>
      <w:bookmarkEnd w:id="73"/>
      <w:bookmarkEnd w:id="74"/>
      <w:bookmarkEnd w:id="75"/>
      <w:bookmarkEnd w:id="76"/>
      <w:bookmarkEnd w:id="77"/>
      <w:bookmarkEnd w:id="78"/>
      <w:bookmarkEnd w:id="79"/>
    </w:p>
    <w:p w:rsidR="004062F3" w:rsidRDefault="004062F3" w:rsidP="004062F3">
      <w:r>
        <w:t>For the purposes of the present document, the following terms and definitions apply:</w:t>
      </w:r>
    </w:p>
    <w:p w:rsidR="004B2CC9" w:rsidRDefault="004B2CC9" w:rsidP="004062F3">
      <w:pPr>
        <w:rPr>
          <w:b/>
        </w:rPr>
      </w:pPr>
      <w:r>
        <w:rPr>
          <w:b/>
        </w:rPr>
        <w:t>Backhaul</w:t>
      </w:r>
      <w:r w:rsidR="00C33F9F">
        <w:rPr>
          <w:b/>
        </w:rPr>
        <w:t xml:space="preserve"> equipment</w:t>
      </w:r>
      <w:r>
        <w:rPr>
          <w:b/>
        </w:rPr>
        <w:t xml:space="preserve">: </w:t>
      </w:r>
      <w:r w:rsidRPr="00F802CA">
        <w:t xml:space="preserve">equipment used to </w:t>
      </w:r>
      <w:r w:rsidRPr="00C33F9F">
        <w:t>connect base stations to the core network</w:t>
      </w:r>
      <w:r w:rsidR="00C33F9F">
        <w:t>, or to other BSs (like X2 in LTE)</w:t>
      </w:r>
    </w:p>
    <w:p w:rsidR="004062F3" w:rsidRPr="009804C6" w:rsidRDefault="004062F3" w:rsidP="004062F3">
      <w:r w:rsidRPr="009804C6">
        <w:rPr>
          <w:b/>
        </w:rPr>
        <w:t>Integrated</w:t>
      </w:r>
      <w:r w:rsidR="00850B32">
        <w:rPr>
          <w:b/>
        </w:rPr>
        <w:t xml:space="preserve"> </w:t>
      </w:r>
      <w:r w:rsidRPr="009804C6">
        <w:rPr>
          <w:b/>
        </w:rPr>
        <w:t>BS:</w:t>
      </w:r>
      <w:r w:rsidR="00850B32">
        <w:t xml:space="preserve"> BS architecture in which all </w:t>
      </w:r>
      <w:r w:rsidRPr="009804C6">
        <w:t>BS element are located close to each other for example in one or two cabinets</w:t>
      </w:r>
    </w:p>
    <w:p w:rsidR="004062F3" w:rsidRPr="009804C6" w:rsidRDefault="00850B32" w:rsidP="004062F3">
      <w:pPr>
        <w:ind w:left="1135" w:hanging="851"/>
      </w:pPr>
      <w:r>
        <w:t>NOTE:</w:t>
      </w:r>
      <w:r>
        <w:tab/>
        <w:t xml:space="preserve">The integrated </w:t>
      </w:r>
      <w:r w:rsidR="004062F3" w:rsidRPr="009804C6">
        <w:t>BS architecture may include Tower Mount Amplifier (TMA) close to antenna.</w:t>
      </w:r>
    </w:p>
    <w:p w:rsidR="004062F3" w:rsidRPr="009804C6" w:rsidRDefault="00850B32" w:rsidP="004062F3">
      <w:r>
        <w:rPr>
          <w:b/>
        </w:rPr>
        <w:t>D</w:t>
      </w:r>
      <w:r w:rsidR="004062F3" w:rsidRPr="009804C6">
        <w:rPr>
          <w:b/>
        </w:rPr>
        <w:t>istributed RBS:</w:t>
      </w:r>
      <w:r>
        <w:t xml:space="preserve"> </w:t>
      </w:r>
      <w:r w:rsidR="004062F3" w:rsidRPr="009804C6">
        <w:t>BS architecture which contains radio heads (RRH) close to antenna element an</w:t>
      </w:r>
      <w:r>
        <w:t xml:space="preserve">d a central element connecting </w:t>
      </w:r>
      <w:r w:rsidR="004062F3" w:rsidRPr="009804C6">
        <w:t xml:space="preserve">BS to network infrastructure </w:t>
      </w:r>
    </w:p>
    <w:p w:rsidR="004062F3" w:rsidRPr="009804C6" w:rsidRDefault="004062F3" w:rsidP="004062F3">
      <w:r w:rsidRPr="009804C6">
        <w:rPr>
          <w:b/>
        </w:rPr>
        <w:t>energy efficiency</w:t>
      </w:r>
      <w:r w:rsidR="00B81F15">
        <w:rPr>
          <w:b/>
        </w:rPr>
        <w:t xml:space="preserve"> (EE)</w:t>
      </w:r>
      <w:r w:rsidRPr="009804C6">
        <w:t>: relation between the useful output and energy/power consumption</w:t>
      </w:r>
    </w:p>
    <w:p w:rsidR="00A24027" w:rsidRPr="006E00E0" w:rsidRDefault="00A24027" w:rsidP="00A24027">
      <w:r>
        <w:rPr>
          <w:b/>
        </w:rPr>
        <w:t xml:space="preserve">Mobile Network: </w:t>
      </w:r>
      <w:r w:rsidRPr="00F802CA">
        <w:t>set of</w:t>
      </w:r>
      <w:r>
        <w:rPr>
          <w:b/>
        </w:rPr>
        <w:t xml:space="preserve"> </w:t>
      </w:r>
      <w:r>
        <w:t xml:space="preserve">equipment  from </w:t>
      </w:r>
      <w:r w:rsidRPr="006E00E0">
        <w:t xml:space="preserve">the </w:t>
      </w:r>
      <w:r>
        <w:t>radio access network or sub-network that are relevant for the assessment of energy efficiency</w:t>
      </w:r>
    </w:p>
    <w:p w:rsidR="00EA1AC4" w:rsidRPr="00930B7F" w:rsidRDefault="00EA1AC4" w:rsidP="00EA1AC4">
      <w:r w:rsidRPr="00930B7F">
        <w:rPr>
          <w:b/>
        </w:rPr>
        <w:t xml:space="preserve">Mobile Network Coverage Energy Efficiency : </w:t>
      </w:r>
      <w:r w:rsidRPr="00930B7F">
        <w:t xml:space="preserve">ratio between the area covered by the BS in the MN under investigation and the energy consumption  when assessed during </w:t>
      </w:r>
      <w:r w:rsidR="00B81F15">
        <w:t>the same time frame</w:t>
      </w:r>
      <w:r w:rsidRPr="00930B7F">
        <w:t xml:space="preserve">. </w:t>
      </w:r>
    </w:p>
    <w:p w:rsidR="00EA1AC4" w:rsidRPr="00A24027" w:rsidRDefault="00EA1AC4" w:rsidP="00EA1AC4">
      <w:r w:rsidRPr="00A24027">
        <w:rPr>
          <w:b/>
        </w:rPr>
        <w:t xml:space="preserve">Mobile Network Data Energy Efficiency : </w:t>
      </w:r>
      <w:r w:rsidRPr="00A24027">
        <w:t xml:space="preserve">ratio between the performance indicator  and the energy consumption  when assessed during the same time frame. </w:t>
      </w:r>
    </w:p>
    <w:p w:rsidR="006019E2" w:rsidRPr="00F802CA" w:rsidRDefault="006019E2" w:rsidP="006019E2">
      <w:r w:rsidRPr="00A24027">
        <w:rPr>
          <w:b/>
        </w:rPr>
        <w:t xml:space="preserve">Mobile Network Energy Consumption : </w:t>
      </w:r>
      <w:r w:rsidR="006954A1">
        <w:t xml:space="preserve">overall </w:t>
      </w:r>
      <w:r w:rsidRPr="00F802CA">
        <w:t xml:space="preserve">energy consumption of equipment included in the MN under investigation. </w:t>
      </w:r>
    </w:p>
    <w:p w:rsidR="006019E2" w:rsidRDefault="006019E2" w:rsidP="006019E2">
      <w:r w:rsidRPr="00A24027">
        <w:rPr>
          <w:b/>
        </w:rPr>
        <w:t xml:space="preserve">Mobile Network Performance Delivered: </w:t>
      </w:r>
      <w:r w:rsidRPr="00F802CA">
        <w:t xml:space="preserve">performance indicator of the MN under investigation, defined as the </w:t>
      </w:r>
      <w:proofErr w:type="spellStart"/>
      <w:r w:rsidRPr="00F802CA">
        <w:t>datavolume</w:t>
      </w:r>
      <w:proofErr w:type="spellEnd"/>
      <w:r w:rsidRPr="00F802CA">
        <w:t xml:space="preserve"> handled by the equipment of the mobile network under investigation during the time frame of the energy consumption assessment. </w:t>
      </w:r>
    </w:p>
    <w:p w:rsidR="009B060F" w:rsidRPr="00F802CA" w:rsidRDefault="009B060F" w:rsidP="009B060F">
      <w:r w:rsidRPr="00A24027">
        <w:rPr>
          <w:b/>
        </w:rPr>
        <w:t xml:space="preserve">Mobile Network Energy </w:t>
      </w:r>
      <w:r w:rsidR="006954A1">
        <w:rPr>
          <w:b/>
        </w:rPr>
        <w:t>Efficiency:</w:t>
      </w:r>
      <w:r w:rsidRPr="00A24027">
        <w:rPr>
          <w:b/>
        </w:rPr>
        <w:t xml:space="preserve"> </w:t>
      </w:r>
      <w:r w:rsidR="00B81F15">
        <w:t>EE of Mobile Networks</w:t>
      </w:r>
    </w:p>
    <w:p w:rsidR="004062F3" w:rsidRPr="009804C6" w:rsidRDefault="004062F3" w:rsidP="004062F3">
      <w:r w:rsidRPr="009804C6">
        <w:rPr>
          <w:b/>
        </w:rPr>
        <w:t>power consumption:</w:t>
      </w:r>
      <w:r w:rsidRPr="009804C6">
        <w:t xml:space="preserve"> power consumed by a device to achieve an intended application performance</w:t>
      </w:r>
    </w:p>
    <w:p w:rsidR="004062F3" w:rsidRPr="009804C6" w:rsidRDefault="00CE6FF8" w:rsidP="004062F3">
      <w:r>
        <w:rPr>
          <w:b/>
        </w:rPr>
        <w:t>Energy</w:t>
      </w:r>
      <w:r w:rsidRPr="009804C6">
        <w:rPr>
          <w:b/>
        </w:rPr>
        <w:t xml:space="preserve"> </w:t>
      </w:r>
      <w:r w:rsidR="004062F3" w:rsidRPr="009804C6">
        <w:rPr>
          <w:b/>
        </w:rPr>
        <w:t>saving feature:</w:t>
      </w:r>
      <w:r w:rsidR="004062F3" w:rsidRPr="009804C6">
        <w:t xml:space="preserve"> feature which contributes to decreasing </w:t>
      </w:r>
      <w:r>
        <w:t>the energy</w:t>
      </w:r>
      <w:r w:rsidRPr="009804C6">
        <w:t xml:space="preserve"> </w:t>
      </w:r>
      <w:r w:rsidR="004062F3" w:rsidRPr="009804C6">
        <w:t>consumption compared to the case when the feature is not implemented</w:t>
      </w:r>
    </w:p>
    <w:p w:rsidR="004062F3" w:rsidRPr="009804C6" w:rsidRDefault="004062F3" w:rsidP="004062F3">
      <w:r w:rsidRPr="009804C6">
        <w:rPr>
          <w:b/>
        </w:rPr>
        <w:t>Base Station (BS):</w:t>
      </w:r>
      <w:r w:rsidRPr="009804C6">
        <w:t xml:space="preserve"> </w:t>
      </w:r>
      <w:r w:rsidR="00E40715">
        <w:t xml:space="preserve">generic term used for </w:t>
      </w:r>
      <w:r w:rsidRPr="009804C6">
        <w:t xml:space="preserve">network component which serves one cell or more cells and interfaces the user terminal (through air interface) and a </w:t>
      </w:r>
      <w:r w:rsidR="00E40715">
        <w:t xml:space="preserve">radio </w:t>
      </w:r>
      <w:r>
        <w:t>access</w:t>
      </w:r>
      <w:r w:rsidRPr="009804C6">
        <w:t xml:space="preserve"> network infrastructure</w:t>
      </w:r>
      <w:r w:rsidR="00E40715">
        <w:t xml:space="preserve">, </w:t>
      </w:r>
      <w:r w:rsidR="00F46F1B">
        <w:t>limited to</w:t>
      </w:r>
      <w:r w:rsidR="00E40715">
        <w:t xml:space="preserve"> the wide area base stations and medium range base stations defined by 3GPP</w:t>
      </w:r>
    </w:p>
    <w:p w:rsidR="004062F3" w:rsidRPr="009804C6" w:rsidRDefault="004062F3" w:rsidP="004062F3">
      <w:r w:rsidRPr="009804C6">
        <w:rPr>
          <w:b/>
        </w:rPr>
        <w:t>telecommunication network:</w:t>
      </w:r>
      <w:r w:rsidRPr="009804C6">
        <w:t xml:space="preserve"> network operated under a license granted by a national telecommunications authority, which provides telecommunications between Network Termination Points (NTPs)</w:t>
      </w:r>
    </w:p>
    <w:p w:rsidR="004062F3" w:rsidRDefault="00CE6FF8" w:rsidP="004062F3">
      <w:pPr>
        <w:pStyle w:val="NO"/>
        <w:ind w:left="0" w:firstLine="0"/>
        <w:rPr>
          <w:lang w:val="en-US"/>
        </w:rPr>
      </w:pPr>
      <w:r>
        <w:rPr>
          <w:b/>
        </w:rPr>
        <w:t>radio</w:t>
      </w:r>
      <w:r w:rsidRPr="00480A10">
        <w:rPr>
          <w:b/>
        </w:rPr>
        <w:t xml:space="preserve"> </w:t>
      </w:r>
      <w:r w:rsidR="004062F3" w:rsidRPr="00480A10">
        <w:rPr>
          <w:b/>
        </w:rPr>
        <w:t>access network</w:t>
      </w:r>
      <w:r w:rsidR="004062F3" w:rsidRPr="00480A10">
        <w:rPr>
          <w:lang w:val="en-US"/>
        </w:rPr>
        <w:t xml:space="preserve">: </w:t>
      </w:r>
      <w:r w:rsidR="006E00E0">
        <w:rPr>
          <w:lang w:val="en-US"/>
        </w:rPr>
        <w:t xml:space="preserve">generic term used for a </w:t>
      </w:r>
      <w:r w:rsidR="004062F3" w:rsidRPr="00480A10">
        <w:rPr>
          <w:lang w:val="en-US"/>
        </w:rPr>
        <w:t>telecommunications network in which the access to the network (connection between user terminal and network) is implemented without the use of wires</w:t>
      </w:r>
      <w:r w:rsidR="006E00E0">
        <w:rPr>
          <w:lang w:val="en-US"/>
        </w:rPr>
        <w:t xml:space="preserve"> </w:t>
      </w:r>
      <w:r w:rsidR="000049E4">
        <w:rPr>
          <w:lang w:val="en-US"/>
        </w:rPr>
        <w:t xml:space="preserve">and that is part </w:t>
      </w:r>
      <w:r w:rsidR="006E00E0">
        <w:rPr>
          <w:lang w:val="en-US"/>
        </w:rPr>
        <w:t>GERAN</w:t>
      </w:r>
      <w:r w:rsidR="000049E4">
        <w:rPr>
          <w:lang w:val="en-US"/>
        </w:rPr>
        <w:t>, UTRAN</w:t>
      </w:r>
      <w:r w:rsidR="006E00E0">
        <w:rPr>
          <w:lang w:val="en-US"/>
        </w:rPr>
        <w:t xml:space="preserve"> or</w:t>
      </w:r>
      <w:r w:rsidR="000049E4">
        <w:rPr>
          <w:lang w:val="en-US"/>
        </w:rPr>
        <w:t xml:space="preserve"> E</w:t>
      </w:r>
      <w:r w:rsidR="00137DC7">
        <w:rPr>
          <w:lang w:val="en-US"/>
        </w:rPr>
        <w:t>-UTRA</w:t>
      </w:r>
      <w:r w:rsidR="000049E4">
        <w:rPr>
          <w:lang w:val="en-US"/>
        </w:rPr>
        <w:t xml:space="preserve"> defined by 3GPP</w:t>
      </w:r>
    </w:p>
    <w:p w:rsidR="00850B32" w:rsidRDefault="00850B32" w:rsidP="004062F3">
      <w:pPr>
        <w:pStyle w:val="NO"/>
        <w:ind w:left="0" w:firstLine="0"/>
      </w:pPr>
      <w:r w:rsidRPr="00850B32">
        <w:rPr>
          <w:b/>
        </w:rPr>
        <w:t>Remote Radio Head</w:t>
      </w:r>
      <w:r w:rsidRPr="00850B32">
        <w:t>: cf. Distributed BS.</w:t>
      </w:r>
    </w:p>
    <w:p w:rsidR="00CB3396" w:rsidRDefault="00CB3396">
      <w:pPr>
        <w:pStyle w:val="Heading2"/>
      </w:pPr>
      <w:bookmarkStart w:id="80" w:name="_Toc300915113"/>
      <w:bookmarkStart w:id="81" w:name="_Toc338076590"/>
      <w:bookmarkStart w:id="82" w:name="_Toc338076675"/>
      <w:bookmarkStart w:id="83" w:name="_Toc338144145"/>
      <w:bookmarkStart w:id="84" w:name="_Toc338144204"/>
      <w:bookmarkStart w:id="85" w:name="_Toc338144401"/>
      <w:bookmarkStart w:id="86" w:name="_Toc375054160"/>
      <w:r>
        <w:lastRenderedPageBreak/>
        <w:t>3.2</w:t>
      </w:r>
      <w:r>
        <w:tab/>
        <w:t>Symbols</w:t>
      </w:r>
      <w:bookmarkEnd w:id="80"/>
      <w:bookmarkEnd w:id="81"/>
      <w:bookmarkEnd w:id="82"/>
      <w:bookmarkEnd w:id="83"/>
      <w:bookmarkEnd w:id="84"/>
      <w:bookmarkEnd w:id="85"/>
      <w:bookmarkEnd w:id="86"/>
    </w:p>
    <w:p w:rsidR="00CB3396" w:rsidRDefault="00CB3396">
      <w:pPr>
        <w:pStyle w:val="Heading2"/>
      </w:pPr>
      <w:bookmarkStart w:id="87" w:name="_Toc300915114"/>
      <w:bookmarkStart w:id="88" w:name="_Toc338076591"/>
      <w:bookmarkStart w:id="89" w:name="_Toc338076676"/>
      <w:bookmarkStart w:id="90" w:name="_Toc338144146"/>
      <w:bookmarkStart w:id="91" w:name="_Toc338144205"/>
      <w:bookmarkStart w:id="92" w:name="_Toc338144402"/>
      <w:bookmarkStart w:id="93" w:name="_Toc375054161"/>
      <w:r>
        <w:t>3.3</w:t>
      </w:r>
      <w:r>
        <w:tab/>
        <w:t>Abbreviations</w:t>
      </w:r>
      <w:bookmarkEnd w:id="87"/>
      <w:bookmarkEnd w:id="88"/>
      <w:bookmarkEnd w:id="89"/>
      <w:bookmarkEnd w:id="90"/>
      <w:bookmarkEnd w:id="91"/>
      <w:bookmarkEnd w:id="92"/>
      <w:bookmarkEnd w:id="93"/>
    </w:p>
    <w:p w:rsidR="004062F3" w:rsidRPr="003623E2" w:rsidRDefault="004062F3" w:rsidP="004062F3">
      <w:r w:rsidRPr="003623E2">
        <w:t>For the purposes of the p</w:t>
      </w:r>
      <w:r>
        <w:t>resent document, the following</w:t>
      </w:r>
      <w:r w:rsidRPr="003623E2">
        <w:t xml:space="preserve"> abbreviations</w:t>
      </w:r>
      <w:r>
        <w:t xml:space="preserve"> </w:t>
      </w:r>
      <w:r w:rsidRPr="003623E2">
        <w:t>apply:</w:t>
      </w:r>
    </w:p>
    <w:p w:rsidR="000049E4" w:rsidRDefault="000049E4" w:rsidP="004062F3">
      <w:pPr>
        <w:ind w:left="1702" w:hanging="1418"/>
      </w:pPr>
      <w:r>
        <w:t>3GPP</w:t>
      </w:r>
      <w:r>
        <w:tab/>
      </w:r>
      <w:r w:rsidRPr="00CD5134">
        <w:t>3G (mobile) Partnership Project</w:t>
      </w:r>
    </w:p>
    <w:p w:rsidR="00F46F1B" w:rsidRDefault="00F46F1B" w:rsidP="00F46F1B">
      <w:pPr>
        <w:ind w:left="1702" w:hanging="1418"/>
      </w:pPr>
      <w:r>
        <w:t>BS</w:t>
      </w:r>
      <w:r>
        <w:tab/>
      </w:r>
      <w:r w:rsidRPr="001C0B08">
        <w:t>Base Station</w:t>
      </w:r>
    </w:p>
    <w:p w:rsidR="00AF013A" w:rsidRDefault="00AF013A" w:rsidP="004062F3">
      <w:pPr>
        <w:ind w:left="1702" w:hanging="1418"/>
      </w:pPr>
      <w:r>
        <w:t>BH</w:t>
      </w:r>
      <w:r>
        <w:tab/>
        <w:t>Backhaul</w:t>
      </w:r>
      <w:r w:rsidR="002633AD">
        <w:t xml:space="preserve"> </w:t>
      </w:r>
    </w:p>
    <w:p w:rsidR="00AF013A" w:rsidRDefault="00AF013A" w:rsidP="004062F3">
      <w:pPr>
        <w:ind w:left="1702" w:hanging="1418"/>
      </w:pPr>
      <w:r>
        <w:t>BHEC</w:t>
      </w:r>
      <w:r>
        <w:tab/>
        <w:t>BH Energy Consumption</w:t>
      </w:r>
    </w:p>
    <w:p w:rsidR="00B14BE8" w:rsidRDefault="00B14BE8" w:rsidP="004062F3">
      <w:pPr>
        <w:ind w:left="1702" w:hanging="1418"/>
      </w:pPr>
      <w:r>
        <w:t>CoA</w:t>
      </w:r>
      <w:r>
        <w:tab/>
        <w:t>Covered Area</w:t>
      </w:r>
    </w:p>
    <w:p w:rsidR="004062F3" w:rsidRPr="001C0B08" w:rsidRDefault="004062F3" w:rsidP="004062F3">
      <w:pPr>
        <w:ind w:left="1702" w:hanging="1418"/>
      </w:pPr>
      <w:r w:rsidRPr="001C0B08">
        <w:t>DL</w:t>
      </w:r>
      <w:r w:rsidRPr="001C0B08">
        <w:tab/>
      </w:r>
      <w:proofErr w:type="spellStart"/>
      <w:r w:rsidRPr="001C0B08">
        <w:t>DownLink</w:t>
      </w:r>
      <w:proofErr w:type="spellEnd"/>
    </w:p>
    <w:p w:rsidR="00BC42C0" w:rsidRDefault="00BC42C0" w:rsidP="004062F3">
      <w:pPr>
        <w:ind w:left="1702" w:hanging="1418"/>
      </w:pPr>
      <w:r>
        <w:t>DV</w:t>
      </w:r>
      <w:r>
        <w:tab/>
        <w:t>Data Volume</w:t>
      </w:r>
    </w:p>
    <w:p w:rsidR="004062F3" w:rsidRDefault="004062F3" w:rsidP="004062F3">
      <w:pPr>
        <w:ind w:left="1702" w:hanging="1418"/>
      </w:pPr>
      <w:r w:rsidRPr="001C0B08">
        <w:t>EDGE</w:t>
      </w:r>
      <w:r w:rsidRPr="001C0B08">
        <w:tab/>
        <w:t xml:space="preserve">Enhanced </w:t>
      </w:r>
      <w:proofErr w:type="spellStart"/>
      <w:r w:rsidRPr="001C0B08">
        <w:t>Datarate</w:t>
      </w:r>
      <w:proofErr w:type="spellEnd"/>
      <w:r w:rsidRPr="001C0B08">
        <w:t xml:space="preserve"> GSM Evolution</w:t>
      </w:r>
    </w:p>
    <w:p w:rsidR="004062F3" w:rsidRDefault="000049E4" w:rsidP="004062F3">
      <w:pPr>
        <w:ind w:left="1702" w:hanging="1418"/>
      </w:pPr>
      <w:r>
        <w:t>E-UTRA</w:t>
      </w:r>
      <w:r w:rsidR="004062F3">
        <w:tab/>
      </w:r>
      <w:r w:rsidR="004062F3" w:rsidRPr="006B316D">
        <w:t xml:space="preserve">Evolved </w:t>
      </w:r>
      <w:r w:rsidR="004062F3">
        <w:t xml:space="preserve">UMTS </w:t>
      </w:r>
      <w:r w:rsidR="004062F3" w:rsidRPr="006B316D">
        <w:t>Terrestrial Radio Access Network</w:t>
      </w:r>
    </w:p>
    <w:p w:rsidR="009B060F" w:rsidRDefault="009B060F" w:rsidP="009B060F">
      <w:pPr>
        <w:ind w:left="1702" w:hanging="1418"/>
      </w:pPr>
      <w:proofErr w:type="spellStart"/>
      <w:r>
        <w:t>eNB</w:t>
      </w:r>
      <w:proofErr w:type="spellEnd"/>
      <w:r>
        <w:tab/>
        <w:t>E-UTRA BS</w:t>
      </w:r>
    </w:p>
    <w:p w:rsidR="004062F3" w:rsidRDefault="004062F3" w:rsidP="004062F3">
      <w:pPr>
        <w:ind w:left="1702" w:hanging="1418"/>
      </w:pPr>
      <w:r w:rsidRPr="006B316D">
        <w:t>GERAN</w:t>
      </w:r>
      <w:r>
        <w:tab/>
      </w:r>
      <w:r w:rsidRPr="006B316D">
        <w:t>GSM/EDGE Radio Access Network</w:t>
      </w:r>
    </w:p>
    <w:p w:rsidR="004062F3" w:rsidRDefault="004062F3" w:rsidP="004062F3">
      <w:pPr>
        <w:ind w:left="1702" w:hanging="1418"/>
      </w:pPr>
      <w:r w:rsidRPr="001C0B08">
        <w:t>GSM</w:t>
      </w:r>
      <w:r w:rsidRPr="001C0B08">
        <w:tab/>
        <w:t xml:space="preserve">Global System for </w:t>
      </w:r>
      <w:smartTag w:uri="urn:schemas-microsoft-com:office:smarttags" w:element="place">
        <w:r w:rsidRPr="001C0B08">
          <w:t>Mobile</w:t>
        </w:r>
      </w:smartTag>
      <w:r w:rsidRPr="001C0B08">
        <w:t xml:space="preserve"> communication</w:t>
      </w:r>
    </w:p>
    <w:p w:rsidR="004062F3" w:rsidRDefault="006954A1" w:rsidP="006954A1">
      <w:pPr>
        <w:ind w:left="1702" w:hanging="1418"/>
      </w:pPr>
      <w:r>
        <w:t>GSMA</w:t>
      </w:r>
      <w:r>
        <w:tab/>
        <w:t>GSM Association</w:t>
      </w:r>
    </w:p>
    <w:p w:rsidR="004062F3" w:rsidRPr="001C0B08" w:rsidRDefault="004062F3" w:rsidP="004062F3">
      <w:pPr>
        <w:ind w:left="1702" w:hanging="1418"/>
      </w:pPr>
      <w:r>
        <w:t>HSDPA</w:t>
      </w:r>
      <w:r>
        <w:tab/>
        <w:t>High Speed Downlink Packet Access</w:t>
      </w:r>
    </w:p>
    <w:p w:rsidR="004062F3" w:rsidRDefault="004062F3" w:rsidP="004062F3">
      <w:pPr>
        <w:ind w:left="1702" w:hanging="1418"/>
      </w:pPr>
      <w:r w:rsidRPr="001C0B08">
        <w:t>HSPA</w:t>
      </w:r>
      <w:r w:rsidRPr="001C0B08">
        <w:tab/>
        <w:t>High Speed Packet Access</w:t>
      </w:r>
    </w:p>
    <w:p w:rsidR="004062F3" w:rsidRDefault="004062F3" w:rsidP="004062F3">
      <w:pPr>
        <w:ind w:left="1702" w:hanging="1418"/>
      </w:pPr>
      <w:r w:rsidRPr="001C0B08">
        <w:t>HW</w:t>
      </w:r>
      <w:r w:rsidRPr="001C0B08">
        <w:tab/>
      </w:r>
      <w:proofErr w:type="spellStart"/>
      <w:r w:rsidRPr="001C0B08">
        <w:t>HardWare</w:t>
      </w:r>
      <w:proofErr w:type="spellEnd"/>
    </w:p>
    <w:p w:rsidR="004062F3" w:rsidRDefault="004062F3" w:rsidP="004062F3">
      <w:pPr>
        <w:ind w:left="1702" w:hanging="1418"/>
      </w:pPr>
      <w:r>
        <w:t xml:space="preserve">ICT </w:t>
      </w:r>
      <w:r>
        <w:tab/>
      </w:r>
      <w:r w:rsidRPr="000A66C0">
        <w:t xml:space="preserve">Information Communications </w:t>
      </w:r>
      <w:proofErr w:type="spellStart"/>
      <w:r w:rsidRPr="000A66C0">
        <w:t>Tecnology</w:t>
      </w:r>
      <w:proofErr w:type="spellEnd"/>
    </w:p>
    <w:p w:rsidR="004062F3" w:rsidRDefault="004062F3" w:rsidP="004062F3">
      <w:pPr>
        <w:ind w:left="1702" w:hanging="1418"/>
      </w:pPr>
      <w:r>
        <w:t>IP</w:t>
      </w:r>
      <w:r>
        <w:tab/>
        <w:t>Internet Protocol</w:t>
      </w:r>
    </w:p>
    <w:p w:rsidR="004062F3" w:rsidRDefault="004062F3" w:rsidP="004062F3">
      <w:pPr>
        <w:ind w:left="1702" w:hanging="1418"/>
      </w:pPr>
      <w:r>
        <w:t>ITU</w:t>
      </w:r>
      <w:r>
        <w:tab/>
        <w:t xml:space="preserve">International Telecommunications </w:t>
      </w:r>
      <w:smartTag w:uri="urn:schemas-microsoft-com:office:smarttags" w:element="place">
        <w:r>
          <w:t>Union</w:t>
        </w:r>
      </w:smartTag>
    </w:p>
    <w:p w:rsidR="004062F3" w:rsidRPr="001C0B08" w:rsidRDefault="004062F3" w:rsidP="004062F3">
      <w:pPr>
        <w:ind w:left="1702" w:hanging="1418"/>
      </w:pPr>
      <w:r>
        <w:t>KPI</w:t>
      </w:r>
      <w:r>
        <w:tab/>
        <w:t>Key Performance Indicator</w:t>
      </w:r>
    </w:p>
    <w:p w:rsidR="004062F3" w:rsidRPr="001C0B08" w:rsidRDefault="004062F3" w:rsidP="004062F3">
      <w:pPr>
        <w:ind w:left="1702" w:hanging="1418"/>
      </w:pPr>
      <w:r w:rsidRPr="001C0B08">
        <w:t>LTE</w:t>
      </w:r>
      <w:r w:rsidRPr="001C0B08">
        <w:tab/>
        <w:t>Long Term Evolution</w:t>
      </w:r>
    </w:p>
    <w:p w:rsidR="00EB062B" w:rsidRDefault="004062F3" w:rsidP="009B2AFA">
      <w:pPr>
        <w:ind w:left="1702" w:hanging="1418"/>
      </w:pPr>
      <w:r>
        <w:t>MDT</w:t>
      </w:r>
      <w:r>
        <w:tab/>
        <w:t>Minimization of Drive Tests</w:t>
      </w:r>
    </w:p>
    <w:p w:rsidR="00EB062B" w:rsidRDefault="00EB062B" w:rsidP="00EB062B">
      <w:pPr>
        <w:ind w:left="1702" w:hanging="1418"/>
      </w:pPr>
      <w:r>
        <w:t>MN</w:t>
      </w:r>
      <w:r>
        <w:tab/>
        <w:t>Mobile Network</w:t>
      </w:r>
    </w:p>
    <w:p w:rsidR="004062F3" w:rsidRDefault="004062F3" w:rsidP="006954A1">
      <w:pPr>
        <w:ind w:left="1702" w:hanging="1418"/>
      </w:pPr>
      <w:r>
        <w:t>O&amp;M</w:t>
      </w:r>
      <w:r>
        <w:tab/>
        <w:t>Operation &amp; Maintenance</w:t>
      </w:r>
    </w:p>
    <w:p w:rsidR="004062F3" w:rsidRDefault="004062F3" w:rsidP="004062F3">
      <w:pPr>
        <w:ind w:left="1702" w:hanging="1418"/>
      </w:pPr>
      <w:r>
        <w:t>PDF</w:t>
      </w:r>
      <w:r>
        <w:tab/>
        <w:t>Probability Distribution Function</w:t>
      </w:r>
    </w:p>
    <w:p w:rsidR="004062F3" w:rsidRDefault="004062F3" w:rsidP="004062F3">
      <w:pPr>
        <w:ind w:left="1702" w:hanging="1418"/>
      </w:pPr>
      <w:r>
        <w:t>QoE</w:t>
      </w:r>
      <w:r>
        <w:tab/>
        <w:t>Quality of Experience (end-user)</w:t>
      </w:r>
    </w:p>
    <w:p w:rsidR="004062F3" w:rsidRDefault="004062F3" w:rsidP="004062F3">
      <w:pPr>
        <w:ind w:left="1702" w:hanging="1418"/>
      </w:pPr>
      <w:r>
        <w:t>QoS</w:t>
      </w:r>
      <w:r>
        <w:tab/>
        <w:t>Quality of Services</w:t>
      </w:r>
    </w:p>
    <w:p w:rsidR="004062F3" w:rsidRDefault="004062F3" w:rsidP="004062F3">
      <w:pPr>
        <w:ind w:left="1702" w:hanging="1418"/>
      </w:pPr>
      <w:r>
        <w:t>RAN</w:t>
      </w:r>
      <w:r>
        <w:tab/>
        <w:t>Radio Access Network</w:t>
      </w:r>
    </w:p>
    <w:p w:rsidR="004062F3" w:rsidRPr="001C0B08" w:rsidRDefault="004062F3" w:rsidP="004062F3">
      <w:pPr>
        <w:ind w:left="1702" w:hanging="1418"/>
      </w:pPr>
      <w:r>
        <w:t>RAT</w:t>
      </w:r>
      <w:r>
        <w:tab/>
        <w:t>Radio Access Technology</w:t>
      </w:r>
    </w:p>
    <w:p w:rsidR="004062F3" w:rsidRPr="001C0B08" w:rsidRDefault="004062F3" w:rsidP="004062F3">
      <w:pPr>
        <w:ind w:left="1702" w:hanging="1418"/>
      </w:pPr>
      <w:r w:rsidRPr="001C0B08">
        <w:t>RNC</w:t>
      </w:r>
      <w:r w:rsidRPr="001C0B08">
        <w:tab/>
        <w:t>Radio Network Controller</w:t>
      </w:r>
    </w:p>
    <w:p w:rsidR="004062F3" w:rsidRPr="001C0B08" w:rsidRDefault="004062F3" w:rsidP="004062F3">
      <w:pPr>
        <w:ind w:left="1702" w:hanging="1418"/>
      </w:pPr>
      <w:r w:rsidRPr="001C0B08">
        <w:t>RRH</w:t>
      </w:r>
      <w:r w:rsidRPr="001C0B08">
        <w:tab/>
        <w:t>Remote Radio Head</w:t>
      </w:r>
    </w:p>
    <w:p w:rsidR="004062F3" w:rsidRDefault="004062F3" w:rsidP="004062F3">
      <w:pPr>
        <w:ind w:left="1702" w:hanging="1418"/>
      </w:pPr>
      <w:r w:rsidRPr="001C0B08">
        <w:lastRenderedPageBreak/>
        <w:t>RX</w:t>
      </w:r>
      <w:r w:rsidRPr="001C0B08">
        <w:tab/>
        <w:t>Receiver</w:t>
      </w:r>
    </w:p>
    <w:p w:rsidR="004062F3" w:rsidRDefault="004062F3" w:rsidP="004062F3">
      <w:pPr>
        <w:ind w:left="1702" w:hanging="1418"/>
      </w:pPr>
      <w:r w:rsidRPr="001C0B08">
        <w:t>SW</w:t>
      </w:r>
      <w:r w:rsidRPr="001C0B08">
        <w:tab/>
      </w:r>
      <w:proofErr w:type="spellStart"/>
      <w:r w:rsidRPr="001C0B08">
        <w:t>SoftWare</w:t>
      </w:r>
      <w:proofErr w:type="spellEnd"/>
    </w:p>
    <w:p w:rsidR="004062F3" w:rsidRPr="001C0B08" w:rsidRDefault="004062F3" w:rsidP="004062F3">
      <w:pPr>
        <w:ind w:left="1702" w:hanging="1418"/>
      </w:pPr>
      <w:r>
        <w:t>TCP</w:t>
      </w:r>
      <w:r>
        <w:tab/>
      </w:r>
      <w:r w:rsidRPr="00E87ED2">
        <w:t>Transmission Control Protocol</w:t>
      </w:r>
      <w:r>
        <w:t xml:space="preserve"> (ACK, SYN and FIN are signalling in the TCP session)</w:t>
      </w:r>
    </w:p>
    <w:p w:rsidR="004062F3" w:rsidRPr="00004713" w:rsidRDefault="004062F3" w:rsidP="004062F3">
      <w:pPr>
        <w:ind w:left="1702" w:hanging="1418"/>
        <w:rPr>
          <w:lang w:val="sv-SE"/>
        </w:rPr>
      </w:pPr>
      <w:r w:rsidRPr="00004713">
        <w:rPr>
          <w:lang w:val="sv-SE"/>
        </w:rPr>
        <w:t>TX</w:t>
      </w:r>
      <w:r w:rsidRPr="00004713">
        <w:rPr>
          <w:lang w:val="sv-SE"/>
        </w:rPr>
        <w:tab/>
        <w:t>Transmitter</w:t>
      </w:r>
    </w:p>
    <w:p w:rsidR="004062F3" w:rsidRPr="001C0B08" w:rsidRDefault="004062F3" w:rsidP="004062F3">
      <w:pPr>
        <w:ind w:left="1702" w:hanging="1418"/>
      </w:pPr>
      <w:r w:rsidRPr="001C0B08">
        <w:t>UE</w:t>
      </w:r>
      <w:r w:rsidRPr="001C0B08">
        <w:tab/>
        <w:t>User Equipment</w:t>
      </w:r>
    </w:p>
    <w:p w:rsidR="004062F3" w:rsidRDefault="004062F3" w:rsidP="004062F3">
      <w:pPr>
        <w:ind w:left="1702" w:hanging="1418"/>
      </w:pPr>
      <w:r w:rsidRPr="001C0B08">
        <w:t>UL</w:t>
      </w:r>
      <w:r w:rsidRPr="001C0B08">
        <w:tab/>
      </w:r>
      <w:proofErr w:type="spellStart"/>
      <w:r w:rsidRPr="001C0B08">
        <w:t>UpLink</w:t>
      </w:r>
      <w:proofErr w:type="spellEnd"/>
    </w:p>
    <w:p w:rsidR="004062F3" w:rsidRDefault="004062F3" w:rsidP="004062F3">
      <w:pPr>
        <w:ind w:left="1702" w:hanging="1418"/>
      </w:pPr>
      <w:r>
        <w:t>UTRAN</w:t>
      </w:r>
      <w:r>
        <w:tab/>
      </w:r>
      <w:r w:rsidRPr="006B316D">
        <w:t>UMTS Terrestrial Radio Access Network</w:t>
      </w:r>
    </w:p>
    <w:p w:rsidR="009B060F" w:rsidRPr="001C0B08" w:rsidRDefault="009B060F" w:rsidP="009B060F">
      <w:pPr>
        <w:ind w:left="1702" w:hanging="1418"/>
      </w:pPr>
      <w:r>
        <w:t>X2</w:t>
      </w:r>
      <w:r>
        <w:tab/>
        <w:t>Interface allowing to interconnect</w:t>
      </w:r>
      <w:r w:rsidRPr="00C93287">
        <w:t xml:space="preserve"> </w:t>
      </w:r>
      <w:proofErr w:type="spellStart"/>
      <w:r w:rsidRPr="00C93287">
        <w:t>eNBs</w:t>
      </w:r>
      <w:proofErr w:type="spellEnd"/>
      <w:r w:rsidRPr="00C93287">
        <w:t xml:space="preserve"> with each other </w:t>
      </w:r>
    </w:p>
    <w:p w:rsidR="004062F3" w:rsidRDefault="004062F3" w:rsidP="004062F3">
      <w:pPr>
        <w:pStyle w:val="EX"/>
      </w:pPr>
      <w:r w:rsidRPr="001C0B08">
        <w:t>WCDMA</w:t>
      </w:r>
      <w:r w:rsidRPr="001C0B08">
        <w:tab/>
        <w:t>Wideband Code Division Multiple Access</w:t>
      </w:r>
    </w:p>
    <w:p w:rsidR="009B2AFA" w:rsidRDefault="009B2AFA" w:rsidP="004062F3">
      <w:pPr>
        <w:pStyle w:val="EX"/>
      </w:pPr>
      <w:r>
        <w:br w:type="page"/>
      </w:r>
    </w:p>
    <w:p w:rsidR="00CB3396" w:rsidRDefault="00CB3396">
      <w:pPr>
        <w:pStyle w:val="Heading1"/>
      </w:pPr>
      <w:bookmarkStart w:id="94" w:name="_Toc300915115"/>
      <w:bookmarkStart w:id="95" w:name="_Toc338076592"/>
      <w:bookmarkStart w:id="96" w:name="_Toc338076677"/>
      <w:bookmarkStart w:id="97" w:name="_Toc338144147"/>
      <w:bookmarkStart w:id="98" w:name="_Toc338144206"/>
      <w:bookmarkStart w:id="99" w:name="_Toc338144403"/>
      <w:bookmarkStart w:id="100" w:name="_Toc375054162"/>
      <w:r>
        <w:lastRenderedPageBreak/>
        <w:t>4</w:t>
      </w:r>
      <w:r>
        <w:tab/>
      </w:r>
      <w:bookmarkEnd w:id="94"/>
      <w:bookmarkEnd w:id="95"/>
      <w:bookmarkEnd w:id="96"/>
      <w:bookmarkEnd w:id="97"/>
      <w:bookmarkEnd w:id="98"/>
      <w:bookmarkEnd w:id="99"/>
      <w:r w:rsidR="00B20F15">
        <w:t>Network under test</w:t>
      </w:r>
      <w:r w:rsidR="002560F8">
        <w:t xml:space="preserve"> definition</w:t>
      </w:r>
      <w:bookmarkEnd w:id="100"/>
    </w:p>
    <w:p w:rsidR="009772CC" w:rsidRDefault="009772CC" w:rsidP="009772CC">
      <w:pPr>
        <w:pStyle w:val="Heading2"/>
      </w:pPr>
      <w:bookmarkStart w:id="101" w:name="_Toc375054163"/>
      <w:r>
        <w:t xml:space="preserve">4.1 </w:t>
      </w:r>
      <w:r>
        <w:tab/>
        <w:t>Introduction</w:t>
      </w:r>
      <w:bookmarkEnd w:id="101"/>
    </w:p>
    <w:p w:rsidR="00F46F1B" w:rsidRDefault="00772D4B">
      <w:r>
        <w:t>T</w:t>
      </w:r>
      <w:r w:rsidR="00F46F1B">
        <w:t xml:space="preserve">he Mobile Network </w:t>
      </w:r>
      <w:r w:rsidR="00316B1D">
        <w:t xml:space="preserve">(MN) </w:t>
      </w:r>
      <w:r>
        <w:t xml:space="preserve">under investigation </w:t>
      </w:r>
      <w:r w:rsidR="003C6503">
        <w:t>shall</w:t>
      </w:r>
      <w:r>
        <w:t xml:space="preserve"> include all</w:t>
      </w:r>
      <w:r w:rsidR="00F46F1B">
        <w:t xml:space="preserve"> the equipment </w:t>
      </w:r>
      <w:r>
        <w:t xml:space="preserve">that are </w:t>
      </w:r>
      <w:r w:rsidR="00F46F1B">
        <w:t>necessary to run a radio access network or sub-network</w:t>
      </w:r>
      <w:r>
        <w:t>.</w:t>
      </w:r>
      <w:r w:rsidR="001767C3">
        <w:t xml:space="preserve"> E</w:t>
      </w:r>
      <w:r>
        <w:t>quipment to be included in the Mobile Network under investigation</w:t>
      </w:r>
      <w:r w:rsidR="00F46F1B">
        <w:t>:</w:t>
      </w:r>
    </w:p>
    <w:p w:rsidR="00C33F9F" w:rsidRDefault="00C33F9F" w:rsidP="00F802CA">
      <w:pPr>
        <w:numPr>
          <w:ilvl w:val="0"/>
          <w:numId w:val="37"/>
        </w:numPr>
      </w:pPr>
      <w:r>
        <w:t>Base Stations (see [2,3])</w:t>
      </w:r>
    </w:p>
    <w:p w:rsidR="00772D4B" w:rsidRDefault="00C33F9F" w:rsidP="00C33F9F">
      <w:pPr>
        <w:numPr>
          <w:ilvl w:val="1"/>
          <w:numId w:val="37"/>
        </w:numPr>
      </w:pPr>
      <w:r>
        <w:t>Wide area BS</w:t>
      </w:r>
    </w:p>
    <w:p w:rsidR="00CB3396" w:rsidRDefault="00C33F9F" w:rsidP="00C33F9F">
      <w:pPr>
        <w:numPr>
          <w:ilvl w:val="1"/>
          <w:numId w:val="37"/>
        </w:numPr>
      </w:pPr>
      <w:r>
        <w:t>Medium range BS</w:t>
      </w:r>
    </w:p>
    <w:p w:rsidR="00C33F9F" w:rsidRDefault="00C33F9F" w:rsidP="00C33F9F">
      <w:pPr>
        <w:numPr>
          <w:ilvl w:val="1"/>
          <w:numId w:val="37"/>
        </w:numPr>
      </w:pPr>
      <w:r>
        <w:t>Local Area BS</w:t>
      </w:r>
    </w:p>
    <w:p w:rsidR="00C33F9F" w:rsidRPr="009772CC" w:rsidRDefault="00C33F9F" w:rsidP="00C33F9F">
      <w:pPr>
        <w:numPr>
          <w:ilvl w:val="1"/>
          <w:numId w:val="37"/>
        </w:numPr>
      </w:pPr>
      <w:r w:rsidRPr="009772CC">
        <w:t>Home BS</w:t>
      </w:r>
    </w:p>
    <w:p w:rsidR="00D16746" w:rsidRDefault="00D16746" w:rsidP="00D16746">
      <w:pPr>
        <w:ind w:left="1118"/>
      </w:pPr>
      <w:r w:rsidRPr="009772CC">
        <w:t xml:space="preserve">NOTE: Home BS (and </w:t>
      </w:r>
      <w:proofErr w:type="spellStart"/>
      <w:r w:rsidRPr="009772CC">
        <w:t>WiFi</w:t>
      </w:r>
      <w:proofErr w:type="spellEnd"/>
      <w:r w:rsidR="00C169EA" w:rsidRPr="009772CC">
        <w:t xml:space="preserve"> access points</w:t>
      </w:r>
      <w:r w:rsidRPr="009772CC">
        <w:t>) are not dealt with in this standard version, being possibly considered for future versions</w:t>
      </w:r>
    </w:p>
    <w:p w:rsidR="001767C3" w:rsidRDefault="001767C3" w:rsidP="00F802CA">
      <w:pPr>
        <w:numPr>
          <w:ilvl w:val="0"/>
          <w:numId w:val="37"/>
        </w:numPr>
      </w:pPr>
      <w:r>
        <w:t>Radio site equipment</w:t>
      </w:r>
    </w:p>
    <w:p w:rsidR="00F46F1B" w:rsidRDefault="00F46F1B" w:rsidP="00F802CA">
      <w:pPr>
        <w:numPr>
          <w:ilvl w:val="0"/>
          <w:numId w:val="37"/>
        </w:numPr>
      </w:pPr>
      <w:r>
        <w:t>Backhaul</w:t>
      </w:r>
      <w:r w:rsidR="004B2CC9">
        <w:t xml:space="preserve"> equipment </w:t>
      </w:r>
      <w:r w:rsidR="00A3718D">
        <w:t>required</w:t>
      </w:r>
      <w:r w:rsidR="004B2CC9">
        <w:t xml:space="preserve"> </w:t>
      </w:r>
      <w:r w:rsidR="00A3718D">
        <w:t>to interconnect the</w:t>
      </w:r>
      <w:r w:rsidR="004B2CC9">
        <w:t xml:space="preserve"> BS </w:t>
      </w:r>
      <w:r w:rsidR="00A3718D">
        <w:t xml:space="preserve">used in the assessment </w:t>
      </w:r>
      <w:r w:rsidR="004B2CC9">
        <w:t>with the core network</w:t>
      </w:r>
    </w:p>
    <w:p w:rsidR="001767C3" w:rsidRPr="009772CC" w:rsidRDefault="00D16746" w:rsidP="00F802CA">
      <w:pPr>
        <w:numPr>
          <w:ilvl w:val="0"/>
          <w:numId w:val="37"/>
        </w:numPr>
      </w:pPr>
      <w:r w:rsidRPr="009772CC">
        <w:t>Radio</w:t>
      </w:r>
      <w:r w:rsidR="001767C3" w:rsidRPr="009772CC">
        <w:t xml:space="preserve"> controller</w:t>
      </w:r>
      <w:r w:rsidRPr="009772CC">
        <w:t xml:space="preserve"> (RC)</w:t>
      </w:r>
    </w:p>
    <w:p w:rsidR="00BC2C1F" w:rsidRDefault="00261491" w:rsidP="00D73FE6">
      <w:r>
        <w:t xml:space="preserve">Power consumption and energy efficiency measurements of </w:t>
      </w:r>
      <w:r w:rsidR="00C169EA" w:rsidRPr="009772CC">
        <w:t>individual</w:t>
      </w:r>
      <w:r w:rsidR="00D16746" w:rsidRPr="009772CC">
        <w:t xml:space="preserve"> </w:t>
      </w:r>
      <w:r w:rsidRPr="009772CC">
        <w:t>mobile</w:t>
      </w:r>
      <w:r>
        <w:t xml:space="preserve"> network elements are described in several standards (for example TS 102 706 for radio base stations). This standard describes </w:t>
      </w:r>
      <w:r w:rsidR="00850B32">
        <w:t>energy</w:t>
      </w:r>
      <w:r>
        <w:t xml:space="preserve"> consumption and network efficiency measure</w:t>
      </w:r>
      <w:r w:rsidR="00850B32">
        <w:t>ment</w:t>
      </w:r>
      <w:r>
        <w:t xml:space="preserve">s in operational networks. </w:t>
      </w:r>
    </w:p>
    <w:p w:rsidR="00BC4600" w:rsidRDefault="00261491" w:rsidP="00D73FE6">
      <w:r>
        <w:t xml:space="preserve">As a complete and detailed </w:t>
      </w:r>
      <w:r w:rsidR="00850B32">
        <w:t>energy</w:t>
      </w:r>
      <w:r>
        <w:t xml:space="preserve"> consumption measurement of the complete network of a country or operator is in most cases impossible or economically not viable, the total network is split into a small number of networks with limited size</w:t>
      </w:r>
      <w:r w:rsidR="00D16746">
        <w:t xml:space="preserve"> </w:t>
      </w:r>
      <w:r w:rsidR="00D16746" w:rsidRPr="009772CC">
        <w:t>(“sub-network”)</w:t>
      </w:r>
      <w:r w:rsidRPr="009772CC">
        <w:t>.</w:t>
      </w:r>
      <w:r>
        <w:t xml:space="preserve"> </w:t>
      </w:r>
    </w:p>
    <w:p w:rsidR="00D16746" w:rsidRDefault="00D16746" w:rsidP="00D16746">
      <w:pPr>
        <w:ind w:left="568" w:hanging="568"/>
      </w:pPr>
      <w:r>
        <w:t xml:space="preserve">These sub-networks are defined to represent some specific </w:t>
      </w:r>
      <w:proofErr w:type="spellStart"/>
      <w:r>
        <w:t>characterisitcs</w:t>
      </w:r>
      <w:proofErr w:type="spellEnd"/>
      <w:r>
        <w:t xml:space="preserve"> like:</w:t>
      </w:r>
    </w:p>
    <w:p w:rsidR="00D16746" w:rsidRDefault="00D16746" w:rsidP="00D16746">
      <w:pPr>
        <w:pStyle w:val="ListParagraph"/>
        <w:numPr>
          <w:ilvl w:val="0"/>
          <w:numId w:val="40"/>
        </w:numPr>
      </w:pPr>
      <w:r>
        <w:t>Capacity limited networks representing urban and dense urban networks</w:t>
      </w:r>
    </w:p>
    <w:p w:rsidR="00D16746" w:rsidRDefault="00D16746" w:rsidP="00D16746">
      <w:pPr>
        <w:pStyle w:val="ListParagraph"/>
        <w:numPr>
          <w:ilvl w:val="0"/>
          <w:numId w:val="40"/>
        </w:numPr>
      </w:pPr>
      <w:r>
        <w:t xml:space="preserve">Sub-urban </w:t>
      </w:r>
      <w:proofErr w:type="spellStart"/>
      <w:r>
        <w:t>networds</w:t>
      </w:r>
      <w:proofErr w:type="spellEnd"/>
      <w:r>
        <w:t xml:space="preserve"> with high requirements for coverage and capacity</w:t>
      </w:r>
    </w:p>
    <w:p w:rsidR="00D16746" w:rsidRDefault="00D16746" w:rsidP="00D16746">
      <w:pPr>
        <w:pStyle w:val="ListParagraph"/>
        <w:numPr>
          <w:ilvl w:val="0"/>
          <w:numId w:val="40"/>
        </w:numPr>
      </w:pPr>
      <w:r>
        <w:t>Rural networks, which are usually coverage limited</w:t>
      </w:r>
    </w:p>
    <w:p w:rsidR="00BC2C1F" w:rsidRPr="00BC2C1F" w:rsidRDefault="00BC2C1F" w:rsidP="00BC2C1F">
      <w:r w:rsidRPr="009772CC">
        <w:t xml:space="preserve">Size and scale of the sub-networks are defined by topologic, geographic or demographic boundaries. For networks defined by topologic boundaries, the smallest network covered by this document consists of a </w:t>
      </w:r>
      <w:r w:rsidR="009772CC" w:rsidRPr="009772CC">
        <w:t>Radio controller</w:t>
      </w:r>
      <w:r w:rsidRPr="009772CC">
        <w:t xml:space="preserve"> (whenever applicable), its supported access nodes as well as the related network elements.  Networks could be defined by geographic boundaries, such as city-wide, national or continental networks and could be defined by demographic boundaries, such as urban or rural networks.</w:t>
      </w:r>
    </w:p>
    <w:p w:rsidR="00BC4600" w:rsidRDefault="00FC16F9" w:rsidP="00D73FE6">
      <w:r>
        <w:t>The test</w:t>
      </w:r>
      <w:r w:rsidR="00BC4600">
        <w:t>s</w:t>
      </w:r>
      <w:r>
        <w:t xml:space="preserve"> defined in this standard</w:t>
      </w:r>
      <w:r w:rsidR="00BC4600">
        <w:t xml:space="preserve"> </w:t>
      </w:r>
      <w:r w:rsidR="00850B32">
        <w:t>should</w:t>
      </w:r>
      <w:r w:rsidR="00BC4600">
        <w:t xml:space="preserve"> provide the basis to estimate </w:t>
      </w:r>
      <w:r w:rsidR="00850B32">
        <w:t>energy efficiency</w:t>
      </w:r>
      <w:r w:rsidR="00BC4600">
        <w:t xml:space="preserve"> for large networks of one operator or within an entire country, as depicted in figure 1.</w:t>
      </w:r>
      <w:r w:rsidR="00D16746">
        <w:t xml:space="preserve"> The</w:t>
      </w:r>
      <w:r w:rsidR="00BC45C1">
        <w:t xml:space="preserve"> sub-</w:t>
      </w:r>
      <w:r w:rsidR="00BC45C1" w:rsidRPr="009772CC">
        <w:t>networks</w:t>
      </w:r>
      <w:r w:rsidR="00D16746" w:rsidRPr="009772CC">
        <w:t xml:space="preserve"> analysed in the complete network</w:t>
      </w:r>
      <w:r w:rsidR="00BC45C1">
        <w:t xml:space="preserve"> might consist of macro-only base stations or heterogeneous networks, depending on the actual implementat</w:t>
      </w:r>
      <w:r w:rsidR="00D16746">
        <w:t>ion (F</w:t>
      </w:r>
      <w:r w:rsidR="00BC45C1">
        <w:t>igure 2).</w:t>
      </w:r>
    </w:p>
    <w:p w:rsidR="00261491" w:rsidRDefault="00D57589" w:rsidP="00D57589">
      <w:pPr>
        <w:ind w:left="568"/>
        <w:jc w:val="center"/>
      </w:pPr>
      <w:r>
        <w:rPr>
          <w:noProof/>
          <w:lang w:val="it-IT" w:eastAsia="it-IT"/>
        </w:rPr>
        <w:drawing>
          <wp:inline distT="0" distB="0" distL="0" distR="0" wp14:anchorId="13E44873" wp14:editId="37BC2245">
            <wp:extent cx="4438800" cy="2026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8800" cy="2026800"/>
                    </a:xfrm>
                    <a:prstGeom prst="rect">
                      <a:avLst/>
                    </a:prstGeom>
                    <a:noFill/>
                  </pic:spPr>
                </pic:pic>
              </a:graphicData>
            </a:graphic>
          </wp:inline>
        </w:drawing>
      </w:r>
    </w:p>
    <w:p w:rsidR="004062F3" w:rsidRDefault="004062F3" w:rsidP="009B2AFA">
      <w:pPr>
        <w:jc w:val="center"/>
      </w:pPr>
    </w:p>
    <w:p w:rsidR="004062F3" w:rsidRDefault="00BC4600" w:rsidP="00501080">
      <w:pPr>
        <w:pStyle w:val="Caption"/>
        <w:jc w:val="center"/>
      </w:pPr>
      <w:r>
        <w:t xml:space="preserve">Figure 1: </w:t>
      </w:r>
      <w:r w:rsidR="00D57589" w:rsidRPr="00D57589">
        <w:t>Network efficiency - Measurement of representative samples within a life network and relation to TS 102 706</w:t>
      </w:r>
    </w:p>
    <w:p w:rsidR="00BC4600" w:rsidRDefault="00BC4600"/>
    <w:p w:rsidR="004062F3" w:rsidRDefault="00756E13" w:rsidP="009B2AFA">
      <w:pPr>
        <w:jc w:val="center"/>
      </w:pPr>
      <w:r>
        <w:rPr>
          <w:noProof/>
          <w:lang w:val="it-IT" w:eastAsia="it-IT"/>
        </w:rPr>
        <w:drawing>
          <wp:inline distT="0" distB="0" distL="0" distR="0" wp14:anchorId="477B7746" wp14:editId="669B99D6">
            <wp:extent cx="3140710" cy="2353310"/>
            <wp:effectExtent l="1905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3140710" cy="2353310"/>
                    </a:xfrm>
                    <a:prstGeom prst="rect">
                      <a:avLst/>
                    </a:prstGeom>
                    <a:noFill/>
                    <a:ln w="9525">
                      <a:noFill/>
                      <a:miter lim="800000"/>
                      <a:headEnd/>
                      <a:tailEnd/>
                    </a:ln>
                  </pic:spPr>
                </pic:pic>
              </a:graphicData>
            </a:graphic>
          </wp:inline>
        </w:drawing>
      </w:r>
    </w:p>
    <w:p w:rsidR="00261491" w:rsidRDefault="00BC45C1" w:rsidP="00501080">
      <w:pPr>
        <w:pStyle w:val="Caption"/>
        <w:jc w:val="center"/>
      </w:pPr>
      <w:r>
        <w:t xml:space="preserve">Figure 2: Sub-network for test purposes. Homogenous or </w:t>
      </w:r>
      <w:proofErr w:type="spellStart"/>
      <w:r>
        <w:t>heterogenous</w:t>
      </w:r>
      <w:proofErr w:type="spellEnd"/>
      <w:r>
        <w:t xml:space="preserve"> network structures are </w:t>
      </w:r>
      <w:r w:rsidR="00290091">
        <w:t>considered</w:t>
      </w:r>
    </w:p>
    <w:p w:rsidR="00290091" w:rsidRDefault="00290091" w:rsidP="00290091">
      <w:pPr>
        <w:pStyle w:val="Heading2"/>
      </w:pPr>
      <w:bookmarkStart w:id="102" w:name="_Toc375054164"/>
      <w:r>
        <w:t xml:space="preserve">4.2 </w:t>
      </w:r>
      <w:r>
        <w:tab/>
      </w:r>
      <w:r w:rsidRPr="00290091">
        <w:t>Test parameter categorization</w:t>
      </w:r>
      <w:bookmarkEnd w:id="102"/>
    </w:p>
    <w:p w:rsidR="00290091" w:rsidRPr="00290091" w:rsidRDefault="00290091" w:rsidP="00290091">
      <w:r w:rsidRPr="00290091">
        <w:t>The metrics for the energy efficiency assessment requires the definition and collection of a range of parameters and variable. These are separated into two categories:</w:t>
      </w:r>
    </w:p>
    <w:p w:rsidR="00290091" w:rsidRPr="00290091" w:rsidRDefault="00290091" w:rsidP="00290091">
      <w:pPr>
        <w:numPr>
          <w:ilvl w:val="0"/>
          <w:numId w:val="44"/>
        </w:numPr>
      </w:pPr>
      <w:r w:rsidRPr="00290091">
        <w:t>Parameters and variables required to calculate the network efficiency KPIs</w:t>
      </w:r>
    </w:p>
    <w:p w:rsidR="00290091" w:rsidRPr="00290091" w:rsidRDefault="00290091" w:rsidP="00290091">
      <w:pPr>
        <w:numPr>
          <w:ilvl w:val="0"/>
          <w:numId w:val="44"/>
        </w:numPr>
      </w:pPr>
      <w:r w:rsidRPr="00290091">
        <w:t>Parameters needed to allow network evaluation and comparison</w:t>
      </w:r>
    </w:p>
    <w:p w:rsidR="00290091" w:rsidRPr="00290091" w:rsidRDefault="00290091" w:rsidP="00290091">
      <w:r w:rsidRPr="00290091">
        <w:t>The first category describes a set of network variabl</w:t>
      </w:r>
      <w:r>
        <w:t>es as described in Clause 5</w:t>
      </w:r>
      <w:r w:rsidRPr="00290091">
        <w:t xml:space="preserve"> (energy consumption, delivered bits, coverage) to be used to calculate the efficiency KPIs</w:t>
      </w:r>
    </w:p>
    <w:p w:rsidR="00290091" w:rsidRPr="00290091" w:rsidRDefault="00290091" w:rsidP="00290091">
      <w:r w:rsidRPr="00290091">
        <w:t xml:space="preserve">The second category includes parameters which are not directly required in the KPI calculation. These parameters describe the network environment, like geographical conditions, population density, coverage area, targeted data rates, etc.) and are used to interpolate from the measured sub-network to a larger network as described in chapter 7. These parameters also help to identify reasons for different efficiency results of different networks. </w:t>
      </w:r>
    </w:p>
    <w:tbl>
      <w:tblPr>
        <w:tblStyle w:val="TableGrid"/>
        <w:tblW w:w="0" w:type="auto"/>
        <w:tblLook w:val="04A0" w:firstRow="1" w:lastRow="0" w:firstColumn="1" w:lastColumn="0" w:noHBand="0" w:noVBand="1"/>
      </w:tblPr>
      <w:tblGrid>
        <w:gridCol w:w="1101"/>
        <w:gridCol w:w="1984"/>
        <w:gridCol w:w="6693"/>
      </w:tblGrid>
      <w:tr w:rsidR="00290091" w:rsidRPr="00290091" w:rsidTr="00873C2D">
        <w:tc>
          <w:tcPr>
            <w:tcW w:w="1101" w:type="dxa"/>
          </w:tcPr>
          <w:p w:rsidR="00290091" w:rsidRPr="00290091" w:rsidRDefault="00290091" w:rsidP="00290091">
            <w:pPr>
              <w:rPr>
                <w:b/>
              </w:rPr>
            </w:pPr>
            <w:r w:rsidRPr="00290091">
              <w:rPr>
                <w:b/>
              </w:rPr>
              <w:t>Category</w:t>
            </w:r>
          </w:p>
        </w:tc>
        <w:tc>
          <w:tcPr>
            <w:tcW w:w="1984" w:type="dxa"/>
          </w:tcPr>
          <w:p w:rsidR="00290091" w:rsidRPr="00290091" w:rsidRDefault="00290091" w:rsidP="00290091">
            <w:pPr>
              <w:rPr>
                <w:b/>
              </w:rPr>
            </w:pPr>
            <w:r w:rsidRPr="00290091">
              <w:rPr>
                <w:b/>
              </w:rPr>
              <w:t>Parameter</w:t>
            </w:r>
          </w:p>
        </w:tc>
        <w:tc>
          <w:tcPr>
            <w:tcW w:w="6693" w:type="dxa"/>
          </w:tcPr>
          <w:p w:rsidR="00290091" w:rsidRPr="00290091" w:rsidRDefault="00290091" w:rsidP="00290091">
            <w:pPr>
              <w:rPr>
                <w:b/>
              </w:rPr>
            </w:pPr>
            <w:r w:rsidRPr="00290091">
              <w:rPr>
                <w:b/>
              </w:rPr>
              <w:t>Remarks</w:t>
            </w:r>
          </w:p>
        </w:tc>
      </w:tr>
      <w:tr w:rsidR="00290091" w:rsidRPr="00290091" w:rsidTr="00873C2D">
        <w:tc>
          <w:tcPr>
            <w:tcW w:w="1101" w:type="dxa"/>
          </w:tcPr>
          <w:p w:rsidR="00290091" w:rsidRPr="00290091" w:rsidRDefault="00290091" w:rsidP="00290091">
            <w:r w:rsidRPr="00290091">
              <w:t>1</w:t>
            </w:r>
          </w:p>
        </w:tc>
        <w:tc>
          <w:tcPr>
            <w:tcW w:w="1984" w:type="dxa"/>
          </w:tcPr>
          <w:p w:rsidR="00290091" w:rsidRPr="00290091" w:rsidRDefault="00290091" w:rsidP="00290091">
            <w:r w:rsidRPr="00290091">
              <w:t>EC</w:t>
            </w:r>
            <w:r w:rsidRPr="00290091">
              <w:rPr>
                <w:vertAlign w:val="subscript"/>
              </w:rPr>
              <w:t>MN</w:t>
            </w:r>
          </w:p>
        </w:tc>
        <w:tc>
          <w:tcPr>
            <w:tcW w:w="6693" w:type="dxa"/>
          </w:tcPr>
          <w:p w:rsidR="00290091" w:rsidRPr="00290091" w:rsidRDefault="00290091" w:rsidP="00290091">
            <w:r w:rsidRPr="00290091">
              <w:t>Measured network energy consumption</w:t>
            </w:r>
          </w:p>
        </w:tc>
      </w:tr>
      <w:tr w:rsidR="00290091" w:rsidRPr="00290091" w:rsidTr="00873C2D">
        <w:tc>
          <w:tcPr>
            <w:tcW w:w="1101" w:type="dxa"/>
          </w:tcPr>
          <w:p w:rsidR="00290091" w:rsidRPr="00290091" w:rsidRDefault="00290091" w:rsidP="00290091">
            <w:r w:rsidRPr="00290091">
              <w:t>1</w:t>
            </w:r>
          </w:p>
        </w:tc>
        <w:tc>
          <w:tcPr>
            <w:tcW w:w="1984" w:type="dxa"/>
          </w:tcPr>
          <w:p w:rsidR="00290091" w:rsidRPr="00290091" w:rsidRDefault="00290091" w:rsidP="00290091">
            <w:r w:rsidRPr="00290091">
              <w:t>Coverage area</w:t>
            </w:r>
          </w:p>
        </w:tc>
        <w:tc>
          <w:tcPr>
            <w:tcW w:w="6693" w:type="dxa"/>
          </w:tcPr>
          <w:p w:rsidR="00290091" w:rsidRPr="00290091" w:rsidRDefault="00290091" w:rsidP="00290091">
            <w:r w:rsidRPr="00290091">
              <w:t>As defined in 6.3.2.1</w:t>
            </w:r>
          </w:p>
        </w:tc>
      </w:tr>
      <w:tr w:rsidR="00290091" w:rsidRPr="00290091" w:rsidTr="00873C2D">
        <w:tc>
          <w:tcPr>
            <w:tcW w:w="1101" w:type="dxa"/>
          </w:tcPr>
          <w:p w:rsidR="00290091" w:rsidRPr="00290091" w:rsidRDefault="00290091" w:rsidP="00290091">
            <w:r w:rsidRPr="00290091">
              <w:t>…</w:t>
            </w:r>
          </w:p>
        </w:tc>
        <w:tc>
          <w:tcPr>
            <w:tcW w:w="1984" w:type="dxa"/>
          </w:tcPr>
          <w:p w:rsidR="00290091" w:rsidRPr="00290091" w:rsidRDefault="00290091" w:rsidP="00290091"/>
        </w:tc>
        <w:tc>
          <w:tcPr>
            <w:tcW w:w="6693" w:type="dxa"/>
          </w:tcPr>
          <w:p w:rsidR="00290091" w:rsidRPr="00290091" w:rsidRDefault="00290091" w:rsidP="00290091"/>
        </w:tc>
      </w:tr>
      <w:tr w:rsidR="00290091" w:rsidRPr="00290091" w:rsidTr="00873C2D">
        <w:tc>
          <w:tcPr>
            <w:tcW w:w="1101" w:type="dxa"/>
          </w:tcPr>
          <w:p w:rsidR="00290091" w:rsidRPr="00290091" w:rsidRDefault="00290091" w:rsidP="00290091">
            <w:r w:rsidRPr="00290091">
              <w:t>2</w:t>
            </w:r>
          </w:p>
        </w:tc>
        <w:tc>
          <w:tcPr>
            <w:tcW w:w="1984" w:type="dxa"/>
          </w:tcPr>
          <w:p w:rsidR="00290091" w:rsidRPr="00290091" w:rsidRDefault="00290091" w:rsidP="00290091">
            <w:r w:rsidRPr="00290091">
              <w:t xml:space="preserve">Coverage ratio </w:t>
            </w:r>
          </w:p>
        </w:tc>
        <w:tc>
          <w:tcPr>
            <w:tcW w:w="6693" w:type="dxa"/>
          </w:tcPr>
          <w:p w:rsidR="00290091" w:rsidRPr="00290091" w:rsidRDefault="00290091" w:rsidP="00290091">
            <w:r w:rsidRPr="00290091">
              <w:t>As defined in 6.3.2.1</w:t>
            </w:r>
          </w:p>
        </w:tc>
      </w:tr>
      <w:tr w:rsidR="00290091" w:rsidRPr="00290091" w:rsidTr="00873C2D">
        <w:tc>
          <w:tcPr>
            <w:tcW w:w="1101" w:type="dxa"/>
          </w:tcPr>
          <w:p w:rsidR="00290091" w:rsidRPr="00290091" w:rsidRDefault="00290091" w:rsidP="00290091">
            <w:r w:rsidRPr="00290091">
              <w:t>2</w:t>
            </w:r>
          </w:p>
        </w:tc>
        <w:tc>
          <w:tcPr>
            <w:tcW w:w="1984" w:type="dxa"/>
          </w:tcPr>
          <w:p w:rsidR="00290091" w:rsidRPr="00290091" w:rsidRDefault="00290091" w:rsidP="00290091">
            <w:r w:rsidRPr="00290091">
              <w:t>Demography</w:t>
            </w:r>
          </w:p>
        </w:tc>
        <w:tc>
          <w:tcPr>
            <w:tcW w:w="6693" w:type="dxa"/>
          </w:tcPr>
          <w:p w:rsidR="00290091" w:rsidRPr="00290091" w:rsidRDefault="00290091" w:rsidP="00290091">
            <w:r w:rsidRPr="00290091">
              <w:t>Population density as defined in 4.3.1</w:t>
            </w:r>
          </w:p>
        </w:tc>
      </w:tr>
      <w:tr w:rsidR="00290091" w:rsidRPr="00290091" w:rsidTr="00873C2D">
        <w:tc>
          <w:tcPr>
            <w:tcW w:w="1101" w:type="dxa"/>
          </w:tcPr>
          <w:p w:rsidR="00290091" w:rsidRPr="00290091" w:rsidRDefault="00290091" w:rsidP="00290091">
            <w:r w:rsidRPr="00290091">
              <w:t>2</w:t>
            </w:r>
          </w:p>
        </w:tc>
        <w:tc>
          <w:tcPr>
            <w:tcW w:w="1984" w:type="dxa"/>
          </w:tcPr>
          <w:p w:rsidR="00290091" w:rsidRPr="00290091" w:rsidRDefault="00290091" w:rsidP="00290091">
            <w:r w:rsidRPr="00290091">
              <w:t>Topography</w:t>
            </w:r>
          </w:p>
        </w:tc>
        <w:tc>
          <w:tcPr>
            <w:tcW w:w="6693" w:type="dxa"/>
          </w:tcPr>
          <w:p w:rsidR="00290091" w:rsidRPr="00290091" w:rsidRDefault="00290091" w:rsidP="00290091">
            <w:r w:rsidRPr="00290091">
              <w:t>As defined in 4.3.2</w:t>
            </w:r>
          </w:p>
        </w:tc>
      </w:tr>
      <w:tr w:rsidR="00290091" w:rsidRPr="00290091" w:rsidTr="00873C2D">
        <w:tc>
          <w:tcPr>
            <w:tcW w:w="1101" w:type="dxa"/>
          </w:tcPr>
          <w:p w:rsidR="00290091" w:rsidRPr="00290091" w:rsidRDefault="00290091" w:rsidP="00290091">
            <w:r w:rsidRPr="00290091">
              <w:t>…</w:t>
            </w:r>
          </w:p>
        </w:tc>
        <w:tc>
          <w:tcPr>
            <w:tcW w:w="1984" w:type="dxa"/>
          </w:tcPr>
          <w:p w:rsidR="00290091" w:rsidRPr="00290091" w:rsidRDefault="00290091" w:rsidP="00290091"/>
        </w:tc>
        <w:tc>
          <w:tcPr>
            <w:tcW w:w="6693" w:type="dxa"/>
          </w:tcPr>
          <w:p w:rsidR="00290091" w:rsidRPr="00290091" w:rsidRDefault="00290091" w:rsidP="00290091"/>
        </w:tc>
      </w:tr>
    </w:tbl>
    <w:p w:rsidR="00290091" w:rsidRPr="00290091" w:rsidRDefault="00290091" w:rsidP="00290091"/>
    <w:p w:rsidR="00290091" w:rsidRDefault="00290091" w:rsidP="00290091">
      <w:pPr>
        <w:pStyle w:val="Heading2"/>
      </w:pPr>
      <w:bookmarkStart w:id="103" w:name="_Toc375054165"/>
      <w:r>
        <w:t xml:space="preserve">4.3 </w:t>
      </w:r>
      <w:r>
        <w:tab/>
      </w:r>
      <w:r w:rsidRPr="00290091">
        <w:t>Network classification</w:t>
      </w:r>
      <w:bookmarkEnd w:id="103"/>
    </w:p>
    <w:p w:rsidR="00290091" w:rsidRPr="00290091" w:rsidRDefault="00290091" w:rsidP="00290091"/>
    <w:p w:rsidR="00290091" w:rsidRPr="00290091" w:rsidRDefault="00290091" w:rsidP="00290091">
      <w:r w:rsidRPr="00290091">
        <w:lastRenderedPageBreak/>
        <w:t xml:space="preserve">To allow an interpolation from the measured sub-networks to a complete network, the test areas shall be classified into different categories as defined by Network classification </w:t>
      </w:r>
    </w:p>
    <w:p w:rsidR="00290091" w:rsidRPr="00290091" w:rsidRDefault="00290091" w:rsidP="00290091">
      <w:r w:rsidRPr="00290091">
        <w:t>The environmental classes are: demography, topography and climate</w:t>
      </w:r>
    </w:p>
    <w:p w:rsidR="00290091" w:rsidRPr="004E2460" w:rsidRDefault="00290091" w:rsidP="00290091">
      <w:pPr>
        <w:pStyle w:val="Heading3"/>
      </w:pPr>
      <w:bookmarkStart w:id="104" w:name="_Toc375054166"/>
      <w:r>
        <w:rPr>
          <w:lang w:val="en-US"/>
        </w:rPr>
        <w:t>4.3</w:t>
      </w:r>
      <w:r w:rsidRPr="00825BEE">
        <w:rPr>
          <w:lang w:val="en-US"/>
        </w:rPr>
        <w:t>.1</w:t>
      </w:r>
      <w:r w:rsidRPr="00825BEE">
        <w:rPr>
          <w:lang w:val="en-US"/>
        </w:rPr>
        <w:tab/>
      </w:r>
      <w:r>
        <w:t>Demography</w:t>
      </w:r>
      <w:bookmarkEnd w:id="104"/>
    </w:p>
    <w:p w:rsidR="00D16746" w:rsidRDefault="00D16746" w:rsidP="00D16746">
      <w:r>
        <w:t>For the test purpose defined in this standard the mobile network shall be split in domains depending on the population density. The following population density values per  domain categories shall be used (cf. for example [i.1]):</w:t>
      </w:r>
    </w:p>
    <w:p w:rsidR="00501080" w:rsidRDefault="00501080" w:rsidP="00501080">
      <w:pPr>
        <w:pStyle w:val="Caption"/>
        <w:jc w:val="center"/>
      </w:pPr>
      <w:r>
        <w:t xml:space="preserve">Table 1: sub-network </w:t>
      </w:r>
      <w:r w:rsidR="002F550A" w:rsidRPr="00290091">
        <w:t>demography class</w:t>
      </w:r>
      <w:r w:rsidR="002F550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2168"/>
        <w:gridCol w:w="4218"/>
      </w:tblGrid>
      <w:tr w:rsidR="002F550A" w:rsidTr="002F550A">
        <w:tc>
          <w:tcPr>
            <w:tcW w:w="3185" w:type="dxa"/>
            <w:tcBorders>
              <w:top w:val="single" w:sz="4" w:space="0" w:color="auto"/>
              <w:left w:val="single" w:sz="4" w:space="0" w:color="auto"/>
              <w:bottom w:val="single" w:sz="4" w:space="0" w:color="auto"/>
              <w:right w:val="single" w:sz="4" w:space="0" w:color="auto"/>
            </w:tcBorders>
            <w:vAlign w:val="center"/>
          </w:tcPr>
          <w:p w:rsidR="002F550A" w:rsidRDefault="002F550A">
            <w:pPr>
              <w:spacing w:line="276" w:lineRule="auto"/>
              <w:jc w:val="center"/>
              <w:rPr>
                <w:b/>
              </w:rPr>
            </w:pPr>
            <w:r>
              <w:rPr>
                <w:b/>
              </w:rPr>
              <w:t>Demography Class</w:t>
            </w:r>
          </w:p>
          <w:p w:rsidR="002F550A" w:rsidRDefault="002F550A">
            <w:pPr>
              <w:spacing w:line="276" w:lineRule="auto"/>
              <w:jc w:val="center"/>
            </w:pPr>
          </w:p>
        </w:tc>
        <w:tc>
          <w:tcPr>
            <w:tcW w:w="216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rPr>
                <w:b/>
              </w:rPr>
            </w:pPr>
            <w:r>
              <w:rPr>
                <w:b/>
              </w:rPr>
              <w:t>Typical population density</w:t>
            </w:r>
            <w:r>
              <w:rPr>
                <w:b/>
              </w:rPr>
              <w:br/>
              <w:t xml:space="preserve"> (</w:t>
            </w:r>
            <w:r>
              <w:t>inhabitants/km²)</w:t>
            </w:r>
          </w:p>
        </w:tc>
        <w:tc>
          <w:tcPr>
            <w:tcW w:w="421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rPr>
                <w:b/>
              </w:rPr>
            </w:pPr>
            <w:r>
              <w:rPr>
                <w:b/>
              </w:rPr>
              <w:t>Population range</w:t>
            </w:r>
          </w:p>
          <w:p w:rsidR="002F550A" w:rsidRDefault="002F550A">
            <w:pPr>
              <w:spacing w:line="276" w:lineRule="auto"/>
              <w:jc w:val="center"/>
              <w:rPr>
                <w:b/>
              </w:rPr>
            </w:pPr>
            <w:r>
              <w:t>(inhabitants/km²)</w:t>
            </w:r>
          </w:p>
        </w:tc>
      </w:tr>
      <w:tr w:rsidR="002F550A" w:rsidTr="002F550A">
        <w:tc>
          <w:tcPr>
            <w:tcW w:w="3185"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Dense Urban (DU)</w:t>
            </w:r>
          </w:p>
        </w:tc>
        <w:tc>
          <w:tcPr>
            <w:tcW w:w="216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 xml:space="preserve">20.000 </w:t>
            </w:r>
          </w:p>
        </w:tc>
        <w:tc>
          <w:tcPr>
            <w:tcW w:w="421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&gt; 10.000</w:t>
            </w:r>
          </w:p>
        </w:tc>
      </w:tr>
      <w:tr w:rsidR="002F550A" w:rsidTr="002F550A">
        <w:tc>
          <w:tcPr>
            <w:tcW w:w="3185"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Urban (U)</w:t>
            </w:r>
          </w:p>
        </w:tc>
        <w:tc>
          <w:tcPr>
            <w:tcW w:w="216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2.000</w:t>
            </w:r>
          </w:p>
        </w:tc>
        <w:tc>
          <w:tcPr>
            <w:tcW w:w="421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1.000 – 10.000</w:t>
            </w:r>
          </w:p>
        </w:tc>
      </w:tr>
      <w:tr w:rsidR="002F550A" w:rsidTr="002F550A">
        <w:tc>
          <w:tcPr>
            <w:tcW w:w="3185"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Sub-urban (SU)</w:t>
            </w:r>
          </w:p>
        </w:tc>
        <w:tc>
          <w:tcPr>
            <w:tcW w:w="216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300</w:t>
            </w:r>
          </w:p>
        </w:tc>
        <w:tc>
          <w:tcPr>
            <w:tcW w:w="421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200 – 1.000</w:t>
            </w:r>
          </w:p>
        </w:tc>
      </w:tr>
      <w:tr w:rsidR="002F550A" w:rsidTr="002F550A">
        <w:tc>
          <w:tcPr>
            <w:tcW w:w="3185"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Rural (RU)</w:t>
            </w:r>
          </w:p>
        </w:tc>
        <w:tc>
          <w:tcPr>
            <w:tcW w:w="216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30</w:t>
            </w:r>
          </w:p>
        </w:tc>
        <w:tc>
          <w:tcPr>
            <w:tcW w:w="421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20 – 200</w:t>
            </w:r>
          </w:p>
        </w:tc>
      </w:tr>
      <w:tr w:rsidR="002F550A" w:rsidTr="002F550A">
        <w:tc>
          <w:tcPr>
            <w:tcW w:w="3185"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Unpopulated</w:t>
            </w:r>
          </w:p>
        </w:tc>
        <w:tc>
          <w:tcPr>
            <w:tcW w:w="216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0</w:t>
            </w:r>
          </w:p>
        </w:tc>
        <w:tc>
          <w:tcPr>
            <w:tcW w:w="4218" w:type="dxa"/>
            <w:tcBorders>
              <w:top w:val="single" w:sz="4" w:space="0" w:color="auto"/>
              <w:left w:val="single" w:sz="4" w:space="0" w:color="auto"/>
              <w:bottom w:val="single" w:sz="4" w:space="0" w:color="auto"/>
              <w:right w:val="single" w:sz="4" w:space="0" w:color="auto"/>
            </w:tcBorders>
            <w:vAlign w:val="center"/>
            <w:hideMark/>
          </w:tcPr>
          <w:p w:rsidR="002F550A" w:rsidRDefault="002F550A">
            <w:pPr>
              <w:spacing w:line="276" w:lineRule="auto"/>
              <w:jc w:val="center"/>
            </w:pPr>
            <w:r>
              <w:t xml:space="preserve"> &lt; 20</w:t>
            </w:r>
          </w:p>
        </w:tc>
      </w:tr>
    </w:tbl>
    <w:p w:rsidR="00290091" w:rsidRDefault="00290091" w:rsidP="00290091">
      <w:pPr>
        <w:pStyle w:val="Heading3"/>
      </w:pPr>
      <w:bookmarkStart w:id="105" w:name="_Toc375054167"/>
      <w:r>
        <w:rPr>
          <w:lang w:val="en-US"/>
        </w:rPr>
        <w:t>4.3.2</w:t>
      </w:r>
      <w:r w:rsidRPr="00825BEE">
        <w:rPr>
          <w:lang w:val="en-US"/>
        </w:rPr>
        <w:tab/>
      </w:r>
      <w:r>
        <w:t>Topography</w:t>
      </w:r>
      <w:bookmarkEnd w:id="105"/>
    </w:p>
    <w:tbl>
      <w:tblPr>
        <w:tblW w:w="9513" w:type="dxa"/>
        <w:tblInd w:w="55" w:type="dxa"/>
        <w:tblCellMar>
          <w:left w:w="70" w:type="dxa"/>
          <w:right w:w="70" w:type="dxa"/>
        </w:tblCellMar>
        <w:tblLook w:val="04A0" w:firstRow="1" w:lastRow="0" w:firstColumn="1" w:lastColumn="0" w:noHBand="0" w:noVBand="1"/>
      </w:tblPr>
      <w:tblGrid>
        <w:gridCol w:w="2900"/>
        <w:gridCol w:w="2861"/>
        <w:gridCol w:w="3752"/>
      </w:tblGrid>
      <w:tr w:rsidR="00290091" w:rsidRPr="00290091" w:rsidTr="00DA630D">
        <w:trPr>
          <w:trHeight w:val="227"/>
        </w:trPr>
        <w:tc>
          <w:tcPr>
            <w:tcW w:w="5761"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90091" w:rsidRPr="00290091" w:rsidRDefault="00290091" w:rsidP="00290091">
            <w:pPr>
              <w:spacing w:line="276" w:lineRule="auto"/>
              <w:jc w:val="center"/>
              <w:rPr>
                <w:b/>
              </w:rPr>
            </w:pPr>
            <w:r w:rsidRPr="00290091">
              <w:rPr>
                <w:b/>
              </w:rPr>
              <w:t>Proposed system</w:t>
            </w:r>
          </w:p>
        </w:tc>
        <w:tc>
          <w:tcPr>
            <w:tcW w:w="3752" w:type="dxa"/>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rsidR="00290091" w:rsidRPr="00290091" w:rsidRDefault="00290091" w:rsidP="00290091">
            <w:pPr>
              <w:spacing w:line="276" w:lineRule="auto"/>
              <w:jc w:val="center"/>
              <w:rPr>
                <w:b/>
              </w:rPr>
            </w:pPr>
            <w:r w:rsidRPr="00290091">
              <w:rPr>
                <w:b/>
              </w:rPr>
              <w:t>Examples</w:t>
            </w:r>
          </w:p>
        </w:tc>
      </w:tr>
      <w:tr w:rsidR="00290091" w:rsidRPr="00290091" w:rsidTr="00DA630D">
        <w:trPr>
          <w:trHeight w:val="227"/>
        </w:trPr>
        <w:tc>
          <w:tcPr>
            <w:tcW w:w="2900" w:type="dxa"/>
            <w:tcBorders>
              <w:top w:val="nil"/>
              <w:left w:val="single" w:sz="8" w:space="0" w:color="auto"/>
              <w:bottom w:val="single" w:sz="4" w:space="0" w:color="auto"/>
              <w:right w:val="single" w:sz="4" w:space="0" w:color="auto"/>
            </w:tcBorders>
            <w:shd w:val="clear" w:color="auto" w:fill="auto"/>
            <w:noWrap/>
            <w:vAlign w:val="bottom"/>
            <w:hideMark/>
          </w:tcPr>
          <w:p w:rsidR="00290091" w:rsidRPr="00290091" w:rsidRDefault="00290091" w:rsidP="00290091">
            <w:pPr>
              <w:spacing w:line="276" w:lineRule="auto"/>
              <w:jc w:val="center"/>
              <w:rPr>
                <w:b/>
              </w:rPr>
            </w:pPr>
            <w:r w:rsidRPr="00290091">
              <w:rPr>
                <w:b/>
              </w:rPr>
              <w:t>ETSI class</w:t>
            </w:r>
          </w:p>
        </w:tc>
        <w:tc>
          <w:tcPr>
            <w:tcW w:w="2861" w:type="dxa"/>
            <w:tcBorders>
              <w:top w:val="nil"/>
              <w:left w:val="nil"/>
              <w:bottom w:val="single" w:sz="4" w:space="0" w:color="auto"/>
              <w:right w:val="single" w:sz="4" w:space="0" w:color="auto"/>
            </w:tcBorders>
            <w:shd w:val="clear" w:color="auto" w:fill="auto"/>
            <w:noWrap/>
            <w:vAlign w:val="bottom"/>
            <w:hideMark/>
          </w:tcPr>
          <w:p w:rsidR="00290091" w:rsidRPr="00290091" w:rsidRDefault="00290091" w:rsidP="00290091">
            <w:pPr>
              <w:spacing w:line="276" w:lineRule="auto"/>
              <w:jc w:val="center"/>
              <w:rPr>
                <w:b/>
              </w:rPr>
            </w:pPr>
            <w:r w:rsidRPr="00290091">
              <w:rPr>
                <w:b/>
              </w:rPr>
              <w:t>Median Slope</w:t>
            </w:r>
          </w:p>
        </w:tc>
        <w:tc>
          <w:tcPr>
            <w:tcW w:w="3752" w:type="dxa"/>
            <w:vMerge/>
            <w:tcBorders>
              <w:top w:val="single" w:sz="8" w:space="0" w:color="auto"/>
              <w:left w:val="single" w:sz="4" w:space="0" w:color="auto"/>
              <w:bottom w:val="single" w:sz="4" w:space="0" w:color="auto"/>
              <w:right w:val="single" w:sz="8" w:space="0" w:color="auto"/>
            </w:tcBorders>
            <w:vAlign w:val="center"/>
            <w:hideMark/>
          </w:tcPr>
          <w:p w:rsidR="00290091" w:rsidRPr="00290091" w:rsidRDefault="00290091" w:rsidP="00290091">
            <w:pPr>
              <w:spacing w:line="276" w:lineRule="auto"/>
            </w:pPr>
          </w:p>
        </w:tc>
      </w:tr>
      <w:tr w:rsidR="00290091" w:rsidRPr="00290091" w:rsidTr="00DA630D">
        <w:trPr>
          <w:trHeight w:val="444"/>
        </w:trPr>
        <w:tc>
          <w:tcPr>
            <w:tcW w:w="2900" w:type="dxa"/>
            <w:vMerge w:val="restart"/>
            <w:tcBorders>
              <w:top w:val="nil"/>
              <w:left w:val="single" w:sz="8" w:space="0" w:color="auto"/>
              <w:bottom w:val="single" w:sz="4" w:space="0" w:color="auto"/>
              <w:right w:val="single" w:sz="4" w:space="0" w:color="auto"/>
            </w:tcBorders>
            <w:shd w:val="clear" w:color="auto" w:fill="auto"/>
            <w:vAlign w:val="center"/>
            <w:hideMark/>
          </w:tcPr>
          <w:p w:rsidR="00290091" w:rsidRPr="00290091" w:rsidRDefault="00290091" w:rsidP="00290091">
            <w:pPr>
              <w:spacing w:line="276" w:lineRule="auto"/>
              <w:jc w:val="center"/>
            </w:pPr>
            <w:r w:rsidRPr="00290091">
              <w:t>1</w:t>
            </w:r>
            <w:r w:rsidRPr="00290091">
              <w:br/>
              <w:t>Flat</w:t>
            </w:r>
            <w:r w:rsidRPr="00290091">
              <w:br/>
              <w:t>(FAO 1-3)</w:t>
            </w:r>
          </w:p>
        </w:tc>
        <w:tc>
          <w:tcPr>
            <w:tcW w:w="2861" w:type="dxa"/>
            <w:vMerge w:val="restart"/>
            <w:tcBorders>
              <w:top w:val="nil"/>
              <w:left w:val="single" w:sz="4" w:space="0" w:color="auto"/>
              <w:bottom w:val="single" w:sz="4" w:space="0" w:color="auto"/>
              <w:right w:val="single" w:sz="4" w:space="0" w:color="auto"/>
            </w:tcBorders>
            <w:shd w:val="clear" w:color="auto" w:fill="auto"/>
            <w:vAlign w:val="center"/>
            <w:hideMark/>
          </w:tcPr>
          <w:p w:rsidR="00290091" w:rsidRPr="00290091" w:rsidRDefault="00290091" w:rsidP="00290091">
            <w:pPr>
              <w:spacing w:line="276" w:lineRule="auto"/>
              <w:jc w:val="center"/>
            </w:pPr>
            <w:r w:rsidRPr="00290091">
              <w:t>0 - 5%</w:t>
            </w:r>
          </w:p>
        </w:tc>
        <w:tc>
          <w:tcPr>
            <w:tcW w:w="3752" w:type="dxa"/>
            <w:vMerge w:val="restart"/>
            <w:tcBorders>
              <w:top w:val="nil"/>
              <w:left w:val="single" w:sz="4" w:space="0" w:color="auto"/>
              <w:bottom w:val="single" w:sz="4" w:space="0" w:color="auto"/>
              <w:right w:val="single" w:sz="8" w:space="0" w:color="auto"/>
            </w:tcBorders>
            <w:shd w:val="clear" w:color="auto" w:fill="auto"/>
            <w:vAlign w:val="center"/>
            <w:hideMark/>
          </w:tcPr>
          <w:p w:rsidR="00290091" w:rsidRPr="00290091" w:rsidRDefault="00290091" w:rsidP="00290091">
            <w:pPr>
              <w:spacing w:line="276" w:lineRule="auto"/>
              <w:jc w:val="center"/>
            </w:pPr>
            <w:proofErr w:type="spellStart"/>
            <w:r w:rsidRPr="00290091">
              <w:t>Danmark</w:t>
            </w:r>
            <w:proofErr w:type="spellEnd"/>
            <w:r w:rsidRPr="00290091">
              <w:t>, Netherlands</w:t>
            </w:r>
          </w:p>
        </w:tc>
      </w:tr>
      <w:tr w:rsidR="00290091" w:rsidRPr="00290091" w:rsidTr="00DA630D">
        <w:trPr>
          <w:trHeight w:val="444"/>
        </w:trPr>
        <w:tc>
          <w:tcPr>
            <w:tcW w:w="2900" w:type="dxa"/>
            <w:vMerge/>
            <w:tcBorders>
              <w:top w:val="nil"/>
              <w:left w:val="single" w:sz="8" w:space="0" w:color="auto"/>
              <w:bottom w:val="single" w:sz="4" w:space="0" w:color="auto"/>
              <w:right w:val="single" w:sz="4" w:space="0" w:color="auto"/>
            </w:tcBorders>
            <w:vAlign w:val="center"/>
            <w:hideMark/>
          </w:tcPr>
          <w:p w:rsidR="00290091" w:rsidRPr="00290091" w:rsidRDefault="00290091" w:rsidP="00290091">
            <w:pPr>
              <w:spacing w:line="276" w:lineRule="auto"/>
              <w:jc w:val="center"/>
            </w:pPr>
          </w:p>
        </w:tc>
        <w:tc>
          <w:tcPr>
            <w:tcW w:w="2861" w:type="dxa"/>
            <w:vMerge/>
            <w:tcBorders>
              <w:top w:val="nil"/>
              <w:left w:val="single" w:sz="4" w:space="0" w:color="auto"/>
              <w:bottom w:val="single" w:sz="4" w:space="0" w:color="auto"/>
              <w:right w:val="single" w:sz="4" w:space="0" w:color="auto"/>
            </w:tcBorders>
            <w:vAlign w:val="center"/>
            <w:hideMark/>
          </w:tcPr>
          <w:p w:rsidR="00290091" w:rsidRPr="00290091" w:rsidRDefault="00290091" w:rsidP="00290091">
            <w:pPr>
              <w:spacing w:line="276" w:lineRule="auto"/>
              <w:jc w:val="center"/>
            </w:pPr>
          </w:p>
        </w:tc>
        <w:tc>
          <w:tcPr>
            <w:tcW w:w="3752" w:type="dxa"/>
            <w:vMerge/>
            <w:tcBorders>
              <w:top w:val="nil"/>
              <w:left w:val="single" w:sz="4" w:space="0" w:color="auto"/>
              <w:bottom w:val="single" w:sz="4" w:space="0" w:color="auto"/>
              <w:right w:val="single" w:sz="8" w:space="0" w:color="auto"/>
            </w:tcBorders>
            <w:vAlign w:val="center"/>
            <w:hideMark/>
          </w:tcPr>
          <w:p w:rsidR="00290091" w:rsidRPr="00290091" w:rsidRDefault="00290091" w:rsidP="00290091">
            <w:pPr>
              <w:spacing w:line="276" w:lineRule="auto"/>
              <w:jc w:val="center"/>
            </w:pPr>
          </w:p>
        </w:tc>
      </w:tr>
      <w:tr w:rsidR="00290091" w:rsidRPr="00290091" w:rsidTr="00DA630D">
        <w:trPr>
          <w:trHeight w:val="444"/>
        </w:trPr>
        <w:tc>
          <w:tcPr>
            <w:tcW w:w="2900" w:type="dxa"/>
            <w:vMerge/>
            <w:tcBorders>
              <w:top w:val="nil"/>
              <w:left w:val="single" w:sz="8" w:space="0" w:color="auto"/>
              <w:bottom w:val="single" w:sz="4" w:space="0" w:color="auto"/>
              <w:right w:val="single" w:sz="4" w:space="0" w:color="auto"/>
            </w:tcBorders>
            <w:vAlign w:val="center"/>
            <w:hideMark/>
          </w:tcPr>
          <w:p w:rsidR="00290091" w:rsidRPr="00290091" w:rsidRDefault="00290091" w:rsidP="00290091">
            <w:pPr>
              <w:spacing w:line="276" w:lineRule="auto"/>
              <w:jc w:val="center"/>
            </w:pPr>
          </w:p>
        </w:tc>
        <w:tc>
          <w:tcPr>
            <w:tcW w:w="2861" w:type="dxa"/>
            <w:vMerge/>
            <w:tcBorders>
              <w:top w:val="nil"/>
              <w:left w:val="single" w:sz="4" w:space="0" w:color="auto"/>
              <w:bottom w:val="single" w:sz="4" w:space="0" w:color="auto"/>
              <w:right w:val="single" w:sz="4" w:space="0" w:color="auto"/>
            </w:tcBorders>
            <w:vAlign w:val="center"/>
            <w:hideMark/>
          </w:tcPr>
          <w:p w:rsidR="00290091" w:rsidRPr="00290091" w:rsidRDefault="00290091" w:rsidP="00290091">
            <w:pPr>
              <w:spacing w:line="276" w:lineRule="auto"/>
              <w:jc w:val="center"/>
            </w:pPr>
          </w:p>
        </w:tc>
        <w:tc>
          <w:tcPr>
            <w:tcW w:w="3752" w:type="dxa"/>
            <w:vMerge/>
            <w:tcBorders>
              <w:top w:val="nil"/>
              <w:left w:val="single" w:sz="4" w:space="0" w:color="auto"/>
              <w:bottom w:val="single" w:sz="4" w:space="0" w:color="auto"/>
              <w:right w:val="single" w:sz="8" w:space="0" w:color="auto"/>
            </w:tcBorders>
            <w:vAlign w:val="center"/>
            <w:hideMark/>
          </w:tcPr>
          <w:p w:rsidR="00290091" w:rsidRPr="00290091" w:rsidRDefault="00290091" w:rsidP="00290091">
            <w:pPr>
              <w:spacing w:line="276" w:lineRule="auto"/>
              <w:jc w:val="center"/>
            </w:pPr>
          </w:p>
        </w:tc>
      </w:tr>
      <w:tr w:rsidR="00290091" w:rsidRPr="00290091" w:rsidTr="00DA630D">
        <w:trPr>
          <w:trHeight w:val="444"/>
        </w:trPr>
        <w:tc>
          <w:tcPr>
            <w:tcW w:w="2900" w:type="dxa"/>
            <w:vMerge w:val="restart"/>
            <w:tcBorders>
              <w:top w:val="nil"/>
              <w:left w:val="single" w:sz="8" w:space="0" w:color="auto"/>
              <w:bottom w:val="single" w:sz="4" w:space="0" w:color="auto"/>
              <w:right w:val="single" w:sz="4" w:space="0" w:color="auto"/>
            </w:tcBorders>
            <w:shd w:val="clear" w:color="auto" w:fill="auto"/>
            <w:vAlign w:val="center"/>
            <w:hideMark/>
          </w:tcPr>
          <w:p w:rsidR="00290091" w:rsidRPr="00290091" w:rsidRDefault="00290091" w:rsidP="00290091">
            <w:pPr>
              <w:spacing w:line="276" w:lineRule="auto"/>
              <w:jc w:val="center"/>
            </w:pPr>
            <w:r w:rsidRPr="00290091">
              <w:t>2</w:t>
            </w:r>
            <w:r w:rsidRPr="00290091">
              <w:br/>
              <w:t>Rolling</w:t>
            </w:r>
            <w:r w:rsidRPr="00290091">
              <w:br/>
              <w:t>(FAO 4-6)</w:t>
            </w:r>
          </w:p>
        </w:tc>
        <w:tc>
          <w:tcPr>
            <w:tcW w:w="2861" w:type="dxa"/>
            <w:vMerge w:val="restart"/>
            <w:tcBorders>
              <w:top w:val="nil"/>
              <w:left w:val="single" w:sz="4" w:space="0" w:color="auto"/>
              <w:bottom w:val="single" w:sz="4" w:space="0" w:color="auto"/>
              <w:right w:val="single" w:sz="4" w:space="0" w:color="auto"/>
            </w:tcBorders>
            <w:shd w:val="clear" w:color="auto" w:fill="auto"/>
            <w:vAlign w:val="center"/>
            <w:hideMark/>
          </w:tcPr>
          <w:p w:rsidR="00290091" w:rsidRPr="00290091" w:rsidRDefault="00290091" w:rsidP="00290091">
            <w:pPr>
              <w:spacing w:line="276" w:lineRule="auto"/>
              <w:jc w:val="center"/>
            </w:pPr>
            <w:r w:rsidRPr="00290091">
              <w:t>&gt;5 - 30%</w:t>
            </w:r>
          </w:p>
        </w:tc>
        <w:tc>
          <w:tcPr>
            <w:tcW w:w="3752" w:type="dxa"/>
            <w:vMerge w:val="restart"/>
            <w:tcBorders>
              <w:top w:val="nil"/>
              <w:left w:val="single" w:sz="4" w:space="0" w:color="auto"/>
              <w:bottom w:val="single" w:sz="4" w:space="0" w:color="auto"/>
              <w:right w:val="single" w:sz="8" w:space="0" w:color="auto"/>
            </w:tcBorders>
            <w:shd w:val="clear" w:color="auto" w:fill="auto"/>
            <w:vAlign w:val="center"/>
            <w:hideMark/>
          </w:tcPr>
          <w:p w:rsidR="00290091" w:rsidRPr="00290091" w:rsidRDefault="00290091" w:rsidP="00290091">
            <w:pPr>
              <w:spacing w:line="276" w:lineRule="auto"/>
              <w:jc w:val="center"/>
            </w:pPr>
            <w:r w:rsidRPr="00290091">
              <w:t>France, Italy</w:t>
            </w:r>
          </w:p>
        </w:tc>
      </w:tr>
      <w:tr w:rsidR="00290091" w:rsidRPr="00290091" w:rsidTr="00DA630D">
        <w:trPr>
          <w:trHeight w:val="444"/>
        </w:trPr>
        <w:tc>
          <w:tcPr>
            <w:tcW w:w="2900" w:type="dxa"/>
            <w:vMerge/>
            <w:tcBorders>
              <w:top w:val="nil"/>
              <w:left w:val="single" w:sz="8" w:space="0" w:color="auto"/>
              <w:bottom w:val="single" w:sz="4" w:space="0" w:color="auto"/>
              <w:right w:val="single" w:sz="4" w:space="0" w:color="auto"/>
            </w:tcBorders>
            <w:vAlign w:val="center"/>
            <w:hideMark/>
          </w:tcPr>
          <w:p w:rsidR="00290091" w:rsidRPr="00290091" w:rsidRDefault="00290091" w:rsidP="00290091">
            <w:pPr>
              <w:spacing w:line="276" w:lineRule="auto"/>
              <w:jc w:val="center"/>
            </w:pPr>
          </w:p>
        </w:tc>
        <w:tc>
          <w:tcPr>
            <w:tcW w:w="2861" w:type="dxa"/>
            <w:vMerge/>
            <w:tcBorders>
              <w:top w:val="nil"/>
              <w:left w:val="single" w:sz="4" w:space="0" w:color="auto"/>
              <w:bottom w:val="single" w:sz="4" w:space="0" w:color="auto"/>
              <w:right w:val="single" w:sz="4" w:space="0" w:color="auto"/>
            </w:tcBorders>
            <w:vAlign w:val="center"/>
            <w:hideMark/>
          </w:tcPr>
          <w:p w:rsidR="00290091" w:rsidRPr="00290091" w:rsidRDefault="00290091" w:rsidP="00290091">
            <w:pPr>
              <w:spacing w:line="276" w:lineRule="auto"/>
              <w:jc w:val="center"/>
            </w:pPr>
          </w:p>
        </w:tc>
        <w:tc>
          <w:tcPr>
            <w:tcW w:w="3752" w:type="dxa"/>
            <w:vMerge/>
            <w:tcBorders>
              <w:top w:val="nil"/>
              <w:left w:val="single" w:sz="4" w:space="0" w:color="auto"/>
              <w:bottom w:val="single" w:sz="4" w:space="0" w:color="auto"/>
              <w:right w:val="single" w:sz="8" w:space="0" w:color="auto"/>
            </w:tcBorders>
            <w:vAlign w:val="center"/>
            <w:hideMark/>
          </w:tcPr>
          <w:p w:rsidR="00290091" w:rsidRPr="00290091" w:rsidRDefault="00290091" w:rsidP="00290091">
            <w:pPr>
              <w:spacing w:line="276" w:lineRule="auto"/>
              <w:jc w:val="center"/>
            </w:pPr>
          </w:p>
        </w:tc>
      </w:tr>
      <w:tr w:rsidR="00290091" w:rsidRPr="00290091" w:rsidTr="00DA630D">
        <w:trPr>
          <w:trHeight w:val="444"/>
        </w:trPr>
        <w:tc>
          <w:tcPr>
            <w:tcW w:w="2900" w:type="dxa"/>
            <w:vMerge/>
            <w:tcBorders>
              <w:top w:val="nil"/>
              <w:left w:val="single" w:sz="8" w:space="0" w:color="auto"/>
              <w:bottom w:val="single" w:sz="4" w:space="0" w:color="auto"/>
              <w:right w:val="single" w:sz="4" w:space="0" w:color="auto"/>
            </w:tcBorders>
            <w:vAlign w:val="center"/>
            <w:hideMark/>
          </w:tcPr>
          <w:p w:rsidR="00290091" w:rsidRPr="00290091" w:rsidRDefault="00290091" w:rsidP="00290091">
            <w:pPr>
              <w:spacing w:line="276" w:lineRule="auto"/>
              <w:jc w:val="center"/>
            </w:pPr>
          </w:p>
        </w:tc>
        <w:tc>
          <w:tcPr>
            <w:tcW w:w="2861" w:type="dxa"/>
            <w:vMerge/>
            <w:tcBorders>
              <w:top w:val="nil"/>
              <w:left w:val="single" w:sz="4" w:space="0" w:color="auto"/>
              <w:bottom w:val="single" w:sz="4" w:space="0" w:color="auto"/>
              <w:right w:val="single" w:sz="4" w:space="0" w:color="auto"/>
            </w:tcBorders>
            <w:vAlign w:val="center"/>
            <w:hideMark/>
          </w:tcPr>
          <w:p w:rsidR="00290091" w:rsidRPr="00290091" w:rsidRDefault="00290091" w:rsidP="00290091">
            <w:pPr>
              <w:spacing w:line="276" w:lineRule="auto"/>
              <w:jc w:val="center"/>
            </w:pPr>
          </w:p>
        </w:tc>
        <w:tc>
          <w:tcPr>
            <w:tcW w:w="3752" w:type="dxa"/>
            <w:vMerge/>
            <w:tcBorders>
              <w:top w:val="nil"/>
              <w:left w:val="single" w:sz="4" w:space="0" w:color="auto"/>
              <w:bottom w:val="single" w:sz="4" w:space="0" w:color="auto"/>
              <w:right w:val="single" w:sz="8" w:space="0" w:color="auto"/>
            </w:tcBorders>
            <w:vAlign w:val="center"/>
            <w:hideMark/>
          </w:tcPr>
          <w:p w:rsidR="00290091" w:rsidRPr="00290091" w:rsidRDefault="00290091" w:rsidP="00290091">
            <w:pPr>
              <w:spacing w:line="276" w:lineRule="auto"/>
              <w:jc w:val="center"/>
            </w:pPr>
          </w:p>
        </w:tc>
      </w:tr>
      <w:tr w:rsidR="00290091" w:rsidRPr="00290091" w:rsidTr="00DA630D">
        <w:trPr>
          <w:trHeight w:val="444"/>
        </w:trPr>
        <w:tc>
          <w:tcPr>
            <w:tcW w:w="2900" w:type="dxa"/>
            <w:vMerge w:val="restart"/>
            <w:tcBorders>
              <w:top w:val="nil"/>
              <w:left w:val="single" w:sz="8" w:space="0" w:color="auto"/>
              <w:bottom w:val="single" w:sz="8" w:space="0" w:color="000000"/>
              <w:right w:val="single" w:sz="4" w:space="0" w:color="auto"/>
            </w:tcBorders>
            <w:shd w:val="clear" w:color="auto" w:fill="auto"/>
            <w:vAlign w:val="center"/>
            <w:hideMark/>
          </w:tcPr>
          <w:p w:rsidR="00290091" w:rsidRPr="00290091" w:rsidRDefault="00290091" w:rsidP="00290091">
            <w:pPr>
              <w:spacing w:line="276" w:lineRule="auto"/>
              <w:jc w:val="center"/>
            </w:pPr>
            <w:r w:rsidRPr="00290091">
              <w:t>3</w:t>
            </w:r>
            <w:r w:rsidRPr="00290091">
              <w:br/>
              <w:t>Mountainous</w:t>
            </w:r>
            <w:r w:rsidRPr="00290091">
              <w:br/>
              <w:t>(FAO 7-8)</w:t>
            </w:r>
          </w:p>
        </w:tc>
        <w:tc>
          <w:tcPr>
            <w:tcW w:w="2861" w:type="dxa"/>
            <w:vMerge w:val="restart"/>
            <w:tcBorders>
              <w:top w:val="nil"/>
              <w:left w:val="single" w:sz="4" w:space="0" w:color="auto"/>
              <w:bottom w:val="single" w:sz="8" w:space="0" w:color="000000"/>
              <w:right w:val="single" w:sz="4" w:space="0" w:color="auto"/>
            </w:tcBorders>
            <w:shd w:val="clear" w:color="auto" w:fill="auto"/>
            <w:vAlign w:val="center"/>
            <w:hideMark/>
          </w:tcPr>
          <w:p w:rsidR="00290091" w:rsidRPr="00290091" w:rsidRDefault="00290091" w:rsidP="00290091">
            <w:pPr>
              <w:spacing w:line="276" w:lineRule="auto"/>
              <w:jc w:val="center"/>
            </w:pPr>
            <w:r w:rsidRPr="00290091">
              <w:t>&gt;30%</w:t>
            </w:r>
          </w:p>
        </w:tc>
        <w:tc>
          <w:tcPr>
            <w:tcW w:w="3752" w:type="dxa"/>
            <w:vMerge w:val="restart"/>
            <w:tcBorders>
              <w:top w:val="nil"/>
              <w:left w:val="single" w:sz="4" w:space="0" w:color="auto"/>
              <w:bottom w:val="single" w:sz="8" w:space="0" w:color="000000"/>
              <w:right w:val="single" w:sz="8" w:space="0" w:color="auto"/>
            </w:tcBorders>
            <w:shd w:val="clear" w:color="auto" w:fill="auto"/>
            <w:vAlign w:val="center"/>
            <w:hideMark/>
          </w:tcPr>
          <w:p w:rsidR="00290091" w:rsidRPr="00290091" w:rsidRDefault="00290091" w:rsidP="00290091">
            <w:pPr>
              <w:spacing w:line="276" w:lineRule="auto"/>
              <w:jc w:val="center"/>
            </w:pPr>
            <w:r w:rsidRPr="00290091">
              <w:t>Norway, Switzerland</w:t>
            </w:r>
          </w:p>
        </w:tc>
      </w:tr>
      <w:tr w:rsidR="00290091" w:rsidRPr="00290091" w:rsidTr="00DA630D">
        <w:trPr>
          <w:trHeight w:val="269"/>
        </w:trPr>
        <w:tc>
          <w:tcPr>
            <w:tcW w:w="2900" w:type="dxa"/>
            <w:vMerge/>
            <w:tcBorders>
              <w:top w:val="nil"/>
              <w:left w:val="single" w:sz="8" w:space="0" w:color="auto"/>
              <w:bottom w:val="single" w:sz="8" w:space="0" w:color="000000"/>
              <w:right w:val="single" w:sz="4" w:space="0" w:color="auto"/>
            </w:tcBorders>
            <w:vAlign w:val="center"/>
            <w:hideMark/>
          </w:tcPr>
          <w:p w:rsidR="00290091" w:rsidRPr="00290091" w:rsidRDefault="00290091" w:rsidP="00290091">
            <w:pPr>
              <w:overflowPunct/>
              <w:autoSpaceDE/>
              <w:autoSpaceDN/>
              <w:adjustRightInd/>
              <w:spacing w:after="0"/>
              <w:textAlignment w:val="auto"/>
              <w:rPr>
                <w:rFonts w:ascii="Calibri" w:hAnsi="Calibri"/>
                <w:color w:val="000000"/>
                <w:sz w:val="22"/>
                <w:szCs w:val="22"/>
                <w:lang w:val="sv-SE" w:eastAsia="zh-CN"/>
              </w:rPr>
            </w:pPr>
          </w:p>
        </w:tc>
        <w:tc>
          <w:tcPr>
            <w:tcW w:w="2861" w:type="dxa"/>
            <w:vMerge/>
            <w:tcBorders>
              <w:top w:val="nil"/>
              <w:left w:val="single" w:sz="4" w:space="0" w:color="auto"/>
              <w:bottom w:val="single" w:sz="8" w:space="0" w:color="000000"/>
              <w:right w:val="single" w:sz="4" w:space="0" w:color="auto"/>
            </w:tcBorders>
            <w:vAlign w:val="center"/>
            <w:hideMark/>
          </w:tcPr>
          <w:p w:rsidR="00290091" w:rsidRPr="00290091" w:rsidRDefault="00290091" w:rsidP="00290091">
            <w:pPr>
              <w:overflowPunct/>
              <w:autoSpaceDE/>
              <w:autoSpaceDN/>
              <w:adjustRightInd/>
              <w:spacing w:after="0"/>
              <w:textAlignment w:val="auto"/>
              <w:rPr>
                <w:rFonts w:ascii="Calibri" w:hAnsi="Calibri"/>
                <w:color w:val="000000"/>
                <w:sz w:val="22"/>
                <w:szCs w:val="22"/>
                <w:lang w:val="sv-SE" w:eastAsia="zh-CN"/>
              </w:rPr>
            </w:pPr>
          </w:p>
        </w:tc>
        <w:tc>
          <w:tcPr>
            <w:tcW w:w="3752" w:type="dxa"/>
            <w:vMerge/>
            <w:tcBorders>
              <w:top w:val="nil"/>
              <w:left w:val="single" w:sz="4" w:space="0" w:color="auto"/>
              <w:bottom w:val="single" w:sz="8" w:space="0" w:color="000000"/>
              <w:right w:val="single" w:sz="8" w:space="0" w:color="auto"/>
            </w:tcBorders>
            <w:vAlign w:val="center"/>
            <w:hideMark/>
          </w:tcPr>
          <w:p w:rsidR="00290091" w:rsidRPr="00290091" w:rsidRDefault="00290091" w:rsidP="00290091">
            <w:pPr>
              <w:overflowPunct/>
              <w:autoSpaceDE/>
              <w:autoSpaceDN/>
              <w:adjustRightInd/>
              <w:spacing w:after="0"/>
              <w:textAlignment w:val="auto"/>
              <w:rPr>
                <w:rFonts w:ascii="Calibri" w:hAnsi="Calibri"/>
                <w:color w:val="000000"/>
                <w:sz w:val="22"/>
                <w:szCs w:val="22"/>
                <w:lang w:val="sv-SE" w:eastAsia="zh-CN"/>
              </w:rPr>
            </w:pPr>
          </w:p>
        </w:tc>
      </w:tr>
      <w:tr w:rsidR="00290091" w:rsidRPr="00290091" w:rsidTr="00DA630D">
        <w:trPr>
          <w:trHeight w:val="269"/>
        </w:trPr>
        <w:tc>
          <w:tcPr>
            <w:tcW w:w="2900" w:type="dxa"/>
            <w:vMerge/>
            <w:tcBorders>
              <w:top w:val="nil"/>
              <w:left w:val="single" w:sz="8" w:space="0" w:color="auto"/>
              <w:bottom w:val="single" w:sz="8" w:space="0" w:color="000000"/>
              <w:right w:val="single" w:sz="4" w:space="0" w:color="auto"/>
            </w:tcBorders>
            <w:vAlign w:val="center"/>
            <w:hideMark/>
          </w:tcPr>
          <w:p w:rsidR="00290091" w:rsidRPr="00290091" w:rsidRDefault="00290091" w:rsidP="00290091">
            <w:pPr>
              <w:overflowPunct/>
              <w:autoSpaceDE/>
              <w:autoSpaceDN/>
              <w:adjustRightInd/>
              <w:spacing w:after="0"/>
              <w:textAlignment w:val="auto"/>
              <w:rPr>
                <w:rFonts w:ascii="Calibri" w:hAnsi="Calibri"/>
                <w:color w:val="000000"/>
                <w:sz w:val="22"/>
                <w:szCs w:val="22"/>
                <w:lang w:val="sv-SE" w:eastAsia="zh-CN"/>
              </w:rPr>
            </w:pPr>
          </w:p>
        </w:tc>
        <w:tc>
          <w:tcPr>
            <w:tcW w:w="2861" w:type="dxa"/>
            <w:vMerge/>
            <w:tcBorders>
              <w:top w:val="nil"/>
              <w:left w:val="single" w:sz="4" w:space="0" w:color="auto"/>
              <w:bottom w:val="single" w:sz="8" w:space="0" w:color="000000"/>
              <w:right w:val="single" w:sz="4" w:space="0" w:color="auto"/>
            </w:tcBorders>
            <w:vAlign w:val="center"/>
            <w:hideMark/>
          </w:tcPr>
          <w:p w:rsidR="00290091" w:rsidRPr="00290091" w:rsidRDefault="00290091" w:rsidP="00290091">
            <w:pPr>
              <w:overflowPunct/>
              <w:autoSpaceDE/>
              <w:autoSpaceDN/>
              <w:adjustRightInd/>
              <w:spacing w:after="0"/>
              <w:textAlignment w:val="auto"/>
              <w:rPr>
                <w:rFonts w:ascii="Calibri" w:hAnsi="Calibri"/>
                <w:color w:val="000000"/>
                <w:sz w:val="22"/>
                <w:szCs w:val="22"/>
                <w:lang w:val="sv-SE" w:eastAsia="zh-CN"/>
              </w:rPr>
            </w:pPr>
          </w:p>
        </w:tc>
        <w:tc>
          <w:tcPr>
            <w:tcW w:w="3752" w:type="dxa"/>
            <w:vMerge/>
            <w:tcBorders>
              <w:top w:val="nil"/>
              <w:left w:val="single" w:sz="4" w:space="0" w:color="auto"/>
              <w:bottom w:val="single" w:sz="8" w:space="0" w:color="000000"/>
              <w:right w:val="single" w:sz="8" w:space="0" w:color="auto"/>
            </w:tcBorders>
            <w:vAlign w:val="center"/>
            <w:hideMark/>
          </w:tcPr>
          <w:p w:rsidR="00290091" w:rsidRPr="00290091" w:rsidRDefault="00290091" w:rsidP="00290091">
            <w:pPr>
              <w:overflowPunct/>
              <w:autoSpaceDE/>
              <w:autoSpaceDN/>
              <w:adjustRightInd/>
              <w:spacing w:after="0"/>
              <w:textAlignment w:val="auto"/>
              <w:rPr>
                <w:rFonts w:ascii="Calibri" w:hAnsi="Calibri"/>
                <w:color w:val="000000"/>
                <w:sz w:val="22"/>
                <w:szCs w:val="22"/>
                <w:lang w:val="sv-SE" w:eastAsia="zh-CN"/>
              </w:rPr>
            </w:pPr>
          </w:p>
        </w:tc>
      </w:tr>
    </w:tbl>
    <w:p w:rsidR="00290091" w:rsidRPr="00290091" w:rsidRDefault="00C07921" w:rsidP="00290091">
      <w:r>
        <w:t>Information from m</w:t>
      </w:r>
      <w:r w:rsidRPr="00C07921">
        <w:t>edian slope g</w:t>
      </w:r>
      <w:r>
        <w:t xml:space="preserve">radient class world map (FAO) </w:t>
      </w:r>
      <w:r w:rsidRPr="00C07921">
        <w:t>(http://www.fao.org/nr/land/sols/harmonized-world-soil-database/terrain-data/fr/)</w:t>
      </w:r>
    </w:p>
    <w:p w:rsidR="00DA630D" w:rsidRDefault="00DA630D" w:rsidP="00DA630D">
      <w:pPr>
        <w:pStyle w:val="Heading3"/>
      </w:pPr>
      <w:bookmarkStart w:id="106" w:name="_Toc375054168"/>
      <w:r>
        <w:rPr>
          <w:lang w:val="en-US"/>
        </w:rPr>
        <w:t>4.3.3</w:t>
      </w:r>
      <w:r w:rsidRPr="00825BEE">
        <w:rPr>
          <w:lang w:val="en-US"/>
        </w:rPr>
        <w:tab/>
      </w:r>
      <w:r>
        <w:t>Climate</w:t>
      </w:r>
      <w:bookmarkEnd w:id="106"/>
    </w:p>
    <w:p w:rsidR="002F550A" w:rsidRDefault="002F550A" w:rsidP="002F550A">
      <w:r w:rsidRPr="00DA630D">
        <w:t>The sub-network selection shall be made according to climate criteria as well. In particular the following climate zones are identified.</w:t>
      </w:r>
    </w:p>
    <w:p w:rsidR="002F550A" w:rsidRDefault="00B744FC" w:rsidP="002F550A">
      <w:r>
        <w:rPr>
          <w:noProof/>
          <w:lang w:val="it-IT" w:eastAsia="it-IT"/>
        </w:rPr>
        <w:lastRenderedPageBreak/>
        <w:drawing>
          <wp:inline distT="0" distB="0" distL="0" distR="0" wp14:anchorId="304365A0" wp14:editId="6E2982E1">
            <wp:extent cx="6120765" cy="3687320"/>
            <wp:effectExtent l="0" t="0" r="0" b="8890"/>
            <wp:docPr id="174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0" name="Picture 2"/>
                    <pic:cNvPicPr>
                      <a:picLocks noChangeAspect="1" noChangeArrowheads="1"/>
                    </pic:cNvPicPr>
                  </pic:nvPicPr>
                  <pic:blipFill>
                    <a:blip r:embed="rId15"/>
                    <a:srcRect/>
                    <a:stretch>
                      <a:fillRect/>
                    </a:stretch>
                  </pic:blipFill>
                  <pic:spPr bwMode="auto">
                    <a:xfrm>
                      <a:off x="0" y="0"/>
                      <a:ext cx="6120765" cy="3687320"/>
                    </a:xfrm>
                    <a:prstGeom prst="rect">
                      <a:avLst/>
                    </a:prstGeom>
                    <a:noFill/>
                    <a:ln w="9525">
                      <a:noFill/>
                      <a:miter lim="800000"/>
                      <a:headEnd/>
                      <a:tailEnd/>
                    </a:ln>
                    <a:effectLst/>
                  </pic:spPr>
                </pic:pic>
              </a:graphicData>
            </a:graphic>
          </wp:inline>
        </w:drawing>
      </w:r>
    </w:p>
    <w:p w:rsidR="00B744FC" w:rsidRDefault="00B744FC" w:rsidP="002F550A">
      <w:r>
        <w:t xml:space="preserve">The above reported climate classification is based on FAO </w:t>
      </w:r>
      <w:proofErr w:type="spellStart"/>
      <w:r>
        <w:t>Koeppen</w:t>
      </w:r>
      <w:proofErr w:type="spellEnd"/>
      <w:r>
        <w:t xml:space="preserve"> classification (</w:t>
      </w:r>
      <w:hyperlink r:id="rId16" w:history="1">
        <w:r w:rsidRPr="00AC7CBA">
          <w:rPr>
            <w:rStyle w:val="Hyperlink"/>
          </w:rPr>
          <w:t>http://www.fao.org/sd/eidirect/climate/EIsp0002.htm</w:t>
        </w:r>
      </w:hyperlink>
      <w:r>
        <w:t xml:space="preserve">). </w:t>
      </w:r>
    </w:p>
    <w:p w:rsidR="002F550A" w:rsidRDefault="00B744FC" w:rsidP="002F550A">
      <w:r>
        <w:t xml:space="preserve">The indication based on the </w:t>
      </w:r>
      <w:r>
        <w:t>five main classes</w:t>
      </w:r>
      <w:r>
        <w:t xml:space="preserve"> A to E is</w:t>
      </w:r>
      <w:r>
        <w:t xml:space="preserve"> </w:t>
      </w:r>
      <w:r>
        <w:t>mandatory; the subclasses are optionally indicated.</w:t>
      </w:r>
    </w:p>
    <w:p w:rsidR="00DA630D" w:rsidRDefault="00DA630D" w:rsidP="00DA630D">
      <w:pPr>
        <w:pStyle w:val="Heading3"/>
      </w:pPr>
      <w:bookmarkStart w:id="107" w:name="_Toc375054169"/>
      <w:r>
        <w:rPr>
          <w:lang w:val="en-US"/>
        </w:rPr>
        <w:t>4.3.4</w:t>
      </w:r>
      <w:r w:rsidRPr="00825BEE">
        <w:rPr>
          <w:lang w:val="en-US"/>
        </w:rPr>
        <w:tab/>
      </w:r>
      <w:r>
        <w:t>Optional classification classes</w:t>
      </w:r>
      <w:bookmarkEnd w:id="107"/>
    </w:p>
    <w:p w:rsidR="002F550A" w:rsidRDefault="002F550A" w:rsidP="002F550A">
      <w:r w:rsidRPr="00DA630D">
        <w:t>In order to properly select the sub-networks for the test terrain type for rural areas, operators penetration ratio and data traffic types are to be considered.</w:t>
      </w:r>
    </w:p>
    <w:tbl>
      <w:tblPr>
        <w:tblStyle w:val="TableGrid"/>
        <w:tblW w:w="0" w:type="auto"/>
        <w:tblLook w:val="04A0" w:firstRow="1" w:lastRow="0" w:firstColumn="1" w:lastColumn="0" w:noHBand="0" w:noVBand="1"/>
      </w:tblPr>
      <w:tblGrid>
        <w:gridCol w:w="3285"/>
        <w:gridCol w:w="3285"/>
        <w:gridCol w:w="3285"/>
      </w:tblGrid>
      <w:tr w:rsidR="002F550A" w:rsidTr="002F550A">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Symbol (TBD)</w:t>
            </w:r>
          </w:p>
        </w:tc>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Operator penetration class</w:t>
            </w:r>
          </w:p>
        </w:tc>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Range TBC</w:t>
            </w:r>
          </w:p>
        </w:tc>
      </w:tr>
      <w:tr w:rsidR="002F550A" w:rsidTr="002F550A">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DP</w:t>
            </w:r>
          </w:p>
        </w:tc>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Dominant Penetration</w:t>
            </w:r>
          </w:p>
        </w:tc>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&gt; 30% penetration</w:t>
            </w:r>
          </w:p>
        </w:tc>
      </w:tr>
      <w:tr w:rsidR="002F550A" w:rsidTr="002F550A">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NDP</w:t>
            </w:r>
          </w:p>
        </w:tc>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Non-Dominant Penetration</w:t>
            </w:r>
          </w:p>
        </w:tc>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&lt; 30% penetration</w:t>
            </w:r>
          </w:p>
        </w:tc>
      </w:tr>
      <w:tr w:rsidR="002F550A" w:rsidTr="002F550A">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MP</w:t>
            </w:r>
          </w:p>
        </w:tc>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Minor Penetration</w:t>
            </w:r>
          </w:p>
        </w:tc>
        <w:tc>
          <w:tcPr>
            <w:tcW w:w="3285" w:type="dxa"/>
            <w:tcBorders>
              <w:top w:val="single" w:sz="4" w:space="0" w:color="auto"/>
              <w:left w:val="single" w:sz="4" w:space="0" w:color="auto"/>
              <w:bottom w:val="single" w:sz="4" w:space="0" w:color="auto"/>
              <w:right w:val="single" w:sz="4" w:space="0" w:color="auto"/>
            </w:tcBorders>
            <w:hideMark/>
          </w:tcPr>
          <w:p w:rsidR="002F550A" w:rsidRDefault="002F550A">
            <w:r>
              <w:t>&lt; 10% penetration</w:t>
            </w:r>
          </w:p>
        </w:tc>
      </w:tr>
    </w:tbl>
    <w:p w:rsidR="002F550A" w:rsidRDefault="002F550A" w:rsidP="002F550A"/>
    <w:tbl>
      <w:tblPr>
        <w:tblStyle w:val="TableGrid"/>
        <w:tblW w:w="0" w:type="auto"/>
        <w:tblLook w:val="04A0" w:firstRow="1" w:lastRow="0" w:firstColumn="1" w:lastColumn="0" w:noHBand="0" w:noVBand="1"/>
      </w:tblPr>
      <w:tblGrid>
        <w:gridCol w:w="2376"/>
        <w:gridCol w:w="2835"/>
        <w:gridCol w:w="4644"/>
      </w:tblGrid>
      <w:tr w:rsidR="002F550A" w:rsidTr="002F550A">
        <w:tc>
          <w:tcPr>
            <w:tcW w:w="2376" w:type="dxa"/>
            <w:tcBorders>
              <w:top w:val="single" w:sz="4" w:space="0" w:color="auto"/>
              <w:left w:val="single" w:sz="4" w:space="0" w:color="auto"/>
              <w:bottom w:val="single" w:sz="4" w:space="0" w:color="auto"/>
              <w:right w:val="single" w:sz="4" w:space="0" w:color="auto"/>
            </w:tcBorders>
            <w:hideMark/>
          </w:tcPr>
          <w:p w:rsidR="002F550A" w:rsidRDefault="002F550A">
            <w:r>
              <w:t>Symbol</w:t>
            </w:r>
          </w:p>
        </w:tc>
        <w:tc>
          <w:tcPr>
            <w:tcW w:w="2835" w:type="dxa"/>
            <w:tcBorders>
              <w:top w:val="single" w:sz="4" w:space="0" w:color="auto"/>
              <w:left w:val="single" w:sz="4" w:space="0" w:color="auto"/>
              <w:bottom w:val="single" w:sz="4" w:space="0" w:color="auto"/>
              <w:right w:val="single" w:sz="4" w:space="0" w:color="auto"/>
            </w:tcBorders>
            <w:hideMark/>
          </w:tcPr>
          <w:p w:rsidR="002F550A" w:rsidRDefault="002F550A">
            <w:r>
              <w:t>Traffic Class</w:t>
            </w:r>
          </w:p>
        </w:tc>
        <w:tc>
          <w:tcPr>
            <w:tcW w:w="4644" w:type="dxa"/>
            <w:tcBorders>
              <w:top w:val="single" w:sz="4" w:space="0" w:color="auto"/>
              <w:left w:val="single" w:sz="4" w:space="0" w:color="auto"/>
              <w:bottom w:val="single" w:sz="4" w:space="0" w:color="auto"/>
              <w:right w:val="single" w:sz="4" w:space="0" w:color="auto"/>
            </w:tcBorders>
            <w:hideMark/>
          </w:tcPr>
          <w:p w:rsidR="002F550A" w:rsidRDefault="002F550A">
            <w:r>
              <w:t>Spec TBC</w:t>
            </w:r>
          </w:p>
        </w:tc>
      </w:tr>
      <w:tr w:rsidR="002F550A" w:rsidRPr="002F550A" w:rsidTr="002F550A">
        <w:tc>
          <w:tcPr>
            <w:tcW w:w="2376" w:type="dxa"/>
            <w:tcBorders>
              <w:top w:val="single" w:sz="4" w:space="0" w:color="auto"/>
              <w:left w:val="single" w:sz="4" w:space="0" w:color="auto"/>
              <w:bottom w:val="single" w:sz="4" w:space="0" w:color="auto"/>
              <w:right w:val="single" w:sz="4" w:space="0" w:color="auto"/>
            </w:tcBorders>
            <w:hideMark/>
          </w:tcPr>
          <w:p w:rsidR="002F550A" w:rsidRDefault="002F550A">
            <w:r>
              <w:t>CS</w:t>
            </w:r>
          </w:p>
        </w:tc>
        <w:tc>
          <w:tcPr>
            <w:tcW w:w="2835" w:type="dxa"/>
            <w:tcBorders>
              <w:top w:val="single" w:sz="4" w:space="0" w:color="auto"/>
              <w:left w:val="single" w:sz="4" w:space="0" w:color="auto"/>
              <w:bottom w:val="single" w:sz="4" w:space="0" w:color="auto"/>
              <w:right w:val="single" w:sz="4" w:space="0" w:color="auto"/>
            </w:tcBorders>
            <w:hideMark/>
          </w:tcPr>
          <w:p w:rsidR="002F550A" w:rsidRDefault="002F550A">
            <w:r>
              <w:t>CS dominating</w:t>
            </w:r>
          </w:p>
        </w:tc>
        <w:tc>
          <w:tcPr>
            <w:tcW w:w="4644" w:type="dxa"/>
            <w:tcBorders>
              <w:top w:val="single" w:sz="4" w:space="0" w:color="auto"/>
              <w:left w:val="single" w:sz="4" w:space="0" w:color="auto"/>
              <w:bottom w:val="single" w:sz="4" w:space="0" w:color="auto"/>
              <w:right w:val="single" w:sz="4" w:space="0" w:color="auto"/>
            </w:tcBorders>
            <w:hideMark/>
          </w:tcPr>
          <w:p w:rsidR="002F550A" w:rsidRDefault="002F550A">
            <w:r>
              <w:t>&gt; 50% of data volume is CS</w:t>
            </w:r>
          </w:p>
        </w:tc>
      </w:tr>
      <w:tr w:rsidR="002F550A" w:rsidRPr="002F550A" w:rsidTr="002F550A">
        <w:tc>
          <w:tcPr>
            <w:tcW w:w="2376" w:type="dxa"/>
            <w:tcBorders>
              <w:top w:val="single" w:sz="4" w:space="0" w:color="auto"/>
              <w:left w:val="single" w:sz="4" w:space="0" w:color="auto"/>
              <w:bottom w:val="single" w:sz="4" w:space="0" w:color="auto"/>
              <w:right w:val="single" w:sz="4" w:space="0" w:color="auto"/>
            </w:tcBorders>
            <w:hideMark/>
          </w:tcPr>
          <w:p w:rsidR="002F550A" w:rsidRDefault="002F550A">
            <w:r>
              <w:t>PSS</w:t>
            </w:r>
          </w:p>
        </w:tc>
        <w:tc>
          <w:tcPr>
            <w:tcW w:w="2835" w:type="dxa"/>
            <w:tcBorders>
              <w:top w:val="single" w:sz="4" w:space="0" w:color="auto"/>
              <w:left w:val="single" w:sz="4" w:space="0" w:color="auto"/>
              <w:bottom w:val="single" w:sz="4" w:space="0" w:color="auto"/>
              <w:right w:val="single" w:sz="4" w:space="0" w:color="auto"/>
            </w:tcBorders>
            <w:hideMark/>
          </w:tcPr>
          <w:p w:rsidR="002F550A" w:rsidRDefault="002F550A">
            <w:r>
              <w:t>PS –small packages dominating</w:t>
            </w:r>
          </w:p>
        </w:tc>
        <w:tc>
          <w:tcPr>
            <w:tcW w:w="4644" w:type="dxa"/>
            <w:tcBorders>
              <w:top w:val="single" w:sz="4" w:space="0" w:color="auto"/>
              <w:left w:val="single" w:sz="4" w:space="0" w:color="auto"/>
              <w:bottom w:val="single" w:sz="4" w:space="0" w:color="auto"/>
              <w:right w:val="single" w:sz="4" w:space="0" w:color="auto"/>
            </w:tcBorders>
            <w:hideMark/>
          </w:tcPr>
          <w:p w:rsidR="002F550A" w:rsidRDefault="002F550A">
            <w:r>
              <w:t>&gt; 50% of data volume is PS, &gt;80% of packages are small (&lt; TBD B)</w:t>
            </w:r>
          </w:p>
        </w:tc>
      </w:tr>
      <w:tr w:rsidR="002F550A" w:rsidRPr="002F550A" w:rsidTr="002F550A">
        <w:tc>
          <w:tcPr>
            <w:tcW w:w="2376" w:type="dxa"/>
            <w:tcBorders>
              <w:top w:val="single" w:sz="4" w:space="0" w:color="auto"/>
              <w:left w:val="single" w:sz="4" w:space="0" w:color="auto"/>
              <w:bottom w:val="single" w:sz="4" w:space="0" w:color="auto"/>
              <w:right w:val="single" w:sz="4" w:space="0" w:color="auto"/>
            </w:tcBorders>
            <w:hideMark/>
          </w:tcPr>
          <w:p w:rsidR="002F550A" w:rsidRDefault="002F550A">
            <w:r>
              <w:t>PSL</w:t>
            </w:r>
          </w:p>
        </w:tc>
        <w:tc>
          <w:tcPr>
            <w:tcW w:w="2835" w:type="dxa"/>
            <w:tcBorders>
              <w:top w:val="single" w:sz="4" w:space="0" w:color="auto"/>
              <w:left w:val="single" w:sz="4" w:space="0" w:color="auto"/>
              <w:bottom w:val="single" w:sz="4" w:space="0" w:color="auto"/>
              <w:right w:val="single" w:sz="4" w:space="0" w:color="auto"/>
            </w:tcBorders>
            <w:hideMark/>
          </w:tcPr>
          <w:p w:rsidR="002F550A" w:rsidRDefault="002F550A">
            <w:r>
              <w:t>PS- large packages dominating</w:t>
            </w:r>
          </w:p>
        </w:tc>
        <w:tc>
          <w:tcPr>
            <w:tcW w:w="4644" w:type="dxa"/>
            <w:tcBorders>
              <w:top w:val="single" w:sz="4" w:space="0" w:color="auto"/>
              <w:left w:val="single" w:sz="4" w:space="0" w:color="auto"/>
              <w:bottom w:val="single" w:sz="4" w:space="0" w:color="auto"/>
              <w:right w:val="single" w:sz="4" w:space="0" w:color="auto"/>
            </w:tcBorders>
            <w:hideMark/>
          </w:tcPr>
          <w:p w:rsidR="002F550A" w:rsidRDefault="002F550A">
            <w:r>
              <w:t>&gt; 50% of data volume is PS, &lt; 80% of packages are small (&lt;TBD B)</w:t>
            </w:r>
          </w:p>
        </w:tc>
      </w:tr>
    </w:tbl>
    <w:p w:rsidR="002F550A" w:rsidRPr="002F550A" w:rsidRDefault="002F550A" w:rsidP="002F550A">
      <w:pPr>
        <w:rPr>
          <w:lang w:val="en-US"/>
        </w:rPr>
      </w:pPr>
    </w:p>
    <w:p w:rsidR="002F550A" w:rsidRDefault="002F550A" w:rsidP="002F550A"/>
    <w:p w:rsidR="002F550A" w:rsidRPr="002F550A" w:rsidRDefault="002F550A" w:rsidP="002F550A"/>
    <w:p w:rsidR="00D57589" w:rsidRDefault="00D57589" w:rsidP="00D57589">
      <w:pPr>
        <w:jc w:val="both"/>
      </w:pPr>
    </w:p>
    <w:p w:rsidR="002560F8" w:rsidRDefault="002560F8" w:rsidP="002560F8">
      <w:pPr>
        <w:pStyle w:val="Heading1"/>
      </w:pPr>
      <w:bookmarkStart w:id="108" w:name="_Toc375054170"/>
      <w:r>
        <w:lastRenderedPageBreak/>
        <w:t>5</w:t>
      </w:r>
      <w:r>
        <w:tab/>
        <w:t xml:space="preserve">Metrics for energy efficiency </w:t>
      </w:r>
      <w:r w:rsidR="0018461E">
        <w:t>assessment</w:t>
      </w:r>
      <w:bookmarkEnd w:id="108"/>
      <w:r w:rsidR="0018461E">
        <w:t xml:space="preserve"> </w:t>
      </w:r>
    </w:p>
    <w:p w:rsidR="002560F8" w:rsidRDefault="00A3718D">
      <w:r>
        <w:t>The following metrics shall be used to assess the m</w:t>
      </w:r>
      <w:r w:rsidR="005D151A">
        <w:t>obile network energy efficiency.</w:t>
      </w:r>
    </w:p>
    <w:p w:rsidR="005D151A" w:rsidRDefault="005D151A" w:rsidP="005D151A">
      <w:pPr>
        <w:pStyle w:val="Heading2"/>
      </w:pPr>
      <w:bookmarkStart w:id="109" w:name="_Toc375054171"/>
      <w:r>
        <w:t xml:space="preserve">5.1 </w:t>
      </w:r>
      <w:r w:rsidR="00982B09">
        <w:tab/>
      </w:r>
      <w:r>
        <w:t>Energy Consumption metrics</w:t>
      </w:r>
      <w:bookmarkEnd w:id="109"/>
    </w:p>
    <w:p w:rsidR="00A3718D" w:rsidRDefault="007F0401" w:rsidP="005D151A">
      <w:r w:rsidRPr="00F802CA">
        <w:t xml:space="preserve">The </w:t>
      </w:r>
      <w:r w:rsidR="00A3718D" w:rsidRPr="00F802CA">
        <w:t>Mobil</w:t>
      </w:r>
      <w:r w:rsidR="00417FD5">
        <w:t>e Network Energy Consumption (</w:t>
      </w:r>
      <w:r w:rsidR="00A3718D" w:rsidRPr="00F802CA">
        <w:t>EC</w:t>
      </w:r>
      <w:r w:rsidR="00417FD5" w:rsidRPr="00417FD5">
        <w:rPr>
          <w:vertAlign w:val="subscript"/>
        </w:rPr>
        <w:t>MN</w:t>
      </w:r>
      <w:r w:rsidR="00A3718D" w:rsidRPr="00F802CA">
        <w:t xml:space="preserve">) is the </w:t>
      </w:r>
      <w:r w:rsidR="00A3718D" w:rsidRPr="007F0401">
        <w:t xml:space="preserve">sum of the energy consumption of equipment included in the </w:t>
      </w:r>
      <w:r w:rsidR="00316B1D">
        <w:t>MN</w:t>
      </w:r>
      <w:r w:rsidR="00A3718D" w:rsidRPr="007F0401">
        <w:t xml:space="preserve"> under investigation</w:t>
      </w:r>
      <w:r w:rsidR="003C6503">
        <w:t xml:space="preserve"> (cf. Clause 4)</w:t>
      </w:r>
      <w:r w:rsidR="007D5B01">
        <w:t>.</w:t>
      </w:r>
      <w:r w:rsidR="0082596C">
        <w:t xml:space="preserve"> </w:t>
      </w:r>
      <w:r w:rsidR="00417FD5">
        <w:t>The</w:t>
      </w:r>
      <w:r w:rsidR="003F462F">
        <w:t xml:space="preserve"> network energy consumption is measured  according to the</w:t>
      </w:r>
      <w:r w:rsidR="00042DB7">
        <w:t xml:space="preserve"> </w:t>
      </w:r>
      <w:r w:rsidR="0082596C">
        <w:t>assessme</w:t>
      </w:r>
      <w:r w:rsidR="00042DB7">
        <w:t>nt process defined in Clause 6</w:t>
      </w:r>
      <w:r w:rsidR="00520AC4">
        <w:t xml:space="preserve"> </w:t>
      </w:r>
      <w:r w:rsidR="00520AC4" w:rsidRPr="00520AC4">
        <w:t>such that individual metrics are provided per RAT and per operator</w:t>
      </w:r>
      <w:r w:rsidR="0082596C">
        <w:t>.</w:t>
      </w:r>
      <w:r w:rsidR="003F462F">
        <w:t xml:space="preserve"> </w:t>
      </w:r>
    </w:p>
    <w:tbl>
      <w:tblPr>
        <w:tblStyle w:val="TableGrid"/>
        <w:tblW w:w="0" w:type="auto"/>
        <w:tblInd w:w="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2"/>
        <w:gridCol w:w="816"/>
      </w:tblGrid>
      <w:tr w:rsidR="00042DB7" w:rsidRPr="00AA65F0" w:rsidTr="00417FD5">
        <w:tc>
          <w:tcPr>
            <w:tcW w:w="8512" w:type="dxa"/>
            <w:vAlign w:val="center"/>
          </w:tcPr>
          <w:p w:rsidR="00042DB7" w:rsidRPr="00AA65F0" w:rsidRDefault="00873C2D" w:rsidP="00DD132D">
            <w:pPr>
              <w:pStyle w:val="EQ"/>
            </w:pPr>
            <m:oMathPara>
              <m:oMath>
                <m:sSub>
                  <m:sSubPr>
                    <m:ctrlPr>
                      <w:rPr>
                        <w:rFonts w:ascii="Cambria Math" w:hAnsi="Cambria Math"/>
                      </w:rPr>
                    </m:ctrlPr>
                  </m:sSubPr>
                  <m:e>
                    <m:r>
                      <w:rPr>
                        <w:rFonts w:ascii="Cambria Math" w:hAnsi="Cambria Math"/>
                      </w:rPr>
                      <m:t>EC</m:t>
                    </m:r>
                  </m:e>
                  <m:sub>
                    <m:r>
                      <w:rPr>
                        <w:rFonts w:ascii="Cambria Math" w:hAnsi="Cambria Math"/>
                      </w:rPr>
                      <m:t>MN</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i,k</m:t>
                    </m:r>
                  </m:sub>
                  <m:sup/>
                  <m:e>
                    <m:sSub>
                      <m:sSubPr>
                        <m:ctrlPr>
                          <w:rPr>
                            <w:rFonts w:ascii="Cambria Math" w:hAnsi="Cambria Math"/>
                          </w:rPr>
                        </m:ctrlPr>
                      </m:sSubPr>
                      <m:e>
                        <m:r>
                          <w:rPr>
                            <w:rFonts w:ascii="Cambria Math" w:hAnsi="Cambria Math"/>
                          </w:rPr>
                          <m:t>EC</m:t>
                        </m:r>
                      </m:e>
                      <m:sub>
                        <m:sSub>
                          <m:sSubPr>
                            <m:ctrlPr>
                              <w:rPr>
                                <w:rFonts w:ascii="Cambria Math" w:hAnsi="Cambria Math"/>
                              </w:rPr>
                            </m:ctrlPr>
                          </m:sSubPr>
                          <m:e>
                            <m:r>
                              <w:rPr>
                                <w:rFonts w:ascii="Cambria Math" w:hAnsi="Cambria Math"/>
                              </w:rPr>
                              <m:t>BS</m:t>
                            </m:r>
                          </m:e>
                          <m:sub>
                            <m:r>
                              <w:rPr>
                                <w:rFonts w:ascii="Cambria Math" w:hAnsi="Cambria Math"/>
                              </w:rPr>
                              <m:t>i,k</m:t>
                            </m:r>
                          </m:sub>
                        </m:sSub>
                      </m:sub>
                    </m:sSub>
                    <m:r>
                      <m:rPr>
                        <m:sty m:val="p"/>
                      </m:rPr>
                      <w:rPr>
                        <w:rFonts w:ascii="Cambria Math" w:hAnsi="Cambria Math"/>
                      </w:rPr>
                      <m:t>+</m:t>
                    </m:r>
                  </m:e>
                </m:nary>
                <m:nary>
                  <m:naryPr>
                    <m:chr m:val="∑"/>
                    <m:limLoc m:val="undOvr"/>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EC</m:t>
                        </m:r>
                      </m:e>
                      <m:sub>
                        <m:sSub>
                          <m:sSubPr>
                            <m:ctrlPr>
                              <w:rPr>
                                <w:rFonts w:ascii="Cambria Math" w:hAnsi="Cambria Math"/>
                                <w:i/>
                              </w:rPr>
                            </m:ctrlPr>
                          </m:sSubPr>
                          <m:e>
                            <m:r>
                              <w:rPr>
                                <w:rFonts w:ascii="Cambria Math" w:hAnsi="Cambria Math"/>
                              </w:rPr>
                              <m:t>SI</m:t>
                            </m:r>
                          </m:e>
                          <m:sub>
                            <m:r>
                              <w:rPr>
                                <w:rFonts w:ascii="Cambria Math" w:hAnsi="Cambria Math"/>
                              </w:rPr>
                              <m:t>i</m:t>
                            </m:r>
                          </m:sub>
                        </m:sSub>
                      </m:sub>
                    </m:sSub>
                    <m:r>
                      <w:rPr>
                        <w:rFonts w:ascii="Cambria Math" w:hAnsi="Cambria Math"/>
                      </w:rPr>
                      <m:t>+</m:t>
                    </m:r>
                    <m:nary>
                      <m:naryPr>
                        <m:chr m:val="∑"/>
                        <m:limLoc m:val="undOvr"/>
                        <m:supHide m:val="1"/>
                        <m:ctrlPr>
                          <w:rPr>
                            <w:rFonts w:ascii="Cambria Math" w:hAnsi="Cambria Math"/>
                          </w:rPr>
                        </m:ctrlPr>
                      </m:naryPr>
                      <m:sub>
                        <m:r>
                          <w:rPr>
                            <w:rFonts w:ascii="Cambria Math" w:hAnsi="Cambria Math"/>
                          </w:rPr>
                          <m:t>j</m:t>
                        </m:r>
                      </m:sub>
                      <m:sup/>
                      <m:e>
                        <m:sSub>
                          <m:sSubPr>
                            <m:ctrlPr>
                              <w:rPr>
                                <w:rFonts w:ascii="Cambria Math" w:hAnsi="Cambria Math"/>
                              </w:rPr>
                            </m:ctrlPr>
                          </m:sSubPr>
                          <m:e>
                            <m:r>
                              <w:rPr>
                                <w:rFonts w:ascii="Cambria Math" w:hAnsi="Cambria Math"/>
                              </w:rPr>
                              <m:t>EC</m:t>
                            </m:r>
                          </m:e>
                          <m:sub>
                            <m:sSub>
                              <m:sSubPr>
                                <m:ctrlPr>
                                  <w:rPr>
                                    <w:rFonts w:ascii="Cambria Math" w:hAnsi="Cambria Math"/>
                                  </w:rPr>
                                </m:ctrlPr>
                              </m:sSubPr>
                              <m:e>
                                <m:r>
                                  <w:rPr>
                                    <w:rFonts w:ascii="Cambria Math" w:hAnsi="Cambria Math"/>
                                  </w:rPr>
                                  <m:t>BH</m:t>
                                </m:r>
                              </m:e>
                              <m:sub>
                                <m:r>
                                  <w:rPr>
                                    <w:rFonts w:ascii="Cambria Math" w:hAnsi="Cambria Math"/>
                                  </w:rPr>
                                  <m:t>j</m:t>
                                </m:r>
                              </m:sub>
                            </m:sSub>
                          </m:sub>
                        </m:sSub>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l</m:t>
                        </m:r>
                      </m:sub>
                      <m:sup/>
                      <m:e>
                        <m:sSub>
                          <m:sSubPr>
                            <m:ctrlPr>
                              <w:rPr>
                                <w:rFonts w:ascii="Cambria Math" w:hAnsi="Cambria Math"/>
                                <w:i/>
                              </w:rPr>
                            </m:ctrlPr>
                          </m:sSubPr>
                          <m:e>
                            <m:r>
                              <w:rPr>
                                <w:rFonts w:ascii="Cambria Math" w:hAnsi="Cambria Math"/>
                              </w:rPr>
                              <m:t>EC</m:t>
                            </m:r>
                          </m:e>
                          <m:sub>
                            <m:sSub>
                              <m:sSubPr>
                                <m:ctrlPr>
                                  <w:rPr>
                                    <w:rFonts w:ascii="Cambria Math" w:hAnsi="Cambria Math"/>
                                    <w:i/>
                                  </w:rPr>
                                </m:ctrlPr>
                              </m:sSubPr>
                              <m:e>
                                <m:r>
                                  <w:rPr>
                                    <w:rFonts w:ascii="Cambria Math" w:hAnsi="Cambria Math"/>
                                  </w:rPr>
                                  <m:t>RC</m:t>
                                </m:r>
                              </m:e>
                              <m:sub>
                                <m:r>
                                  <w:rPr>
                                    <w:rFonts w:ascii="Cambria Math" w:hAnsi="Cambria Math"/>
                                  </w:rPr>
                                  <m:t>l</m:t>
                                </m:r>
                              </m:sub>
                            </m:sSub>
                          </m:sub>
                        </m:sSub>
                      </m:e>
                    </m:nary>
                  </m:e>
                </m:nary>
              </m:oMath>
            </m:oMathPara>
          </w:p>
        </w:tc>
        <w:tc>
          <w:tcPr>
            <w:tcW w:w="816" w:type="dxa"/>
            <w:vAlign w:val="center"/>
          </w:tcPr>
          <w:p w:rsidR="00042DB7" w:rsidRPr="00AA65F0" w:rsidRDefault="00417FD5" w:rsidP="00501080">
            <w:pPr>
              <w:pStyle w:val="EQ"/>
            </w:pPr>
            <w:r w:rsidRPr="00AA65F0">
              <w:t>(1)</w:t>
            </w:r>
          </w:p>
        </w:tc>
      </w:tr>
    </w:tbl>
    <w:p w:rsidR="00AF013A" w:rsidRDefault="00417FD5" w:rsidP="005D151A">
      <w:r>
        <w:t>where</w:t>
      </w:r>
    </w:p>
    <w:p w:rsidR="00417FD5" w:rsidRDefault="00417FD5" w:rsidP="00417FD5">
      <w:pPr>
        <w:ind w:left="527"/>
      </w:pPr>
      <w:r>
        <w:t>EC is Energy Consumption, BS refers to the Base Stations in the MN under measurement, BH is the backhauling providing connection to the BSs in the MN under measurement</w:t>
      </w:r>
      <w:r w:rsidR="00DD132D">
        <w:t xml:space="preserve">, </w:t>
      </w:r>
      <w:r w:rsidR="00DD132D" w:rsidRPr="00520AC4">
        <w:t>SI is the site infrastructure</w:t>
      </w:r>
      <w:r w:rsidR="00DD132D">
        <w:t xml:space="preserve"> </w:t>
      </w:r>
      <w:r w:rsidR="00DD132D" w:rsidRPr="00520AC4">
        <w:t xml:space="preserve">(Rectifier, battery losses, climate equipment, TMA, tower illumination </w:t>
      </w:r>
      <w:proofErr w:type="spellStart"/>
      <w:r w:rsidR="00DD132D" w:rsidRPr="00520AC4">
        <w:t>etc</w:t>
      </w:r>
      <w:proofErr w:type="spellEnd"/>
      <w:r w:rsidR="00DD132D" w:rsidRPr="00520AC4">
        <w:t>),</w:t>
      </w:r>
      <w:r w:rsidR="00DD132D">
        <w:t xml:space="preserve"> R</w:t>
      </w:r>
      <w:r w:rsidR="00DD132D" w:rsidRPr="00520AC4">
        <w:t>C is the control node(s), includ</w:t>
      </w:r>
      <w:r w:rsidR="00DD132D">
        <w:t>ing all infrastructure of the RC site</w:t>
      </w:r>
      <w:r w:rsidR="00DD132D" w:rsidRPr="00520AC4">
        <w:t>.</w:t>
      </w:r>
      <w:r w:rsidRPr="00417FD5">
        <w:rPr>
          <w:i/>
        </w:rPr>
        <w:t xml:space="preserve"> i</w:t>
      </w:r>
      <w:r>
        <w:t xml:space="preserve"> is an in</w:t>
      </w:r>
      <w:r w:rsidR="00DD132D">
        <w:t>d</w:t>
      </w:r>
      <w:r>
        <w:t xml:space="preserve">ex spanning over the number of </w:t>
      </w:r>
      <w:r w:rsidR="00D17D44">
        <w:t>sites</w:t>
      </w:r>
      <w:r>
        <w:t xml:space="preserve">, </w:t>
      </w:r>
      <w:r w:rsidRPr="00417FD5">
        <w:rPr>
          <w:i/>
        </w:rPr>
        <w:t xml:space="preserve">j </w:t>
      </w:r>
      <w:r>
        <w:t>an index spanning over the number of</w:t>
      </w:r>
      <w:r w:rsidR="00DD132D">
        <w:t xml:space="preserve"> </w:t>
      </w:r>
      <w:r>
        <w:t xml:space="preserve"> BH links</w:t>
      </w:r>
      <w:r w:rsidR="00D17D44">
        <w:t xml:space="preserve"> to the </w:t>
      </w:r>
      <w:r w:rsidR="00D17D44" w:rsidRPr="00D17D44">
        <w:rPr>
          <w:i/>
        </w:rPr>
        <w:t>i</w:t>
      </w:r>
      <w:r w:rsidR="00D17D44">
        <w:t xml:space="preserve"> sites</w:t>
      </w:r>
      <w:r w:rsidR="00520AC4">
        <w:t xml:space="preserve">, </w:t>
      </w:r>
      <w:r w:rsidR="00520AC4" w:rsidRPr="00520AC4">
        <w:rPr>
          <w:i/>
        </w:rPr>
        <w:t>k</w:t>
      </w:r>
      <w:r w:rsidR="00520AC4" w:rsidRPr="00520AC4">
        <w:t xml:space="preserve"> is the index spanning over the number of</w:t>
      </w:r>
      <w:r w:rsidR="00DD132D">
        <w:t xml:space="preserve"> BSs in the </w:t>
      </w:r>
      <w:r w:rsidR="00DD132D" w:rsidRPr="00DD132D">
        <w:rPr>
          <w:i/>
        </w:rPr>
        <w:t>i</w:t>
      </w:r>
      <w:r w:rsidR="00DD132D">
        <w:t>-</w:t>
      </w:r>
      <w:proofErr w:type="spellStart"/>
      <w:r w:rsidR="00DD132D">
        <w:t>th</w:t>
      </w:r>
      <w:proofErr w:type="spellEnd"/>
      <w:r w:rsidR="00DD132D">
        <w:t xml:space="preserve"> site</w:t>
      </w:r>
      <w:r w:rsidR="00520AC4" w:rsidRPr="00520AC4">
        <w:t xml:space="preserve"> </w:t>
      </w:r>
      <w:r w:rsidR="00520AC4">
        <w:t xml:space="preserve">and  </w:t>
      </w:r>
      <w:r w:rsidR="00520AC4" w:rsidRPr="00520AC4">
        <w:t xml:space="preserve">l is the index spanning over the </w:t>
      </w:r>
      <w:proofErr w:type="spellStart"/>
      <w:r w:rsidR="00520AC4" w:rsidRPr="00520AC4">
        <w:t>the</w:t>
      </w:r>
      <w:proofErr w:type="spellEnd"/>
      <w:r w:rsidR="00520AC4" w:rsidRPr="00520AC4">
        <w:t xml:space="preserve"> control nodes of the MN</w:t>
      </w:r>
      <w:r>
        <w:t>.</w:t>
      </w:r>
      <w:r w:rsidR="00520AC4">
        <w:t xml:space="preserve"> </w:t>
      </w:r>
    </w:p>
    <w:p w:rsidR="00417FD5" w:rsidRDefault="00417FD5" w:rsidP="00417FD5">
      <w:pPr>
        <w:ind w:left="527"/>
      </w:pPr>
      <w:r>
        <w:t>EC</w:t>
      </w:r>
      <w:r w:rsidRPr="00417FD5">
        <w:rPr>
          <w:vertAlign w:val="subscript"/>
        </w:rPr>
        <w:t>MN</w:t>
      </w:r>
      <w:r>
        <w:t xml:space="preserve"> shall be measured in </w:t>
      </w:r>
      <w:proofErr w:type="spellStart"/>
      <w:r>
        <w:t>Wh</w:t>
      </w:r>
      <w:proofErr w:type="spellEnd"/>
      <w:r>
        <w:t xml:space="preserve"> over the period of measurement T (see Clause </w:t>
      </w:r>
      <w:r w:rsidR="00BC42C0">
        <w:t>6</w:t>
      </w:r>
      <w:r>
        <w:t>).</w:t>
      </w:r>
    </w:p>
    <w:p w:rsidR="00520AC4" w:rsidRDefault="00520AC4" w:rsidP="00417FD5">
      <w:pPr>
        <w:ind w:left="527"/>
      </w:pPr>
      <w:r w:rsidRPr="00520AC4">
        <w:t>Note: If the control node(s) support a larger MN than what is assessed, only a proportional share of RNC EC is considered, proportional to the RNC share of traffic that belongs to MN assessed.</w:t>
      </w:r>
    </w:p>
    <w:p w:rsidR="005D151A" w:rsidRPr="00397F16" w:rsidRDefault="005D151A" w:rsidP="005D151A">
      <w:pPr>
        <w:pStyle w:val="Heading2"/>
      </w:pPr>
      <w:bookmarkStart w:id="110" w:name="_Toc375054172"/>
      <w:r>
        <w:t xml:space="preserve">5.2 </w:t>
      </w:r>
      <w:r w:rsidR="00982B09">
        <w:tab/>
      </w:r>
      <w:r>
        <w:t>Performance metrics</w:t>
      </w:r>
      <w:bookmarkEnd w:id="110"/>
    </w:p>
    <w:p w:rsidR="00A3718D" w:rsidRDefault="007F0401" w:rsidP="005D151A">
      <w:r w:rsidRPr="00F802CA">
        <w:t xml:space="preserve">The </w:t>
      </w:r>
      <w:r w:rsidR="00570935">
        <w:t>Mobile Network performance delivered (D</w:t>
      </w:r>
      <w:r w:rsidR="00BC42C0">
        <w:t>V</w:t>
      </w:r>
      <w:r w:rsidR="00570935" w:rsidRPr="00D17D44">
        <w:rPr>
          <w:vertAlign w:val="subscript"/>
        </w:rPr>
        <w:t>MN</w:t>
      </w:r>
      <w:r w:rsidR="00A3718D" w:rsidRPr="00F802CA">
        <w:t>)</w:t>
      </w:r>
      <w:r w:rsidRPr="00F802CA">
        <w:t xml:space="preserve"> is the</w:t>
      </w:r>
      <w:r w:rsidR="00A3718D" w:rsidRPr="00F802CA">
        <w:t xml:space="preserve"> </w:t>
      </w:r>
      <w:r w:rsidR="00A3718D" w:rsidRPr="007F0401">
        <w:t xml:space="preserve">performance indicator of </w:t>
      </w:r>
      <w:r w:rsidRPr="007F0401">
        <w:t xml:space="preserve">the </w:t>
      </w:r>
      <w:r w:rsidR="003C6503">
        <w:t>MN</w:t>
      </w:r>
      <w:r w:rsidRPr="007F0401">
        <w:t xml:space="preserve"> under investigation</w:t>
      </w:r>
      <w:r w:rsidR="003C6503">
        <w:t xml:space="preserve"> (cf. Clause 4) </w:t>
      </w:r>
      <w:r w:rsidRPr="007F0401">
        <w:t>relevant for energy efficiency assessment.</w:t>
      </w:r>
      <w:r>
        <w:t xml:space="preserve"> </w:t>
      </w:r>
      <w:r w:rsidR="00A3718D" w:rsidRPr="00397F16">
        <w:t xml:space="preserve"> </w:t>
      </w:r>
      <w:r w:rsidR="00BC42C0">
        <w:t>DV</w:t>
      </w:r>
      <w:r w:rsidR="00BC42C0" w:rsidRPr="00D17D44">
        <w:rPr>
          <w:vertAlign w:val="subscript"/>
        </w:rPr>
        <w:t>MN</w:t>
      </w:r>
      <w:r w:rsidR="00BC42C0">
        <w:t xml:space="preserve"> </w:t>
      </w:r>
      <w:r>
        <w:t>is defined as the data</w:t>
      </w:r>
      <w:r w:rsidR="00D973AE">
        <w:t xml:space="preserve"> </w:t>
      </w:r>
      <w:r>
        <w:t xml:space="preserve">volume handled </w:t>
      </w:r>
      <w:r w:rsidR="003F462F" w:rsidRPr="00520AC4">
        <w:t>with a defined quality of service</w:t>
      </w:r>
      <w:r w:rsidR="003F462F">
        <w:t xml:space="preserve"> </w:t>
      </w:r>
      <w:r>
        <w:t>by the equipment of the mobile network under investigation during the time frame</w:t>
      </w:r>
      <w:r w:rsidR="00D17D44">
        <w:t xml:space="preserve"> T</w:t>
      </w:r>
      <w:r>
        <w:t xml:space="preserve"> of the energy consumption assessment. </w:t>
      </w:r>
      <w:r w:rsidR="0082596C">
        <w:t>The assessme</w:t>
      </w:r>
      <w:r w:rsidR="00042DB7">
        <w:t>nt process defined in Clause 6</w:t>
      </w:r>
      <w:r w:rsidR="0082596C">
        <w:t xml:space="preserve"> shall be used.</w:t>
      </w:r>
    </w:p>
    <w:tbl>
      <w:tblPr>
        <w:tblStyle w:val="TableGrid"/>
        <w:tblW w:w="0" w:type="auto"/>
        <w:tblInd w:w="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2"/>
        <w:gridCol w:w="816"/>
      </w:tblGrid>
      <w:tr w:rsidR="00570935" w:rsidTr="00F96D0B">
        <w:tc>
          <w:tcPr>
            <w:tcW w:w="8512" w:type="dxa"/>
            <w:vAlign w:val="center"/>
          </w:tcPr>
          <w:p w:rsidR="00570935" w:rsidRDefault="00873C2D" w:rsidP="00DD132D">
            <w:pPr>
              <w:jc w:val="center"/>
            </w:pPr>
            <m:oMathPara>
              <m:oMath>
                <m:sSub>
                  <m:sSubPr>
                    <m:ctrlPr>
                      <w:rPr>
                        <w:rFonts w:ascii="Cambria Math" w:hAnsi="Cambria Math"/>
                        <w:i/>
                      </w:rPr>
                    </m:ctrlPr>
                  </m:sSubPr>
                  <m:e>
                    <m:r>
                      <w:rPr>
                        <w:rFonts w:ascii="Cambria Math" w:hAnsi="Cambria Math"/>
                      </w:rPr>
                      <m:t>DV</m:t>
                    </m:r>
                  </m:e>
                  <m:sub>
                    <m:r>
                      <w:rPr>
                        <w:rFonts w:ascii="Cambria Math" w:hAnsi="Cambria Math"/>
                      </w:rPr>
                      <m:t>MN</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i,k</m:t>
                    </m:r>
                  </m:sub>
                  <m:sup/>
                  <m:e>
                    <m:sSub>
                      <m:sSubPr>
                        <m:ctrlPr>
                          <w:rPr>
                            <w:rFonts w:ascii="Cambria Math" w:hAnsi="Cambria Math"/>
                            <w:i/>
                          </w:rPr>
                        </m:ctrlPr>
                      </m:sSubPr>
                      <m:e>
                        <m:r>
                          <w:rPr>
                            <w:rFonts w:ascii="Cambria Math" w:hAnsi="Cambria Math"/>
                          </w:rPr>
                          <m:t>DV</m:t>
                        </m:r>
                      </m:e>
                      <m:sub>
                        <m:sSub>
                          <m:sSubPr>
                            <m:ctrlPr>
                              <w:rPr>
                                <w:rFonts w:ascii="Cambria Math" w:hAnsi="Cambria Math"/>
                                <w:i/>
                              </w:rPr>
                            </m:ctrlPr>
                          </m:sSubPr>
                          <m:e>
                            <m:r>
                              <w:rPr>
                                <w:rFonts w:ascii="Cambria Math" w:hAnsi="Cambria Math"/>
                              </w:rPr>
                              <m:t>BS</m:t>
                            </m:r>
                          </m:e>
                          <m:sub>
                            <m:r>
                              <w:rPr>
                                <w:rFonts w:ascii="Cambria Math" w:hAnsi="Cambria Math"/>
                              </w:rPr>
                              <m:t>i,k</m:t>
                            </m:r>
                          </m:sub>
                        </m:sSub>
                      </m:sub>
                    </m:sSub>
                  </m:e>
                </m:nary>
              </m:oMath>
            </m:oMathPara>
          </w:p>
        </w:tc>
        <w:tc>
          <w:tcPr>
            <w:tcW w:w="816" w:type="dxa"/>
            <w:vAlign w:val="center"/>
          </w:tcPr>
          <w:p w:rsidR="00570935" w:rsidRDefault="00F96D0B" w:rsidP="00F96D0B">
            <w:pPr>
              <w:jc w:val="center"/>
            </w:pPr>
            <w:r>
              <w:t>(2</w:t>
            </w:r>
            <w:r w:rsidR="00570935">
              <w:t>)</w:t>
            </w:r>
          </w:p>
        </w:tc>
      </w:tr>
    </w:tbl>
    <w:p w:rsidR="00F96D0B" w:rsidRDefault="00F96D0B" w:rsidP="005D151A">
      <w:r>
        <w:t>where D</w:t>
      </w:r>
      <w:r w:rsidR="00BC42C0">
        <w:t>V</w:t>
      </w:r>
      <w:r w:rsidR="00D17D44">
        <w:t>, measured in bit</w:t>
      </w:r>
      <w:r>
        <w:t>, is the performance delivered in terms of data volume in the network</w:t>
      </w:r>
      <w:r w:rsidR="00BC42C0">
        <w:t xml:space="preserve"> over the measurement period T (see Clause 6)</w:t>
      </w:r>
      <w:r>
        <w:t>.</w:t>
      </w:r>
      <w:r w:rsidR="00DD132D">
        <w:t xml:space="preserve"> </w:t>
      </w:r>
      <w:r w:rsidR="00DD132D" w:rsidRPr="00DD132D">
        <w:rPr>
          <w:i/>
        </w:rPr>
        <w:t>i</w:t>
      </w:r>
      <w:r w:rsidR="00DD132D">
        <w:t xml:space="preserve"> and </w:t>
      </w:r>
      <w:r w:rsidR="00DD132D" w:rsidRPr="00DD132D">
        <w:rPr>
          <w:i/>
        </w:rPr>
        <w:t>k</w:t>
      </w:r>
      <w:r w:rsidR="00DD132D">
        <w:t xml:space="preserve"> are like in formula (1).</w:t>
      </w:r>
    </w:p>
    <w:p w:rsidR="00873C2D" w:rsidRPr="00873C2D" w:rsidRDefault="00873C2D" w:rsidP="005D151A">
      <w:r>
        <w:t>DV</w:t>
      </w:r>
      <w:r w:rsidRPr="00F96D0B">
        <w:rPr>
          <w:vertAlign w:val="subscript"/>
        </w:rPr>
        <w:t>MN</w:t>
      </w:r>
      <w:r>
        <w:rPr>
          <w:vertAlign w:val="subscript"/>
        </w:rPr>
        <w:t xml:space="preserve"> </w:t>
      </w:r>
      <w:r>
        <w:t>can be estimated by referring to standard counters defined in [6] and [7], multiplying by the measurement duration T. These counters account also for QoS being reported in QoS Class Identifier (QCI) basis (see [8]).</w:t>
      </w:r>
    </w:p>
    <w:p w:rsidR="00A50937" w:rsidRDefault="00A50937" w:rsidP="00570935">
      <w:pPr>
        <w:ind w:left="567"/>
      </w:pPr>
      <w:r>
        <w:t>Note:</w:t>
      </w:r>
    </w:p>
    <w:p w:rsidR="00A50937" w:rsidRDefault="00F96D0B" w:rsidP="00A50937">
      <w:pPr>
        <w:numPr>
          <w:ilvl w:val="1"/>
          <w:numId w:val="38"/>
        </w:numPr>
      </w:pPr>
      <w:r>
        <w:t>D</w:t>
      </w:r>
      <w:r w:rsidR="00BC42C0">
        <w:t>V</w:t>
      </w:r>
      <w:r w:rsidRPr="00F96D0B">
        <w:rPr>
          <w:vertAlign w:val="subscript"/>
        </w:rPr>
        <w:t>MN</w:t>
      </w:r>
      <w:r w:rsidR="00D17D44">
        <w:t xml:space="preserve"> includes data volumes for DL and</w:t>
      </w:r>
      <w:r w:rsidR="00A50937">
        <w:t xml:space="preserve"> UL </w:t>
      </w:r>
    </w:p>
    <w:p w:rsidR="00131E83" w:rsidRPr="00131E83" w:rsidRDefault="00131E83" w:rsidP="00131E83">
      <w:pPr>
        <w:pStyle w:val="ListParagraph"/>
        <w:numPr>
          <w:ilvl w:val="1"/>
          <w:numId w:val="38"/>
        </w:numPr>
      </w:pPr>
      <w:r w:rsidRPr="00131E83">
        <w:t>BH, supervision and control data volumes are not considered</w:t>
      </w:r>
    </w:p>
    <w:p w:rsidR="00A17987" w:rsidRDefault="00A17987" w:rsidP="00A17987">
      <w:pPr>
        <w:pStyle w:val="Heading2"/>
      </w:pPr>
      <w:bookmarkStart w:id="111" w:name="_Toc375054173"/>
      <w:r>
        <w:t xml:space="preserve">5.3  </w:t>
      </w:r>
      <w:r w:rsidR="00982B09">
        <w:tab/>
      </w:r>
      <w:r>
        <w:t>Energy efficiency metrics</w:t>
      </w:r>
      <w:bookmarkEnd w:id="111"/>
    </w:p>
    <w:p w:rsidR="00A3718D" w:rsidRPr="004E2460" w:rsidRDefault="00A3718D" w:rsidP="00A17987">
      <w:r w:rsidRPr="004E2460">
        <w:t xml:space="preserve">Mobile Network </w:t>
      </w:r>
      <w:r w:rsidR="00F96D0B">
        <w:t>d</w:t>
      </w:r>
      <w:r w:rsidR="006D70C1" w:rsidRPr="004E2460">
        <w:t xml:space="preserve">ata </w:t>
      </w:r>
      <w:r w:rsidRPr="004E2460">
        <w:t>Energy Efficiency (</w:t>
      </w:r>
      <w:r w:rsidR="00F96D0B">
        <w:t>EE</w:t>
      </w:r>
      <w:r w:rsidR="00F96D0B" w:rsidRPr="00D17D44">
        <w:rPr>
          <w:vertAlign w:val="subscript"/>
        </w:rPr>
        <w:t>MN,D</w:t>
      </w:r>
      <w:r w:rsidRPr="004E2460">
        <w:t>)</w:t>
      </w:r>
      <w:r w:rsidR="00DE4000" w:rsidRPr="004E2460">
        <w:t xml:space="preserve"> is the </w:t>
      </w:r>
      <w:r w:rsidRPr="004E2460">
        <w:t>ratio between the performance indicator (</w:t>
      </w:r>
      <w:r w:rsidR="00F96D0B">
        <w:t>D</w:t>
      </w:r>
      <w:r w:rsidR="00BC42C0">
        <w:t>V</w:t>
      </w:r>
      <w:r w:rsidR="00F96D0B" w:rsidRPr="00D17D44">
        <w:rPr>
          <w:vertAlign w:val="subscript"/>
        </w:rPr>
        <w:t>MN</w:t>
      </w:r>
      <w:r w:rsidR="00F96D0B">
        <w:t>) and the energy consumption (</w:t>
      </w:r>
      <w:r w:rsidRPr="004E2460">
        <w:t>EC</w:t>
      </w:r>
      <w:r w:rsidR="00F96D0B" w:rsidRPr="00D17D44">
        <w:rPr>
          <w:vertAlign w:val="subscript"/>
        </w:rPr>
        <w:t>MN</w:t>
      </w:r>
      <w:r w:rsidRPr="004E2460">
        <w:t>)</w:t>
      </w:r>
      <w:r w:rsidR="00DE4000" w:rsidRPr="004E2460">
        <w:t xml:space="preserve"> when assessed during the same time frame. </w:t>
      </w:r>
      <w:r w:rsidR="00F96D0B">
        <w:t>EE</w:t>
      </w:r>
      <w:r w:rsidR="00F96D0B" w:rsidRPr="00D17D44">
        <w:rPr>
          <w:vertAlign w:val="subscript"/>
        </w:rPr>
        <w:t>MN</w:t>
      </w:r>
      <w:r w:rsidR="00DE4000" w:rsidRPr="004E2460">
        <w:t xml:space="preserve"> is expressed in </w:t>
      </w:r>
      <w:r w:rsidR="00D17D44">
        <w:t>bit</w:t>
      </w:r>
      <w:r w:rsidR="00844F70">
        <w:t>/Wh</w:t>
      </w:r>
      <w:r w:rsidR="00DE4000" w:rsidRPr="004E2460">
        <w:t>.</w:t>
      </w:r>
    </w:p>
    <w:tbl>
      <w:tblPr>
        <w:tblStyle w:val="TableGrid"/>
        <w:tblW w:w="0" w:type="auto"/>
        <w:tblInd w:w="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2"/>
        <w:gridCol w:w="816"/>
      </w:tblGrid>
      <w:tr w:rsidR="00F96D0B" w:rsidTr="00F96D0B">
        <w:tc>
          <w:tcPr>
            <w:tcW w:w="8512" w:type="dxa"/>
            <w:vAlign w:val="center"/>
          </w:tcPr>
          <w:p w:rsidR="00F96D0B" w:rsidRDefault="00873C2D" w:rsidP="00F96D0B">
            <w:pPr>
              <w:jc w:val="center"/>
            </w:pPr>
            <m:oMathPara>
              <m:oMath>
                <m:sSub>
                  <m:sSubPr>
                    <m:ctrlPr>
                      <w:rPr>
                        <w:rFonts w:ascii="Cambria Math" w:hAnsi="Cambria Math"/>
                        <w:i/>
                      </w:rPr>
                    </m:ctrlPr>
                  </m:sSubPr>
                  <m:e>
                    <m:r>
                      <w:rPr>
                        <w:rFonts w:ascii="Cambria Math" w:hAnsi="Cambria Math"/>
                      </w:rPr>
                      <m:t>EE</m:t>
                    </m:r>
                  </m:e>
                  <m:sub>
                    <m:r>
                      <w:rPr>
                        <w:rFonts w:ascii="Cambria Math" w:hAnsi="Cambria Math"/>
                      </w:rPr>
                      <m:t>MN,D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DV</m:t>
                        </m:r>
                      </m:e>
                      <m:sub>
                        <m:r>
                          <w:rPr>
                            <w:rFonts w:ascii="Cambria Math" w:hAnsi="Cambria Math"/>
                          </w:rPr>
                          <m:t>MN</m:t>
                        </m:r>
                      </m:sub>
                    </m:sSub>
                  </m:num>
                  <m:den>
                    <m:sSub>
                      <m:sSubPr>
                        <m:ctrlPr>
                          <w:rPr>
                            <w:rFonts w:ascii="Cambria Math" w:hAnsi="Cambria Math"/>
                            <w:i/>
                          </w:rPr>
                        </m:ctrlPr>
                      </m:sSubPr>
                      <m:e>
                        <m:r>
                          <w:rPr>
                            <w:rFonts w:ascii="Cambria Math" w:hAnsi="Cambria Math"/>
                          </w:rPr>
                          <m:t>EC</m:t>
                        </m:r>
                      </m:e>
                      <m:sub>
                        <m:r>
                          <w:rPr>
                            <w:rFonts w:ascii="Cambria Math" w:hAnsi="Cambria Math"/>
                          </w:rPr>
                          <m:t>MN</m:t>
                        </m:r>
                      </m:sub>
                    </m:sSub>
                  </m:den>
                </m:f>
              </m:oMath>
            </m:oMathPara>
          </w:p>
        </w:tc>
        <w:tc>
          <w:tcPr>
            <w:tcW w:w="816" w:type="dxa"/>
            <w:vAlign w:val="center"/>
          </w:tcPr>
          <w:p w:rsidR="00F96D0B" w:rsidRDefault="00AA65F0" w:rsidP="00F96D0B">
            <w:pPr>
              <w:jc w:val="center"/>
            </w:pPr>
            <w:r>
              <w:t>(3</w:t>
            </w:r>
            <w:r w:rsidR="00F96D0B">
              <w:t>)</w:t>
            </w:r>
          </w:p>
        </w:tc>
      </w:tr>
    </w:tbl>
    <w:p w:rsidR="006D70C1" w:rsidRDefault="006D70C1" w:rsidP="00A17987">
      <w:r w:rsidRPr="00DE4000">
        <w:t xml:space="preserve">Mobile Network </w:t>
      </w:r>
      <w:r w:rsidR="00F96D0B">
        <w:t>c</w:t>
      </w:r>
      <w:r>
        <w:t xml:space="preserve">overage </w:t>
      </w:r>
      <w:r w:rsidR="00F96D0B">
        <w:t>Energy Efficiency (</w:t>
      </w:r>
      <w:r w:rsidRPr="00DE4000">
        <w:t>EE</w:t>
      </w:r>
      <w:r w:rsidR="00F96D0B" w:rsidRPr="00D17D44">
        <w:rPr>
          <w:vertAlign w:val="subscript"/>
        </w:rPr>
        <w:t>MN,C</w:t>
      </w:r>
      <w:r w:rsidRPr="00DE4000">
        <w:t>)</w:t>
      </w:r>
      <w:r>
        <w:t xml:space="preserve"> is the ratio between the </w:t>
      </w:r>
      <w:r w:rsidR="00C12D4D">
        <w:t xml:space="preserve">area covered by the BS in the MN under investigation </w:t>
      </w:r>
      <w:r w:rsidR="00D267DF">
        <w:t xml:space="preserve">(cf. Clause 4) </w:t>
      </w:r>
      <w:r>
        <w:t xml:space="preserve">and the energy consumption when assessed during one year. </w:t>
      </w:r>
      <w:r w:rsidR="00F96D0B" w:rsidRPr="00DE4000">
        <w:t>EE</w:t>
      </w:r>
      <w:r w:rsidR="00F96D0B" w:rsidRPr="00D17D44">
        <w:rPr>
          <w:vertAlign w:val="subscript"/>
        </w:rPr>
        <w:t>MN,C</w:t>
      </w:r>
      <w:r>
        <w:t xml:space="preserve"> is  </w:t>
      </w:r>
      <w:r w:rsidR="00C12D4D">
        <w:t xml:space="preserve">expressed in </w:t>
      </w:r>
      <w:r>
        <w:t>m²/</w:t>
      </w:r>
      <w:r w:rsidR="000776EB">
        <w:t>Wh</w:t>
      </w:r>
      <w:r>
        <w:t>.</w:t>
      </w:r>
      <w:r w:rsidR="00C12D4D">
        <w:t xml:space="preserve"> </w:t>
      </w:r>
      <w:r w:rsidR="00F96D0B" w:rsidRPr="00DE4000">
        <w:t>EE</w:t>
      </w:r>
      <w:r w:rsidR="00F96D0B" w:rsidRPr="00D17D44">
        <w:rPr>
          <w:vertAlign w:val="subscript"/>
        </w:rPr>
        <w:t>MN,C</w:t>
      </w:r>
      <w:r w:rsidR="00C12D4D">
        <w:t xml:space="preserve"> is mainly used </w:t>
      </w:r>
      <w:r w:rsidR="00602B22">
        <w:t xml:space="preserve">to complement </w:t>
      </w:r>
      <w:r w:rsidR="00F96D0B" w:rsidRPr="00DE4000">
        <w:t>EE</w:t>
      </w:r>
      <w:r w:rsidR="00F96D0B" w:rsidRPr="00D17D44">
        <w:rPr>
          <w:vertAlign w:val="subscript"/>
        </w:rPr>
        <w:t>MN,D</w:t>
      </w:r>
      <w:r w:rsidR="00602B22">
        <w:t xml:space="preserve"> </w:t>
      </w:r>
      <w:r w:rsidR="00C12D4D">
        <w:t>for MN</w:t>
      </w:r>
      <w:r w:rsidR="00F968D2">
        <w:t>s</w:t>
      </w:r>
      <w:r w:rsidR="00C12D4D">
        <w:t xml:space="preserve"> handling low data volumes, in particular in rural or deep rural areas. The area covered shall be assessed using  rules </w:t>
      </w:r>
      <w:r w:rsidR="00A07440">
        <w:t>(</w:t>
      </w:r>
      <w:r w:rsidR="00FF6BE3">
        <w:t>i.e. derived from geographic data</w:t>
      </w:r>
      <w:r w:rsidR="00A07440">
        <w:t xml:space="preserve"> or propagation models) </w:t>
      </w:r>
      <w:r w:rsidR="00F96D0B">
        <w:t>defined in Clause 6</w:t>
      </w:r>
      <w:r w:rsidR="00C12D4D">
        <w:t>.</w:t>
      </w:r>
    </w:p>
    <w:tbl>
      <w:tblPr>
        <w:tblStyle w:val="TableGrid"/>
        <w:tblW w:w="0" w:type="auto"/>
        <w:tblInd w:w="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2"/>
        <w:gridCol w:w="816"/>
      </w:tblGrid>
      <w:tr w:rsidR="00F96D0B" w:rsidTr="00F96D0B">
        <w:tc>
          <w:tcPr>
            <w:tcW w:w="8512" w:type="dxa"/>
            <w:vAlign w:val="center"/>
          </w:tcPr>
          <w:p w:rsidR="00F96D0B" w:rsidRDefault="00873C2D" w:rsidP="00F96D0B">
            <w:pPr>
              <w:jc w:val="center"/>
            </w:pPr>
            <m:oMathPara>
              <m:oMath>
                <m:sSub>
                  <m:sSubPr>
                    <m:ctrlPr>
                      <w:rPr>
                        <w:rFonts w:ascii="Cambria Math" w:hAnsi="Cambria Math"/>
                        <w:i/>
                      </w:rPr>
                    </m:ctrlPr>
                  </m:sSubPr>
                  <m:e>
                    <m:r>
                      <w:rPr>
                        <w:rFonts w:ascii="Cambria Math" w:hAnsi="Cambria Math"/>
                      </w:rPr>
                      <m:t>EE</m:t>
                    </m:r>
                  </m:e>
                  <m:sub>
                    <m:r>
                      <w:rPr>
                        <w:rFonts w:ascii="Cambria Math" w:hAnsi="Cambria Math"/>
                      </w:rPr>
                      <m:t>MN,C</m:t>
                    </m:r>
                  </m:sub>
                </m:sSub>
                <m:r>
                  <w:rPr>
                    <w:rFonts w:ascii="Cambria Math" w:hAnsi="Cambria Math"/>
                  </w:rPr>
                  <m:t>=</m:t>
                </m:r>
                <m:f>
                  <m:fPr>
                    <m:ctrlPr>
                      <w:rPr>
                        <w:rFonts w:ascii="Cambria Math" w:hAnsi="Cambria Math"/>
                        <w:i/>
                      </w:rPr>
                    </m:ctrlPr>
                  </m:fPr>
                  <m:num>
                    <m:r>
                      <w:rPr>
                        <w:rFonts w:ascii="Cambria Math" w:hAnsi="Cambria Math"/>
                      </w:rPr>
                      <m:t>coverage area</m:t>
                    </m:r>
                  </m:num>
                  <m:den>
                    <m:sSub>
                      <m:sSubPr>
                        <m:ctrlPr>
                          <w:rPr>
                            <w:rFonts w:ascii="Cambria Math" w:hAnsi="Cambria Math"/>
                            <w:i/>
                          </w:rPr>
                        </m:ctrlPr>
                      </m:sSubPr>
                      <m:e>
                        <m:r>
                          <w:rPr>
                            <w:rFonts w:ascii="Cambria Math" w:hAnsi="Cambria Math"/>
                          </w:rPr>
                          <m:t>EC</m:t>
                        </m:r>
                      </m:e>
                      <m:sub>
                        <m:r>
                          <w:rPr>
                            <w:rFonts w:ascii="Cambria Math" w:hAnsi="Cambria Math"/>
                          </w:rPr>
                          <m:t>MN</m:t>
                        </m:r>
                      </m:sub>
                    </m:sSub>
                  </m:den>
                </m:f>
              </m:oMath>
            </m:oMathPara>
          </w:p>
        </w:tc>
        <w:tc>
          <w:tcPr>
            <w:tcW w:w="816" w:type="dxa"/>
            <w:vAlign w:val="center"/>
          </w:tcPr>
          <w:p w:rsidR="00F96D0B" w:rsidRDefault="00AA65F0" w:rsidP="00F96D0B">
            <w:pPr>
              <w:jc w:val="center"/>
            </w:pPr>
            <w:r>
              <w:t>(4</w:t>
            </w:r>
            <w:r w:rsidR="00F96D0B">
              <w:t>)</w:t>
            </w:r>
          </w:p>
        </w:tc>
      </w:tr>
    </w:tbl>
    <w:p w:rsidR="00091D39" w:rsidRDefault="004E2460" w:rsidP="00F802CA">
      <w:r>
        <w:t>Therefore, t</w:t>
      </w:r>
      <w:r w:rsidR="003F462F">
        <w:t>he mobile network efficiency</w:t>
      </w:r>
      <w:r w:rsidR="00224F7E">
        <w:t xml:space="preserve"> shall be defined by two metrics</w:t>
      </w:r>
      <w:r w:rsidR="00091D39">
        <w:t>:</w:t>
      </w:r>
    </w:p>
    <w:p w:rsidR="00091D39" w:rsidRDefault="00091D39" w:rsidP="004E2460">
      <w:pPr>
        <w:pStyle w:val="ListParagraph"/>
        <w:numPr>
          <w:ilvl w:val="0"/>
          <w:numId w:val="41"/>
        </w:numPr>
      </w:pPr>
      <w:r>
        <w:t>Capacity</w:t>
      </w:r>
      <w:r w:rsidR="00F96D0B">
        <w:t xml:space="preserve"> (data)</w:t>
      </w:r>
      <w:r>
        <w:t xml:space="preserve"> efficiency</w:t>
      </w:r>
      <w:r w:rsidR="00F96D0B">
        <w:t xml:space="preserve"> </w:t>
      </w:r>
      <w:r w:rsidR="00F96D0B" w:rsidRPr="00DE4000">
        <w:t>EE</w:t>
      </w:r>
      <w:r w:rsidR="00F96D0B" w:rsidRPr="00F96D0B">
        <w:rPr>
          <w:vertAlign w:val="subscript"/>
        </w:rPr>
        <w:t>MN,</w:t>
      </w:r>
      <w:r w:rsidR="00F96D0B">
        <w:rPr>
          <w:vertAlign w:val="subscript"/>
        </w:rPr>
        <w:t>D</w:t>
      </w:r>
      <w:r>
        <w:t>, which</w:t>
      </w:r>
      <w:r w:rsidR="003F462F">
        <w:t xml:space="preserve"> is defined as </w:t>
      </w:r>
      <w:r>
        <w:t>the capacity vs. energy consumption provided within the different sub-network categories</w:t>
      </w:r>
    </w:p>
    <w:p w:rsidR="00091D39" w:rsidRDefault="00091D39" w:rsidP="004E2460">
      <w:pPr>
        <w:pStyle w:val="ListParagraph"/>
        <w:numPr>
          <w:ilvl w:val="0"/>
          <w:numId w:val="41"/>
        </w:numPr>
      </w:pPr>
      <w:r>
        <w:t>Coverage efficiency</w:t>
      </w:r>
      <w:r w:rsidR="00F96D0B">
        <w:t xml:space="preserve"> </w:t>
      </w:r>
      <w:r w:rsidR="00F96D0B" w:rsidRPr="00DE4000">
        <w:t>EE</w:t>
      </w:r>
      <w:r w:rsidR="00F96D0B" w:rsidRPr="00F96D0B">
        <w:rPr>
          <w:vertAlign w:val="subscript"/>
        </w:rPr>
        <w:t>MN,</w:t>
      </w:r>
      <w:r w:rsidR="00F96D0B">
        <w:rPr>
          <w:vertAlign w:val="subscript"/>
        </w:rPr>
        <w:t>C</w:t>
      </w:r>
      <w:r>
        <w:t>, which is defined as the covered area vs. energy consumption provided within the different sub-network categories</w:t>
      </w:r>
    </w:p>
    <w:p w:rsidR="00091D39" w:rsidRPr="00DE4000" w:rsidRDefault="009B2AFA" w:rsidP="004E2460">
      <w:pPr>
        <w:pStyle w:val="ListParagraph"/>
        <w:numPr>
          <w:ilvl w:val="0"/>
          <w:numId w:val="41"/>
        </w:numPr>
      </w:pPr>
      <w:r>
        <w:br w:type="page"/>
      </w:r>
    </w:p>
    <w:p w:rsidR="00A3718D" w:rsidRDefault="00A3718D" w:rsidP="00A3718D"/>
    <w:p w:rsidR="002560F8" w:rsidRDefault="002560F8" w:rsidP="002560F8">
      <w:pPr>
        <w:pStyle w:val="Heading1"/>
      </w:pPr>
      <w:bookmarkStart w:id="112" w:name="_Toc375054174"/>
      <w:r>
        <w:t>6</w:t>
      </w:r>
      <w:r>
        <w:tab/>
        <w:t>Measurement of energy efficiency</w:t>
      </w:r>
      <w:bookmarkEnd w:id="112"/>
    </w:p>
    <w:p w:rsidR="002560F8" w:rsidRDefault="00D47235">
      <w:r>
        <w:t>The measurement of the EE</w:t>
      </w:r>
      <w:r w:rsidR="00F96D0B" w:rsidRPr="00F96D0B">
        <w:rPr>
          <w:vertAlign w:val="subscript"/>
        </w:rPr>
        <w:t>MN</w:t>
      </w:r>
      <w:r w:rsidR="0046016A">
        <w:t xml:space="preserve"> </w:t>
      </w:r>
      <w:r>
        <w:t xml:space="preserve"> in the MN under investigation shall be based on the separate measurement of the </w:t>
      </w:r>
      <w:r w:rsidR="00224F7E">
        <w:t>performance (in terms of capacity and coverage) and energy</w:t>
      </w:r>
      <w:r>
        <w:t>, according to the metrics defined in Clause 5.</w:t>
      </w:r>
      <w:r w:rsidR="00825BEE">
        <w:t xml:space="preserve"> </w:t>
      </w:r>
    </w:p>
    <w:p w:rsidR="00825BEE" w:rsidRDefault="00825BEE" w:rsidP="00825BEE">
      <w:pPr>
        <w:pStyle w:val="Heading2"/>
        <w:rPr>
          <w:lang w:val="en-US"/>
        </w:rPr>
      </w:pPr>
      <w:bookmarkStart w:id="113" w:name="_Toc375054175"/>
      <w:r w:rsidRPr="00825BEE">
        <w:rPr>
          <w:lang w:val="en-US"/>
        </w:rPr>
        <w:t xml:space="preserve">6.1 </w:t>
      </w:r>
      <w:r w:rsidRPr="00825BEE">
        <w:rPr>
          <w:lang w:val="en-US"/>
        </w:rPr>
        <w:tab/>
        <w:t>Time duration of the measurement</w:t>
      </w:r>
      <w:bookmarkEnd w:id="113"/>
    </w:p>
    <w:p w:rsidR="00825BEE" w:rsidRDefault="00825BEE" w:rsidP="00825BEE">
      <w:pPr>
        <w:rPr>
          <w:lang w:val="en-US"/>
        </w:rPr>
      </w:pPr>
      <w:r>
        <w:rPr>
          <w:lang w:val="en-US"/>
        </w:rPr>
        <w:t xml:space="preserve">The </w:t>
      </w:r>
      <w:r w:rsidR="00FD4A17">
        <w:rPr>
          <w:lang w:val="en-US"/>
        </w:rPr>
        <w:t>t</w:t>
      </w:r>
      <w:r>
        <w:rPr>
          <w:lang w:val="en-US"/>
        </w:rPr>
        <w:t>ime duration of the measurement, denoted as T, sh</w:t>
      </w:r>
      <w:r w:rsidR="004E2460">
        <w:rPr>
          <w:lang w:val="en-US"/>
        </w:rPr>
        <w:t>all be one of the alternatives</w:t>
      </w:r>
      <w:r>
        <w:rPr>
          <w:lang w:val="en-US"/>
        </w:rPr>
        <w:t>:</w:t>
      </w:r>
    </w:p>
    <w:p w:rsidR="00825BEE" w:rsidRDefault="00825BEE" w:rsidP="00825BEE">
      <w:pPr>
        <w:numPr>
          <w:ilvl w:val="0"/>
          <w:numId w:val="39"/>
        </w:numPr>
        <w:rPr>
          <w:lang w:val="en-US"/>
        </w:rPr>
      </w:pPr>
      <w:r>
        <w:rPr>
          <w:lang w:val="en-US"/>
        </w:rPr>
        <w:t>Weekly measure</w:t>
      </w:r>
      <w:r w:rsidR="003465AD">
        <w:rPr>
          <w:lang w:val="en-US"/>
        </w:rPr>
        <w:t>ment</w:t>
      </w:r>
      <w:r>
        <w:rPr>
          <w:lang w:val="en-US"/>
        </w:rPr>
        <w:t>: T equal to 7 days</w:t>
      </w:r>
    </w:p>
    <w:p w:rsidR="00825BEE" w:rsidRDefault="00825BEE" w:rsidP="00825BEE">
      <w:pPr>
        <w:numPr>
          <w:ilvl w:val="0"/>
          <w:numId w:val="39"/>
        </w:numPr>
        <w:rPr>
          <w:lang w:val="en-US"/>
        </w:rPr>
      </w:pPr>
      <w:r>
        <w:rPr>
          <w:lang w:val="en-US"/>
        </w:rPr>
        <w:t>Monthly measure</w:t>
      </w:r>
      <w:r w:rsidR="003465AD">
        <w:rPr>
          <w:lang w:val="en-US"/>
        </w:rPr>
        <w:t>ment</w:t>
      </w:r>
      <w:r>
        <w:rPr>
          <w:lang w:val="en-US"/>
        </w:rPr>
        <w:t>: T equal to 30 days</w:t>
      </w:r>
    </w:p>
    <w:p w:rsidR="0046016A" w:rsidRDefault="0046016A" w:rsidP="00825BEE">
      <w:pPr>
        <w:numPr>
          <w:ilvl w:val="0"/>
          <w:numId w:val="39"/>
        </w:numPr>
        <w:rPr>
          <w:lang w:val="en-US"/>
        </w:rPr>
      </w:pPr>
      <w:r>
        <w:rPr>
          <w:lang w:val="en-US"/>
        </w:rPr>
        <w:t>Yearly measure</w:t>
      </w:r>
      <w:r w:rsidR="003465AD">
        <w:rPr>
          <w:lang w:val="en-US"/>
        </w:rPr>
        <w:t>ment: T equal to 365 days</w:t>
      </w:r>
    </w:p>
    <w:p w:rsidR="00D17D44" w:rsidRPr="00825BEE" w:rsidRDefault="00D17D44" w:rsidP="00B1298E">
      <w:pPr>
        <w:rPr>
          <w:lang w:val="en-US"/>
        </w:rPr>
      </w:pPr>
      <w:r>
        <w:rPr>
          <w:lang w:val="en-US"/>
        </w:rPr>
        <w:t xml:space="preserve">The minimum duration is therefore one week, monthly and yearly measurements are </w:t>
      </w:r>
      <w:r w:rsidR="00B1298E">
        <w:rPr>
          <w:lang w:val="en-US"/>
        </w:rPr>
        <w:t>extensions of the basic week test.</w:t>
      </w:r>
    </w:p>
    <w:p w:rsidR="00825BEE" w:rsidRDefault="0046016A" w:rsidP="00F802CA">
      <w:pPr>
        <w:pStyle w:val="Heading2"/>
        <w:rPr>
          <w:lang w:val="en-US"/>
        </w:rPr>
      </w:pPr>
      <w:bookmarkStart w:id="114" w:name="_Toc375054176"/>
      <w:r>
        <w:rPr>
          <w:lang w:val="en-US"/>
        </w:rPr>
        <w:t>6.2</w:t>
      </w:r>
      <w:r w:rsidR="00D47235" w:rsidRPr="00F802CA">
        <w:rPr>
          <w:lang w:val="en-US"/>
        </w:rPr>
        <w:tab/>
      </w:r>
      <w:r w:rsidR="00825BEE">
        <w:rPr>
          <w:lang w:val="en-US"/>
        </w:rPr>
        <w:t>Measurement procedures</w:t>
      </w:r>
      <w:bookmarkEnd w:id="114"/>
    </w:p>
    <w:p w:rsidR="00D47235" w:rsidRPr="004E2460" w:rsidRDefault="0046016A" w:rsidP="00825BEE">
      <w:pPr>
        <w:pStyle w:val="Heading3"/>
      </w:pPr>
      <w:bookmarkStart w:id="115" w:name="_Toc375054177"/>
      <w:r>
        <w:rPr>
          <w:lang w:val="en-US"/>
        </w:rPr>
        <w:t>6.2</w:t>
      </w:r>
      <w:r w:rsidR="00825BEE" w:rsidRPr="00825BEE">
        <w:rPr>
          <w:lang w:val="en-US"/>
        </w:rPr>
        <w:t>.1</w:t>
      </w:r>
      <w:r w:rsidR="00825BEE" w:rsidRPr="00825BEE">
        <w:rPr>
          <w:lang w:val="en-US"/>
        </w:rPr>
        <w:tab/>
      </w:r>
      <w:r w:rsidR="00D47235" w:rsidRPr="00F802CA">
        <w:t xml:space="preserve">Measurement of </w:t>
      </w:r>
      <w:r w:rsidR="00224F7E">
        <w:t>Energy Consumption</w:t>
      </w:r>
      <w:bookmarkEnd w:id="115"/>
    </w:p>
    <w:p w:rsidR="00E23D6C" w:rsidRDefault="00E23D6C" w:rsidP="00F802CA">
      <w:pPr>
        <w:rPr>
          <w:lang w:val="en-US"/>
        </w:rPr>
      </w:pPr>
      <w:r w:rsidRPr="003A75C3">
        <w:rPr>
          <w:lang w:val="en-US"/>
        </w:rPr>
        <w:t xml:space="preserve">The </w:t>
      </w:r>
      <w:r w:rsidR="00BC42C0" w:rsidRPr="003A75C3">
        <w:rPr>
          <w:lang w:val="en-US"/>
        </w:rPr>
        <w:t xml:space="preserve">Energy Consumption of the </w:t>
      </w:r>
      <w:r w:rsidRPr="003A75C3">
        <w:rPr>
          <w:lang w:val="en-US"/>
        </w:rPr>
        <w:t xml:space="preserve">MN </w:t>
      </w:r>
      <w:r w:rsidR="00DE6E69" w:rsidRPr="003A75C3">
        <w:rPr>
          <w:lang w:val="en-US"/>
        </w:rPr>
        <w:t>can</w:t>
      </w:r>
      <w:r w:rsidRPr="003A75C3">
        <w:rPr>
          <w:lang w:val="en-US"/>
        </w:rPr>
        <w:t xml:space="preserve"> be measured by means of metering information</w:t>
      </w:r>
      <w:r w:rsidR="00DE6E69" w:rsidRPr="003A75C3">
        <w:rPr>
          <w:lang w:val="en-US"/>
        </w:rPr>
        <w:t xml:space="preserve"> provided by utility suppliers or by mobile network integrated measurement systems</w:t>
      </w:r>
      <w:r w:rsidR="005E4231" w:rsidRPr="003A75C3">
        <w:rPr>
          <w:lang w:val="en-US"/>
        </w:rPr>
        <w:t xml:space="preserve"> (</w:t>
      </w:r>
      <w:r w:rsidR="003A75C3">
        <w:rPr>
          <w:lang w:val="en-US"/>
        </w:rPr>
        <w:t xml:space="preserve">ES </w:t>
      </w:r>
      <w:r w:rsidR="005E4231" w:rsidRPr="003A75C3">
        <w:rPr>
          <w:lang w:val="en-US"/>
        </w:rPr>
        <w:t>202 336 series)</w:t>
      </w:r>
      <w:r w:rsidR="00E63272" w:rsidRPr="003A75C3">
        <w:rPr>
          <w:lang w:val="en-US"/>
        </w:rPr>
        <w:t>. Moreover, sensors can be used to measure site and equipment energy consumption.</w:t>
      </w:r>
    </w:p>
    <w:p w:rsidR="00D47235" w:rsidRDefault="00E23D6C" w:rsidP="00F802CA">
      <w:pPr>
        <w:rPr>
          <w:lang w:val="en-US"/>
        </w:rPr>
      </w:pPr>
      <w:r>
        <w:rPr>
          <w:lang w:val="en-US"/>
        </w:rPr>
        <w:t>The EC</w:t>
      </w:r>
      <w:r w:rsidR="00BC42C0" w:rsidRPr="00CD5134">
        <w:rPr>
          <w:vertAlign w:val="subscript"/>
          <w:lang w:val="en-US"/>
        </w:rPr>
        <w:t>MN</w:t>
      </w:r>
      <w:r>
        <w:rPr>
          <w:lang w:val="en-US"/>
        </w:rPr>
        <w:t xml:space="preserve"> is based on site granularity and includes therefore all the equipment that are in the MN sites</w:t>
      </w:r>
      <w:r w:rsidR="00C33F9F">
        <w:rPr>
          <w:lang w:val="en-US"/>
        </w:rPr>
        <w:t xml:space="preserve"> (including the network controllers whenever applicable)</w:t>
      </w:r>
      <w:r>
        <w:rPr>
          <w:lang w:val="en-US"/>
        </w:rPr>
        <w:t>. The EC</w:t>
      </w:r>
      <w:r w:rsidR="00BC42C0" w:rsidRPr="00CD5134">
        <w:rPr>
          <w:vertAlign w:val="subscript"/>
          <w:lang w:val="en-US"/>
        </w:rPr>
        <w:t>MN</w:t>
      </w:r>
      <w:r w:rsidR="00844F70">
        <w:rPr>
          <w:vertAlign w:val="subscript"/>
          <w:lang w:val="en-US"/>
        </w:rPr>
        <w:t xml:space="preserve"> </w:t>
      </w:r>
      <w:r>
        <w:rPr>
          <w:lang w:val="en-US"/>
        </w:rPr>
        <w:t>shall be differentiated per operator providing service to the MN; in case of shared infrastructure the EC</w:t>
      </w:r>
      <w:r w:rsidR="00CD5134" w:rsidRPr="00CD5134">
        <w:rPr>
          <w:vertAlign w:val="subscript"/>
          <w:lang w:val="en-US"/>
        </w:rPr>
        <w:t>MN</w:t>
      </w:r>
      <w:r>
        <w:rPr>
          <w:lang w:val="en-US"/>
        </w:rPr>
        <w:t xml:space="preserve"> of the shared sites shall be computed per each operator sharing those sites</w:t>
      </w:r>
      <w:r w:rsidR="001E55E0">
        <w:rPr>
          <w:lang w:val="en-US"/>
        </w:rPr>
        <w:t xml:space="preserve"> in a proportional ratio</w:t>
      </w:r>
      <w:r>
        <w:rPr>
          <w:lang w:val="en-US"/>
        </w:rPr>
        <w:t>.</w:t>
      </w:r>
      <w:r w:rsidR="001E55E0">
        <w:rPr>
          <w:lang w:val="en-US"/>
        </w:rPr>
        <w:t xml:space="preserve"> In case of separate metering per operators the respective part of the EC</w:t>
      </w:r>
      <w:r w:rsidR="00CD5134" w:rsidRPr="00CD5134">
        <w:rPr>
          <w:vertAlign w:val="subscript"/>
          <w:lang w:val="en-US"/>
        </w:rPr>
        <w:t>MN</w:t>
      </w:r>
      <w:r w:rsidR="001E55E0">
        <w:rPr>
          <w:lang w:val="en-US"/>
        </w:rPr>
        <w:t xml:space="preserve"> shall be assigned to each operator.</w:t>
      </w:r>
    </w:p>
    <w:p w:rsidR="001757C5" w:rsidRDefault="001757C5" w:rsidP="00F802CA">
      <w:pPr>
        <w:rPr>
          <w:lang w:val="en-US"/>
        </w:rPr>
      </w:pPr>
      <w:r>
        <w:rPr>
          <w:lang w:val="en-US"/>
        </w:rPr>
        <w:t xml:space="preserve">The </w:t>
      </w:r>
      <w:r w:rsidR="00CD5134">
        <w:rPr>
          <w:lang w:val="en-US"/>
        </w:rPr>
        <w:t>EC</w:t>
      </w:r>
      <w:r w:rsidR="00CD5134" w:rsidRPr="00CD5134">
        <w:rPr>
          <w:vertAlign w:val="subscript"/>
          <w:lang w:val="en-US"/>
        </w:rPr>
        <w:t>MN</w:t>
      </w:r>
      <w:r>
        <w:rPr>
          <w:lang w:val="en-US"/>
        </w:rPr>
        <w:t xml:space="preserve"> shall be based on a per RAT </w:t>
      </w:r>
      <w:r w:rsidR="00B52A97">
        <w:rPr>
          <w:lang w:val="en-US"/>
        </w:rPr>
        <w:t xml:space="preserve">estimation. If in the site there are BS of different RATs the </w:t>
      </w:r>
      <w:r w:rsidR="00CD5134">
        <w:rPr>
          <w:lang w:val="en-US"/>
        </w:rPr>
        <w:t>EC</w:t>
      </w:r>
      <w:r w:rsidR="00CD5134" w:rsidRPr="00CD5134">
        <w:rPr>
          <w:vertAlign w:val="subscript"/>
          <w:lang w:val="en-US"/>
        </w:rPr>
        <w:t>MN</w:t>
      </w:r>
      <w:r w:rsidR="00B52A97">
        <w:rPr>
          <w:lang w:val="en-US"/>
        </w:rPr>
        <w:t xml:space="preserve"> shall be derived proportionally.</w:t>
      </w:r>
    </w:p>
    <w:p w:rsidR="001E55E0" w:rsidRDefault="001E55E0" w:rsidP="00F802CA">
      <w:pPr>
        <w:rPr>
          <w:lang w:val="en-US"/>
        </w:rPr>
      </w:pPr>
      <w:r>
        <w:rPr>
          <w:lang w:val="en-US"/>
        </w:rPr>
        <w:t xml:space="preserve">The </w:t>
      </w:r>
      <w:r w:rsidR="00850B32">
        <w:rPr>
          <w:lang w:val="en-US"/>
        </w:rPr>
        <w:t xml:space="preserve">list of </w:t>
      </w:r>
      <w:r>
        <w:rPr>
          <w:lang w:val="en-US"/>
        </w:rPr>
        <w:t xml:space="preserve">equipment </w:t>
      </w:r>
      <w:r w:rsidR="00FD4A17">
        <w:rPr>
          <w:lang w:val="en-US"/>
        </w:rPr>
        <w:t>operating</w:t>
      </w:r>
      <w:r>
        <w:rPr>
          <w:lang w:val="en-US"/>
        </w:rPr>
        <w:t xml:space="preserve"> in the </w:t>
      </w:r>
      <w:r w:rsidR="00850B32">
        <w:rPr>
          <w:lang w:val="en-US"/>
        </w:rPr>
        <w:t xml:space="preserve">MN </w:t>
      </w:r>
      <w:r>
        <w:rPr>
          <w:lang w:val="en-US"/>
        </w:rPr>
        <w:t xml:space="preserve">sites under investigation shall be reported in the </w:t>
      </w:r>
      <w:r w:rsidR="00850B32">
        <w:rPr>
          <w:lang w:val="en-US"/>
        </w:rPr>
        <w:t>assessment report</w:t>
      </w:r>
      <w:r>
        <w:rPr>
          <w:lang w:val="en-US"/>
        </w:rPr>
        <w:t>, including cooling, power conversion,</w:t>
      </w:r>
      <w:r w:rsidR="00FD4A17">
        <w:rPr>
          <w:lang w:val="en-US"/>
        </w:rPr>
        <w:t xml:space="preserve"> </w:t>
      </w:r>
      <w:proofErr w:type="spellStart"/>
      <w:r w:rsidR="00FD4A17">
        <w:rPr>
          <w:lang w:val="en-US"/>
        </w:rPr>
        <w:t>etc</w:t>
      </w:r>
      <w:proofErr w:type="spellEnd"/>
    </w:p>
    <w:p w:rsidR="001E55E0" w:rsidRDefault="001E55E0" w:rsidP="001E55E0">
      <w:pPr>
        <w:rPr>
          <w:lang w:val="en-US"/>
        </w:rPr>
      </w:pPr>
      <w:r>
        <w:rPr>
          <w:lang w:val="en-US"/>
        </w:rPr>
        <w:t xml:space="preserve">The reporting frequency of the </w:t>
      </w:r>
      <w:r w:rsidR="00CD5134">
        <w:rPr>
          <w:lang w:val="en-US"/>
        </w:rPr>
        <w:t>EC</w:t>
      </w:r>
      <w:r w:rsidR="00CD5134" w:rsidRPr="00CD5134">
        <w:rPr>
          <w:vertAlign w:val="subscript"/>
          <w:lang w:val="en-US"/>
        </w:rPr>
        <w:t>MN</w:t>
      </w:r>
      <w:r>
        <w:rPr>
          <w:lang w:val="en-US"/>
        </w:rPr>
        <w:t xml:space="preserve"> should be </w:t>
      </w:r>
      <w:r w:rsidR="00850B32">
        <w:rPr>
          <w:lang w:val="en-US"/>
        </w:rPr>
        <w:t>aligned with</w:t>
      </w:r>
      <w:r>
        <w:rPr>
          <w:lang w:val="en-US"/>
        </w:rPr>
        <w:t xml:space="preserve"> the utility provider settings and</w:t>
      </w:r>
      <w:r w:rsidR="00850B32" w:rsidRPr="00850B32">
        <w:t xml:space="preserve"> </w:t>
      </w:r>
      <w:r w:rsidR="00850B32" w:rsidRPr="00850B32">
        <w:rPr>
          <w:lang w:val="en-US"/>
        </w:rPr>
        <w:t>mobile network performance assessment settings</w:t>
      </w:r>
      <w:r w:rsidR="00850B32">
        <w:rPr>
          <w:lang w:val="en-US"/>
        </w:rPr>
        <w:t>. It</w:t>
      </w:r>
      <w:r>
        <w:rPr>
          <w:lang w:val="en-US"/>
        </w:rPr>
        <w:t xml:space="preserve"> shall be reported in the </w:t>
      </w:r>
      <w:r w:rsidR="00850B32">
        <w:rPr>
          <w:lang w:val="en-US"/>
        </w:rPr>
        <w:t>assessment report</w:t>
      </w:r>
      <w:r>
        <w:rPr>
          <w:lang w:val="en-US"/>
        </w:rPr>
        <w:t>.</w:t>
      </w:r>
    </w:p>
    <w:p w:rsidR="00444C58" w:rsidRPr="00F802CA" w:rsidRDefault="00850B32" w:rsidP="001E55E0">
      <w:pPr>
        <w:rPr>
          <w:lang w:val="en-US"/>
        </w:rPr>
      </w:pPr>
      <w:r w:rsidRPr="003A75C3">
        <w:rPr>
          <w:lang w:val="en-US"/>
        </w:rPr>
        <w:t>Note: a</w:t>
      </w:r>
      <w:r w:rsidR="00444C58" w:rsidRPr="003A75C3">
        <w:rPr>
          <w:lang w:val="en-US"/>
        </w:rPr>
        <w:t xml:space="preserve">s soon as a </w:t>
      </w:r>
      <w:r w:rsidRPr="003A75C3">
        <w:rPr>
          <w:lang w:val="en-US"/>
        </w:rPr>
        <w:t xml:space="preserve">mobile </w:t>
      </w:r>
      <w:r w:rsidR="00444C58" w:rsidRPr="003A75C3">
        <w:rPr>
          <w:lang w:val="en-US"/>
        </w:rPr>
        <w:t xml:space="preserve">network integrated measurement </w:t>
      </w:r>
      <w:r w:rsidRPr="003A75C3">
        <w:rPr>
          <w:lang w:val="en-US"/>
        </w:rPr>
        <w:t xml:space="preserve">systems </w:t>
      </w:r>
      <w:r w:rsidR="00444C58" w:rsidRPr="003A75C3">
        <w:rPr>
          <w:lang w:val="en-US"/>
        </w:rPr>
        <w:t>will be available, it sh</w:t>
      </w:r>
      <w:r w:rsidRPr="003A75C3">
        <w:rPr>
          <w:lang w:val="en-US"/>
        </w:rPr>
        <w:t>ould</w:t>
      </w:r>
      <w:r w:rsidR="00444C58" w:rsidRPr="003A75C3">
        <w:rPr>
          <w:lang w:val="en-US"/>
        </w:rPr>
        <w:t xml:space="preserve"> be used instead of the utility provided </w:t>
      </w:r>
      <w:r w:rsidR="00CD5134" w:rsidRPr="003A75C3">
        <w:rPr>
          <w:lang w:val="en-US"/>
        </w:rPr>
        <w:t>EC</w:t>
      </w:r>
      <w:r w:rsidR="00CD5134" w:rsidRPr="003A75C3">
        <w:rPr>
          <w:vertAlign w:val="subscript"/>
          <w:lang w:val="en-US"/>
        </w:rPr>
        <w:t>MN</w:t>
      </w:r>
      <w:r w:rsidR="00B52A97" w:rsidRPr="003A75C3">
        <w:rPr>
          <w:lang w:val="en-US"/>
        </w:rPr>
        <w:t>, allowing a more precise estimation of the consumption per RAT and per operator.</w:t>
      </w:r>
    </w:p>
    <w:p w:rsidR="00D47235" w:rsidRPr="004E2460" w:rsidRDefault="00D47235" w:rsidP="00825BEE">
      <w:pPr>
        <w:pStyle w:val="Heading3"/>
      </w:pPr>
      <w:bookmarkStart w:id="116" w:name="_Toc375054178"/>
      <w:r>
        <w:t>6.</w:t>
      </w:r>
      <w:r w:rsidR="0046016A" w:rsidRPr="00042DB7">
        <w:rPr>
          <w:lang w:val="en-US"/>
        </w:rPr>
        <w:t>2</w:t>
      </w:r>
      <w:r w:rsidR="00825BEE" w:rsidRPr="00042DB7">
        <w:rPr>
          <w:lang w:val="en-US"/>
        </w:rPr>
        <w:t>.</w:t>
      </w:r>
      <w:r>
        <w:t>2</w:t>
      </w:r>
      <w:r>
        <w:tab/>
        <w:t xml:space="preserve">Measurement of </w:t>
      </w:r>
      <w:r w:rsidR="00224F7E">
        <w:t>capacity (data)</w:t>
      </w:r>
      <w:bookmarkEnd w:id="116"/>
    </w:p>
    <w:p w:rsidR="00B52A97" w:rsidRDefault="00B52A97" w:rsidP="00F802CA">
      <w:pPr>
        <w:rPr>
          <w:lang w:val="en-US"/>
        </w:rPr>
      </w:pPr>
      <w:r w:rsidRPr="00F802CA">
        <w:rPr>
          <w:lang w:val="en-US"/>
        </w:rPr>
        <w:t xml:space="preserve">The </w:t>
      </w:r>
      <w:r w:rsidR="00CD5134">
        <w:rPr>
          <w:lang w:val="en-US"/>
        </w:rPr>
        <w:t>DV</w:t>
      </w:r>
      <w:r w:rsidR="00CD5134" w:rsidRPr="00CD5134">
        <w:rPr>
          <w:vertAlign w:val="subscript"/>
          <w:lang w:val="en-US"/>
        </w:rPr>
        <w:t>MN</w:t>
      </w:r>
      <w:r w:rsidR="00CD5134" w:rsidRPr="00F802CA">
        <w:rPr>
          <w:lang w:val="en-US"/>
        </w:rPr>
        <w:t xml:space="preserve"> </w:t>
      </w:r>
      <w:r w:rsidRPr="00F802CA">
        <w:rPr>
          <w:lang w:val="en-US"/>
        </w:rPr>
        <w:t>shall be measured using network counters for data volume</w:t>
      </w:r>
      <w:r>
        <w:rPr>
          <w:lang w:val="en-US"/>
        </w:rPr>
        <w:t xml:space="preserve"> related to the aggregated traffic in the set of BS considered in the MN under test.</w:t>
      </w:r>
    </w:p>
    <w:p w:rsidR="00FC0D7E" w:rsidRDefault="00FC0D7E" w:rsidP="00F802CA">
      <w:pPr>
        <w:rPr>
          <w:lang w:val="en-US"/>
        </w:rPr>
      </w:pPr>
      <w:r>
        <w:rPr>
          <w:lang w:val="en-US"/>
        </w:rPr>
        <w:t>The data volume is considered as the overall amount of data transferred to and from the users present in the MN under test. Data volume shall be measured in an aggregated way per each RAT present in the MN and shall be measured referring to counters</w:t>
      </w:r>
      <w:r w:rsidR="00E35276">
        <w:rPr>
          <w:lang w:val="en-US"/>
        </w:rPr>
        <w:t xml:space="preserve"> </w:t>
      </w:r>
      <w:r w:rsidR="003465AD">
        <w:rPr>
          <w:lang w:val="en-US"/>
        </w:rPr>
        <w:t>derived from vendors O&amp;M systems.</w:t>
      </w:r>
    </w:p>
    <w:p w:rsidR="00FC0D7E" w:rsidRDefault="00FC0D7E" w:rsidP="00765E73">
      <w:pPr>
        <w:rPr>
          <w:lang w:val="en-US"/>
        </w:rPr>
      </w:pPr>
      <w:r>
        <w:rPr>
          <w:lang w:val="en-US"/>
        </w:rPr>
        <w:t>In order to include reliability in the measurement the aggregated data volume shall be provided together with the 95 percentile of the cumulative distribution, for each RAT in the MN.</w:t>
      </w:r>
    </w:p>
    <w:p w:rsidR="00FC0D7E" w:rsidRPr="00F802CA" w:rsidRDefault="00647B2D" w:rsidP="00B625C0">
      <w:pPr>
        <w:rPr>
          <w:lang w:val="en-US"/>
        </w:rPr>
      </w:pPr>
      <w:r>
        <w:rPr>
          <w:lang w:val="en-US"/>
        </w:rPr>
        <w:t xml:space="preserve">Note: </w:t>
      </w:r>
      <w:r w:rsidR="00FC0D7E">
        <w:rPr>
          <w:lang w:val="en-US"/>
        </w:rPr>
        <w:t xml:space="preserve">As soon as the MDT related measurements in </w:t>
      </w:r>
      <w:r>
        <w:rPr>
          <w:lang w:val="en-US"/>
        </w:rPr>
        <w:t>[4] (</w:t>
      </w:r>
      <w:r w:rsidR="00FC0D7E">
        <w:rPr>
          <w:lang w:val="en-US"/>
        </w:rPr>
        <w:t>3GPP TS 36.314</w:t>
      </w:r>
      <w:r>
        <w:rPr>
          <w:lang w:val="en-US"/>
        </w:rPr>
        <w:t>)</w:t>
      </w:r>
      <w:r w:rsidR="00FC0D7E">
        <w:rPr>
          <w:lang w:val="en-US"/>
        </w:rPr>
        <w:t xml:space="preserve"> </w:t>
      </w:r>
      <w:r>
        <w:rPr>
          <w:lang w:val="en-US"/>
        </w:rPr>
        <w:t>is</w:t>
      </w:r>
      <w:r w:rsidR="00FC0D7E">
        <w:rPr>
          <w:lang w:val="en-US"/>
        </w:rPr>
        <w:t xml:space="preserve"> available the data volume </w:t>
      </w:r>
      <w:r w:rsidR="00CB02CE">
        <w:rPr>
          <w:lang w:val="en-US"/>
        </w:rPr>
        <w:t>may</w:t>
      </w:r>
      <w:r w:rsidR="00FC0D7E">
        <w:rPr>
          <w:lang w:val="en-US"/>
        </w:rPr>
        <w:t xml:space="preserve"> be measured according to the specification given therein (especially referring to </w:t>
      </w:r>
      <w:r w:rsidR="00ED1715">
        <w:rPr>
          <w:lang w:val="en-US"/>
        </w:rPr>
        <w:t xml:space="preserve">clause 4.1.8 </w:t>
      </w:r>
      <w:r>
        <w:rPr>
          <w:lang w:val="en-US"/>
        </w:rPr>
        <w:t>in [4]</w:t>
      </w:r>
      <w:r w:rsidR="00ED1715">
        <w:rPr>
          <w:lang w:val="en-US"/>
        </w:rPr>
        <w:t>).</w:t>
      </w:r>
    </w:p>
    <w:p w:rsidR="00D47235" w:rsidRDefault="00D47235" w:rsidP="00825BEE">
      <w:pPr>
        <w:pStyle w:val="Heading3"/>
        <w:rPr>
          <w:lang w:val="en-US"/>
        </w:rPr>
      </w:pPr>
      <w:bookmarkStart w:id="117" w:name="_Toc375054179"/>
      <w:r>
        <w:lastRenderedPageBreak/>
        <w:t>6.</w:t>
      </w:r>
      <w:r w:rsidR="0046016A" w:rsidRPr="004E2460">
        <w:rPr>
          <w:lang w:val="en-US"/>
        </w:rPr>
        <w:t>2</w:t>
      </w:r>
      <w:r w:rsidR="00825BEE" w:rsidRPr="004E2460">
        <w:rPr>
          <w:lang w:val="en-US"/>
        </w:rPr>
        <w:t>.</w:t>
      </w:r>
      <w:r>
        <w:t>3</w:t>
      </w:r>
      <w:r>
        <w:tab/>
      </w:r>
      <w:r w:rsidR="00A05C51" w:rsidRPr="004E2460">
        <w:rPr>
          <w:lang w:val="en-US"/>
        </w:rPr>
        <w:t>Determination of coverage area</w:t>
      </w:r>
      <w:bookmarkEnd w:id="117"/>
    </w:p>
    <w:p w:rsidR="003A75C3" w:rsidRPr="003A75C3" w:rsidRDefault="003A75C3" w:rsidP="003A75C3">
      <w:r w:rsidRPr="003A75C3">
        <w:t xml:space="preserve">The coverage area under test is initially defined by an area served of a cluster of radio base stations as defined in chapter 4. </w:t>
      </w:r>
    </w:p>
    <w:p w:rsidR="003A75C3" w:rsidRPr="003A75C3" w:rsidRDefault="003A75C3" w:rsidP="003A75C3">
      <w:r w:rsidRPr="003A75C3">
        <w:t xml:space="preserve">Coverage area is subject to network planning and intended services delivered within a certain area. These parameters vary according to an operators strategy and might therefore differ from operator to operator but also within the network of one operator for different geographical area.   </w:t>
      </w:r>
    </w:p>
    <w:p w:rsidR="003A75C3" w:rsidRPr="003A75C3" w:rsidRDefault="003A75C3" w:rsidP="003A75C3">
      <w:r w:rsidRPr="003A75C3">
        <w:t>The coverage are shall be described by two distinct methods:</w:t>
      </w:r>
    </w:p>
    <w:p w:rsidR="003A75C3" w:rsidRPr="003A75C3" w:rsidRDefault="003A75C3" w:rsidP="003A75C3">
      <w:pPr>
        <w:numPr>
          <w:ilvl w:val="0"/>
          <w:numId w:val="45"/>
        </w:numPr>
      </w:pPr>
      <w:r w:rsidRPr="003A75C3">
        <w:t>Calculated coverage area derived from network design, planned service and geographical data</w:t>
      </w:r>
    </w:p>
    <w:p w:rsidR="003A75C3" w:rsidRPr="003A75C3" w:rsidRDefault="003A75C3" w:rsidP="003A75C3">
      <w:pPr>
        <w:numPr>
          <w:ilvl w:val="0"/>
          <w:numId w:val="45"/>
        </w:numPr>
      </w:pPr>
      <w:r w:rsidRPr="003A75C3">
        <w:t>Measured network coverage based on UE reporting</w:t>
      </w:r>
    </w:p>
    <w:p w:rsidR="003A75C3" w:rsidRPr="003A75C3" w:rsidRDefault="003A75C3" w:rsidP="003A75C3">
      <w:pPr>
        <w:pStyle w:val="Heading4"/>
      </w:pPr>
      <w:bookmarkStart w:id="118" w:name="_Toc375054180"/>
      <w:r w:rsidRPr="003A75C3">
        <w:t>6.2.3.1 Geographic coverage area</w:t>
      </w:r>
      <w:bookmarkEnd w:id="118"/>
      <w:r w:rsidRPr="003A75C3">
        <w:t xml:space="preserve"> </w:t>
      </w:r>
    </w:p>
    <w:p w:rsidR="003A75C3" w:rsidRPr="003A75C3" w:rsidRDefault="003A75C3" w:rsidP="003A75C3">
      <w:r w:rsidRPr="003A75C3">
        <w:t>The geographic network coverage area is the total two dimensional area intentionally covered by the selected sub-network. This area is defined by an operators defined network service plans (minimum granted data rate / typical data rate, etc.) for the selected test area. The area is based on base station power, propagation conditions in the selected area and accepted outage criteria.</w:t>
      </w:r>
    </w:p>
    <w:p w:rsidR="003A75C3" w:rsidRPr="003A75C3" w:rsidRDefault="003A75C3" w:rsidP="003A75C3">
      <w:pPr>
        <w:pStyle w:val="Heading4"/>
      </w:pPr>
      <w:bookmarkStart w:id="119" w:name="_Toc375054181"/>
      <w:r w:rsidRPr="003A75C3">
        <w:t>6.2.3.2 Coverage ratio / effective coverage area</w:t>
      </w:r>
      <w:bookmarkEnd w:id="119"/>
    </w:p>
    <w:p w:rsidR="003A75C3" w:rsidRPr="003A75C3" w:rsidRDefault="003A75C3" w:rsidP="003A75C3">
      <w:r w:rsidRPr="003A75C3">
        <w:t>The actual coverage area might differ from the originally planned coverage area (coverage holes within the considered area). The coverage ratio is a measure to estimate the actually covered fraction of the planned total coverage area. User equipment reports like signal strength, failed call attempts shall be used to more accurately determine the coverage fraction. Drive tests and similar additional measurement campaigns should be avoided.</w:t>
      </w:r>
    </w:p>
    <w:p w:rsidR="003A75C3" w:rsidRPr="003A75C3" w:rsidRDefault="003A75C3" w:rsidP="003A75C3">
      <w:r w:rsidRPr="003A75C3">
        <w:t>The coverage ratio / effective coverage area shall be provided for network efficiency result evaluations. It is linked to network quality and has to be defined in relation to the quality of service (QoS) definitions.</w:t>
      </w:r>
    </w:p>
    <w:p w:rsidR="003A75C3" w:rsidRPr="003A75C3" w:rsidRDefault="003A75C3" w:rsidP="003A75C3"/>
    <w:p w:rsidR="002560F8" w:rsidRDefault="002560F8" w:rsidP="002560F8">
      <w:pPr>
        <w:pStyle w:val="Heading1"/>
      </w:pPr>
      <w:bookmarkStart w:id="120" w:name="_Toc375054182"/>
      <w:r>
        <w:t>7</w:t>
      </w:r>
      <w:r>
        <w:tab/>
        <w:t>Extrapolation for global networks</w:t>
      </w:r>
      <w:bookmarkEnd w:id="120"/>
    </w:p>
    <w:p w:rsidR="002560F8" w:rsidRDefault="0046016A">
      <w:r>
        <w:t>A measure in each of the domains listed in Clause 4 shall be performed.</w:t>
      </w:r>
    </w:p>
    <w:p w:rsidR="00B1298E" w:rsidRDefault="00B1298E"/>
    <w:p w:rsidR="00B1298E" w:rsidRDefault="00B1298E" w:rsidP="00982B09">
      <w:pPr>
        <w:pStyle w:val="Heading1"/>
      </w:pPr>
      <w:bookmarkStart w:id="121" w:name="_Toc375054183"/>
      <w:r>
        <w:t>8</w:t>
      </w:r>
      <w:r w:rsidRPr="00B1298E">
        <w:tab/>
      </w:r>
      <w:r>
        <w:t>Assessment report</w:t>
      </w:r>
      <w:bookmarkEnd w:id="121"/>
    </w:p>
    <w:p w:rsidR="00FD2E5D" w:rsidRDefault="00FD2E5D" w:rsidP="00FD2E5D">
      <w:r>
        <w:t>The results of the assessments shall be reported accurately, clearly, unambiguously and objectively, and in accordance with any specific instructions in the required method(s).</w:t>
      </w:r>
    </w:p>
    <w:p w:rsidR="000C6D51" w:rsidRPr="003A75C3" w:rsidRDefault="000C6D51" w:rsidP="00FD2E5D">
      <w:r w:rsidRPr="003A75C3">
        <w:t xml:space="preserve">The report consists of a set of tables (Table 2, Table 3 and Table 4). </w:t>
      </w:r>
    </w:p>
    <w:p w:rsidR="000C6D51" w:rsidRPr="003A75C3" w:rsidRDefault="000C6D51" w:rsidP="00FD2E5D">
      <w:r w:rsidRPr="003A75C3">
        <w:t>Table 2 reports the details of the Network Area under test, representing a sub-network where the measurements are conducted.</w:t>
      </w:r>
    </w:p>
    <w:p w:rsidR="000C6D51" w:rsidRDefault="000C6D51" w:rsidP="00FD2E5D">
      <w:r w:rsidRPr="003A75C3">
        <w:t>For each site reported in Table 2 the details are to be included in Table 3. Table 4 reports the measurements results for each site.</w:t>
      </w:r>
    </w:p>
    <w:p w:rsidR="000C6D51" w:rsidRDefault="000C6D51" w:rsidP="000C6D51">
      <w:pPr>
        <w:pStyle w:val="Caption"/>
        <w:jc w:val="center"/>
      </w:pPr>
      <w:r>
        <w:t>Table 2: Report of Network Area under test.</w:t>
      </w:r>
    </w:p>
    <w:tbl>
      <w:tblPr>
        <w:tblStyle w:val="TableGrid"/>
        <w:tblW w:w="0" w:type="auto"/>
        <w:tblLook w:val="04A0" w:firstRow="1" w:lastRow="0" w:firstColumn="1" w:lastColumn="0" w:noHBand="0" w:noVBand="1"/>
      </w:tblPr>
      <w:tblGrid>
        <w:gridCol w:w="3521"/>
        <w:gridCol w:w="3336"/>
        <w:gridCol w:w="2998"/>
      </w:tblGrid>
      <w:tr w:rsidR="003B3DCE" w:rsidTr="003B3DCE">
        <w:trPr>
          <w:trHeight w:val="300"/>
        </w:trPr>
        <w:tc>
          <w:tcPr>
            <w:tcW w:w="12640"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b/>
                <w:bCs/>
              </w:rPr>
            </w:pPr>
            <w:r>
              <w:rPr>
                <w:rFonts w:ascii="Arial" w:hAnsi="Arial" w:cs="Arial"/>
                <w:b/>
                <w:bCs/>
              </w:rPr>
              <w:t>Network Area under test</w:t>
            </w:r>
          </w:p>
        </w:tc>
      </w:tr>
      <w:tr w:rsidR="003B3DCE" w:rsidRPr="003B3DCE" w:rsidTr="003B3DCE">
        <w:trPr>
          <w:trHeight w:val="600"/>
        </w:trPr>
        <w:tc>
          <w:tcPr>
            <w:tcW w:w="452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Environmental class </w:t>
            </w:r>
            <w:r>
              <w:rPr>
                <w:rFonts w:ascii="Arial" w:hAnsi="Arial" w:cs="Arial"/>
              </w:rPr>
              <w:br/>
              <w:t>[Dense Urban, Urban, Suburban, Rural, Sparse]</w:t>
            </w:r>
          </w:p>
        </w:tc>
        <w:tc>
          <w:tcPr>
            <w:tcW w:w="8120" w:type="dxa"/>
            <w:gridSpan w:val="2"/>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600"/>
        </w:trPr>
        <w:tc>
          <w:tcPr>
            <w:tcW w:w="452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lastRenderedPageBreak/>
              <w:t xml:space="preserve">Area definition </w:t>
            </w:r>
            <w:r>
              <w:rPr>
                <w:rFonts w:ascii="Arial" w:hAnsi="Arial" w:cs="Arial"/>
              </w:rPr>
              <w:br/>
              <w:t>[by Demography, by Geography, by Topology]</w:t>
            </w:r>
          </w:p>
        </w:tc>
        <w:tc>
          <w:tcPr>
            <w:tcW w:w="8120" w:type="dxa"/>
            <w:gridSpan w:val="2"/>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600"/>
        </w:trPr>
        <w:tc>
          <w:tcPr>
            <w:tcW w:w="4520"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428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Number of inhabitants in the area </w:t>
            </w:r>
            <w:r>
              <w:rPr>
                <w:rFonts w:ascii="Arial" w:hAnsi="Arial" w:cs="Arial"/>
              </w:rPr>
              <w:br/>
              <w:t>[estimate]</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Area dimensions </w:t>
            </w:r>
            <w:r>
              <w:rPr>
                <w:rFonts w:ascii="Arial" w:hAnsi="Arial" w:cs="Arial"/>
              </w:rPr>
              <w:br/>
              <w:t>[estimate, km2]</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Number of sites in the Area </w:t>
            </w:r>
            <w:r>
              <w:rPr>
                <w:rFonts w:ascii="Arial" w:hAnsi="Arial" w:cs="Arial"/>
              </w:rPr>
              <w:br/>
              <w:t>[same BSC/RNC/Gateway?]</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300"/>
        </w:trPr>
        <w:tc>
          <w:tcPr>
            <w:tcW w:w="12640"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Type of sites in the Area</w:t>
            </w:r>
          </w:p>
        </w:tc>
      </w:tr>
      <w:tr w:rsidR="003B3DCE" w:rsidTr="003B3DCE">
        <w:trPr>
          <w:trHeight w:val="300"/>
        </w:trPr>
        <w:tc>
          <w:tcPr>
            <w:tcW w:w="4520"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“Macro” sites</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“Micro” sites</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Number of other sites/equipment </w:t>
            </w:r>
            <w:r>
              <w:rPr>
                <w:rFonts w:ascii="Arial" w:hAnsi="Arial" w:cs="Arial"/>
              </w:rPr>
              <w:br/>
              <w:t>(</w:t>
            </w:r>
            <w:proofErr w:type="spellStart"/>
            <w:r>
              <w:rPr>
                <w:rFonts w:ascii="Arial" w:hAnsi="Arial" w:cs="Arial"/>
              </w:rPr>
              <w:t>picocells</w:t>
            </w:r>
            <w:proofErr w:type="spellEnd"/>
            <w:r>
              <w:rPr>
                <w:rFonts w:ascii="Arial" w:hAnsi="Arial" w:cs="Arial"/>
              </w:rPr>
              <w:t xml:space="preserve">, relay nodes, </w:t>
            </w:r>
            <w:proofErr w:type="spellStart"/>
            <w:r>
              <w:rPr>
                <w:rFonts w:ascii="Arial" w:hAnsi="Arial" w:cs="Arial"/>
              </w:rPr>
              <w:t>etc</w:t>
            </w:r>
            <w:proofErr w:type="spellEnd"/>
            <w:r>
              <w:rPr>
                <w:rFonts w:ascii="Arial" w:hAnsi="Arial" w:cs="Arial"/>
              </w:rPr>
              <w:t>)</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300"/>
        </w:trPr>
        <w:tc>
          <w:tcPr>
            <w:tcW w:w="12640"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Sites categorization</w:t>
            </w:r>
          </w:p>
        </w:tc>
      </w:tr>
      <w:tr w:rsidR="003B3DCE" w:rsidRPr="003B3DCE" w:rsidTr="003B3DCE">
        <w:trPr>
          <w:trHeight w:val="600"/>
        </w:trPr>
        <w:tc>
          <w:tcPr>
            <w:tcW w:w="4520"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428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Number of sites in an Operator </w:t>
            </w:r>
            <w:r>
              <w:rPr>
                <w:rFonts w:ascii="Arial" w:hAnsi="Arial" w:cs="Arial"/>
              </w:rPr>
              <w:br/>
              <w:t xml:space="preserve">local exchange premise </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sites in buildings</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sites in a shelter</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any other sites</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300"/>
        </w:trPr>
        <w:tc>
          <w:tcPr>
            <w:tcW w:w="12640"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Multi-operator sites</w:t>
            </w:r>
          </w:p>
        </w:tc>
      </w:tr>
      <w:tr w:rsidR="003B3DCE" w:rsidRPr="003B3DCE" w:rsidTr="003B3DCE">
        <w:trPr>
          <w:trHeight w:val="300"/>
        </w:trPr>
        <w:tc>
          <w:tcPr>
            <w:tcW w:w="4520"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“single Operator” sites</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co-located multi-operators sites</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sites in “Network Sharing” mode</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300"/>
        </w:trPr>
        <w:tc>
          <w:tcPr>
            <w:tcW w:w="12640"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Multi-technology sites</w:t>
            </w:r>
          </w:p>
        </w:tc>
      </w:tr>
      <w:tr w:rsidR="003B3DCE" w:rsidRPr="003B3DCE" w:rsidTr="003B3DCE">
        <w:trPr>
          <w:trHeight w:val="300"/>
        </w:trPr>
        <w:tc>
          <w:tcPr>
            <w:tcW w:w="4520"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2G only sites</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3G only sites</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LTE only sites</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2G+3G sites</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Other options [indicate]</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300"/>
        </w:trPr>
        <w:tc>
          <w:tcPr>
            <w:tcW w:w="12640"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Backhauling information</w:t>
            </w:r>
          </w:p>
        </w:tc>
      </w:tr>
      <w:tr w:rsidR="003B3DCE" w:rsidRPr="003B3DCE" w:rsidTr="003B3DCE">
        <w:trPr>
          <w:trHeight w:val="600"/>
        </w:trPr>
        <w:tc>
          <w:tcPr>
            <w:tcW w:w="4520"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428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Predominant type of backhauling </w:t>
            </w:r>
            <w:r>
              <w:rPr>
                <w:rFonts w:ascii="Arial" w:hAnsi="Arial" w:cs="Arial"/>
              </w:rPr>
              <w:br/>
              <w:t xml:space="preserve">[wireless, </w:t>
            </w:r>
            <w:proofErr w:type="spellStart"/>
            <w:r>
              <w:rPr>
                <w:rFonts w:ascii="Arial" w:hAnsi="Arial" w:cs="Arial"/>
              </w:rPr>
              <w:t>fiber</w:t>
            </w:r>
            <w:proofErr w:type="spellEnd"/>
            <w:r>
              <w:rPr>
                <w:rFonts w:ascii="Arial" w:hAnsi="Arial" w:cs="Arial"/>
              </w:rPr>
              <w:t>, copper…]</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428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Number of backhauling links per type</w:t>
            </w:r>
          </w:p>
        </w:tc>
        <w:tc>
          <w:tcPr>
            <w:tcW w:w="384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bl>
    <w:p w:rsidR="003B3DCE" w:rsidRDefault="003B3DCE" w:rsidP="00FD2E5D">
      <w:pPr>
        <w:rPr>
          <w:lang w:val="en-US"/>
        </w:rPr>
      </w:pPr>
    </w:p>
    <w:p w:rsidR="000C6D51" w:rsidRDefault="000C6D51" w:rsidP="000C6D51">
      <w:pPr>
        <w:pStyle w:val="Caption"/>
        <w:jc w:val="center"/>
      </w:pPr>
      <w:r>
        <w:t>Table 3: Report of sites under test.</w:t>
      </w:r>
    </w:p>
    <w:tbl>
      <w:tblPr>
        <w:tblStyle w:val="TableGrid"/>
        <w:tblW w:w="0" w:type="auto"/>
        <w:tblLook w:val="04A0" w:firstRow="1" w:lastRow="0" w:firstColumn="1" w:lastColumn="0" w:noHBand="0" w:noVBand="1"/>
      </w:tblPr>
      <w:tblGrid>
        <w:gridCol w:w="4475"/>
        <w:gridCol w:w="2460"/>
        <w:gridCol w:w="2920"/>
      </w:tblGrid>
      <w:tr w:rsidR="003B3DCE" w:rsidRPr="003B3DCE" w:rsidTr="003B3DCE">
        <w:trPr>
          <w:trHeight w:val="900"/>
        </w:trPr>
        <w:tc>
          <w:tcPr>
            <w:tcW w:w="8720" w:type="dxa"/>
            <w:gridSpan w:val="3"/>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b/>
                <w:bCs/>
              </w:rPr>
            </w:pPr>
            <w:r>
              <w:rPr>
                <w:rFonts w:ascii="Arial" w:hAnsi="Arial" w:cs="Arial"/>
                <w:b/>
                <w:bCs/>
              </w:rPr>
              <w:lastRenderedPageBreak/>
              <w:t xml:space="preserve">Site(s) under test in the Area </w:t>
            </w:r>
            <w:r>
              <w:rPr>
                <w:rFonts w:ascii="Arial" w:hAnsi="Arial" w:cs="Arial"/>
                <w:b/>
                <w:bCs/>
              </w:rPr>
              <w:br/>
              <w:t>(one table per site type to be measured in the Area)</w:t>
            </w:r>
          </w:p>
        </w:tc>
      </w:tr>
      <w:tr w:rsidR="003B3DCE" w:rsidTr="003B3DCE">
        <w:trPr>
          <w:trHeight w:val="300"/>
        </w:trPr>
        <w:tc>
          <w:tcPr>
            <w:tcW w:w="8720"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Type of site</w:t>
            </w:r>
          </w:p>
        </w:tc>
      </w:tr>
      <w:tr w:rsidR="003B3DCE" w:rsidRPr="003B3DCE" w:rsidTr="003B3DCE">
        <w:trPr>
          <w:trHeight w:val="600"/>
        </w:trPr>
        <w:tc>
          <w:tcPr>
            <w:tcW w:w="3340"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246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Site “layer” </w:t>
            </w:r>
            <w:r>
              <w:rPr>
                <w:rFonts w:ascii="Arial" w:hAnsi="Arial" w:cs="Arial"/>
              </w:rPr>
              <w:br/>
              <w:t>[Macro, micro, other]</w:t>
            </w:r>
          </w:p>
          <w:p w:rsidR="00E63272" w:rsidRDefault="00E63272">
            <w:pPr>
              <w:rPr>
                <w:rFonts w:ascii="Arial" w:hAnsi="Arial" w:cs="Arial"/>
              </w:rPr>
            </w:pPr>
            <w:r w:rsidRPr="003A75C3">
              <w:rPr>
                <w:rFonts w:ascii="Arial" w:hAnsi="Arial" w:cs="Arial"/>
              </w:rPr>
              <w:t>In case of Macro, indicate number of sectors and carriers per sector</w:t>
            </w:r>
          </w:p>
        </w:tc>
        <w:tc>
          <w:tcPr>
            <w:tcW w:w="292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246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Site “technology” </w:t>
            </w:r>
            <w:r>
              <w:rPr>
                <w:rFonts w:ascii="Arial" w:hAnsi="Arial" w:cs="Arial"/>
              </w:rPr>
              <w:br/>
              <w:t>[2G, 3G, 2G+3G, LTE only, 2G+3G+LTE,other]</w:t>
            </w:r>
          </w:p>
        </w:tc>
        <w:tc>
          <w:tcPr>
            <w:tcW w:w="292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1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246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Site “operators” </w:t>
            </w:r>
            <w:r>
              <w:rPr>
                <w:rFonts w:ascii="Arial" w:hAnsi="Arial" w:cs="Arial"/>
              </w:rPr>
              <w:br/>
              <w:t>[single operator, co-location, network sharing, other]</w:t>
            </w:r>
          </w:p>
        </w:tc>
        <w:tc>
          <w:tcPr>
            <w:tcW w:w="292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D420A3" w:rsidRPr="003B3DCE" w:rsidTr="003B3DCE">
        <w:trPr>
          <w:trHeight w:val="1200"/>
        </w:trPr>
        <w:tc>
          <w:tcPr>
            <w:tcW w:w="0" w:type="auto"/>
            <w:tcBorders>
              <w:top w:val="single" w:sz="4" w:space="0" w:color="auto"/>
              <w:left w:val="single" w:sz="4" w:space="0" w:color="auto"/>
              <w:bottom w:val="single" w:sz="4" w:space="0" w:color="auto"/>
              <w:right w:val="single" w:sz="4" w:space="0" w:color="auto"/>
            </w:tcBorders>
            <w:vAlign w:val="center"/>
          </w:tcPr>
          <w:p w:rsidR="00D420A3" w:rsidRPr="003A75C3" w:rsidRDefault="00AE1E4F">
            <w:pPr>
              <w:overflowPunct/>
              <w:autoSpaceDE/>
              <w:autoSpaceDN/>
              <w:adjustRightInd/>
              <w:rPr>
                <w:rFonts w:ascii="Arial" w:hAnsi="Arial" w:cs="Arial"/>
              </w:rPr>
            </w:pPr>
            <w:r w:rsidRPr="003A75C3">
              <w:rPr>
                <w:rFonts w:ascii="Arial" w:hAnsi="Arial" w:cs="Arial"/>
              </w:rPr>
              <w:t>Site and equipment age</w:t>
            </w:r>
          </w:p>
          <w:p w:rsidR="00D420A3" w:rsidRPr="003A75C3" w:rsidRDefault="00AE1E4F" w:rsidP="00AE1E4F">
            <w:pPr>
              <w:pStyle w:val="ListParagraph"/>
              <w:numPr>
                <w:ilvl w:val="0"/>
                <w:numId w:val="40"/>
              </w:numPr>
              <w:overflowPunct/>
              <w:autoSpaceDE/>
              <w:autoSpaceDN/>
              <w:adjustRightInd/>
              <w:rPr>
                <w:rFonts w:ascii="Arial" w:hAnsi="Arial" w:cs="Arial"/>
              </w:rPr>
            </w:pPr>
            <w:r w:rsidRPr="003A75C3">
              <w:rPr>
                <w:rFonts w:ascii="Arial" w:hAnsi="Arial" w:cs="Arial"/>
              </w:rPr>
              <w:t>Initial commission date of the site</w:t>
            </w:r>
          </w:p>
          <w:p w:rsidR="00AE1E4F" w:rsidRPr="003A75C3" w:rsidRDefault="00AE1E4F" w:rsidP="00AE1E4F">
            <w:pPr>
              <w:pStyle w:val="ListParagraph"/>
              <w:numPr>
                <w:ilvl w:val="0"/>
                <w:numId w:val="40"/>
              </w:numPr>
              <w:overflowPunct/>
              <w:autoSpaceDE/>
              <w:autoSpaceDN/>
              <w:adjustRightInd/>
              <w:rPr>
                <w:rFonts w:ascii="Arial" w:hAnsi="Arial" w:cs="Arial"/>
              </w:rPr>
            </w:pPr>
            <w:r w:rsidRPr="003A75C3">
              <w:rPr>
                <w:rFonts w:ascii="Arial" w:hAnsi="Arial" w:cs="Arial"/>
              </w:rPr>
              <w:t xml:space="preserve">Commission date of the current </w:t>
            </w:r>
          </w:p>
          <w:p w:rsidR="00AE1E4F" w:rsidRDefault="00AE1E4F">
            <w:pPr>
              <w:overflowPunct/>
              <w:autoSpaceDE/>
              <w:autoSpaceDN/>
              <w:adjustRightInd/>
              <w:rPr>
                <w:rFonts w:ascii="Arial" w:hAnsi="Arial" w:cs="Arial"/>
              </w:rPr>
            </w:pPr>
            <w:r w:rsidRPr="003A75C3">
              <w:rPr>
                <w:rFonts w:ascii="Arial" w:hAnsi="Arial" w:cs="Arial"/>
              </w:rPr>
              <w:t>equipment in the site</w:t>
            </w:r>
          </w:p>
        </w:tc>
        <w:tc>
          <w:tcPr>
            <w:tcW w:w="2460" w:type="dxa"/>
            <w:tcBorders>
              <w:top w:val="single" w:sz="4" w:space="0" w:color="auto"/>
              <w:left w:val="single" w:sz="4" w:space="0" w:color="auto"/>
              <w:bottom w:val="single" w:sz="4" w:space="0" w:color="auto"/>
              <w:right w:val="single" w:sz="4" w:space="0" w:color="auto"/>
            </w:tcBorders>
          </w:tcPr>
          <w:p w:rsidR="00D420A3" w:rsidRDefault="00D420A3">
            <w:pPr>
              <w:rPr>
                <w:rFonts w:ascii="Arial" w:hAnsi="Arial" w:cs="Arial"/>
              </w:rPr>
            </w:pPr>
          </w:p>
        </w:tc>
        <w:tc>
          <w:tcPr>
            <w:tcW w:w="2920" w:type="dxa"/>
            <w:tcBorders>
              <w:top w:val="single" w:sz="4" w:space="0" w:color="auto"/>
              <w:left w:val="single" w:sz="4" w:space="0" w:color="auto"/>
              <w:bottom w:val="single" w:sz="4" w:space="0" w:color="auto"/>
              <w:right w:val="single" w:sz="4" w:space="0" w:color="auto"/>
            </w:tcBorders>
            <w:noWrap/>
          </w:tcPr>
          <w:p w:rsidR="00D420A3" w:rsidRDefault="00D420A3">
            <w:pPr>
              <w:rPr>
                <w:rFonts w:ascii="Arial" w:hAnsi="Arial" w:cs="Arial"/>
              </w:rPr>
            </w:pPr>
          </w:p>
        </w:tc>
      </w:tr>
      <w:tr w:rsidR="003B3DCE" w:rsidTr="003B3DCE">
        <w:trPr>
          <w:trHeight w:val="300"/>
        </w:trPr>
        <w:tc>
          <w:tcPr>
            <w:tcW w:w="8720"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Site infrastructure</w:t>
            </w:r>
          </w:p>
        </w:tc>
      </w:tr>
      <w:tr w:rsidR="003B3DCE" w:rsidRPr="003B3DCE" w:rsidTr="003B3DCE">
        <w:trPr>
          <w:trHeight w:val="900"/>
        </w:trPr>
        <w:tc>
          <w:tcPr>
            <w:tcW w:w="3340"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246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Site location </w:t>
            </w:r>
            <w:r>
              <w:rPr>
                <w:rFonts w:ascii="Arial" w:hAnsi="Arial" w:cs="Arial"/>
              </w:rPr>
              <w:br/>
              <w:t>[local exchange premise, building, shelter, other]</w:t>
            </w:r>
          </w:p>
        </w:tc>
        <w:tc>
          <w:tcPr>
            <w:tcW w:w="292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246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Site composition</w:t>
            </w:r>
          </w:p>
        </w:tc>
        <w:tc>
          <w:tcPr>
            <w:tcW w:w="292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246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Air conditioners</w:t>
            </w:r>
          </w:p>
        </w:tc>
        <w:tc>
          <w:tcPr>
            <w:tcW w:w="292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246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Rectifiers</w:t>
            </w:r>
            <w:r w:rsidR="00553B87">
              <w:rPr>
                <w:rFonts w:ascii="Arial" w:hAnsi="Arial" w:cs="Arial"/>
                <w:i/>
                <w:iCs/>
              </w:rPr>
              <w:t xml:space="preserve">/ </w:t>
            </w:r>
            <w:r w:rsidR="00553B87" w:rsidRPr="00C07921">
              <w:rPr>
                <w:rFonts w:ascii="Arial" w:hAnsi="Arial" w:cs="Arial"/>
                <w:i/>
                <w:iCs/>
              </w:rPr>
              <w:t>batteries</w:t>
            </w:r>
          </w:p>
        </w:tc>
        <w:tc>
          <w:tcPr>
            <w:tcW w:w="292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246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i/>
                <w:iCs/>
              </w:rPr>
            </w:pPr>
            <w:r>
              <w:rPr>
                <w:rFonts w:ascii="Arial" w:hAnsi="Arial" w:cs="Arial"/>
                <w:i/>
                <w:iCs/>
              </w:rPr>
              <w:t xml:space="preserve">Fixed network </w:t>
            </w:r>
            <w:r>
              <w:rPr>
                <w:rFonts w:ascii="Arial" w:hAnsi="Arial" w:cs="Arial"/>
                <w:i/>
                <w:iCs/>
              </w:rPr>
              <w:br/>
              <w:t>equipment consumption</w:t>
            </w:r>
          </w:p>
        </w:tc>
        <w:tc>
          <w:tcPr>
            <w:tcW w:w="292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3B3DC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246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Other</w:t>
            </w:r>
          </w:p>
        </w:tc>
        <w:tc>
          <w:tcPr>
            <w:tcW w:w="292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3B3DCE">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246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Estimated percentage </w:t>
            </w:r>
            <w:r>
              <w:rPr>
                <w:rFonts w:ascii="Arial" w:hAnsi="Arial" w:cs="Arial"/>
              </w:rPr>
              <w:br/>
              <w:t>of infrastructure consumption in the site</w:t>
            </w:r>
          </w:p>
        </w:tc>
        <w:tc>
          <w:tcPr>
            <w:tcW w:w="2920"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E06618" w:rsidRPr="003B3DCE" w:rsidTr="003B3DCE">
        <w:trPr>
          <w:trHeight w:val="915"/>
        </w:trPr>
        <w:tc>
          <w:tcPr>
            <w:tcW w:w="3340" w:type="dxa"/>
            <w:tcBorders>
              <w:top w:val="single" w:sz="4" w:space="0" w:color="auto"/>
              <w:left w:val="single" w:sz="4" w:space="0" w:color="auto"/>
              <w:bottom w:val="single" w:sz="4" w:space="0" w:color="auto"/>
              <w:right w:val="single" w:sz="4" w:space="0" w:color="auto"/>
            </w:tcBorders>
          </w:tcPr>
          <w:p w:rsidR="00E06618" w:rsidRPr="00E06618" w:rsidRDefault="00E06618" w:rsidP="00E75382">
            <w:pPr>
              <w:rPr>
                <w:rFonts w:ascii="Arial" w:hAnsi="Arial" w:cs="Arial"/>
                <w:highlight w:val="yellow"/>
              </w:rPr>
            </w:pPr>
            <w:r w:rsidRPr="003A75C3">
              <w:rPr>
                <w:rFonts w:ascii="Arial" w:hAnsi="Arial" w:cs="Arial"/>
              </w:rPr>
              <w:t>Energy Efficienc</w:t>
            </w:r>
            <w:r w:rsidR="00E75382" w:rsidRPr="003A75C3">
              <w:rPr>
                <w:rFonts w:ascii="Arial" w:hAnsi="Arial" w:cs="Arial"/>
              </w:rPr>
              <w:t>y Enhancement methods affecting</w:t>
            </w:r>
            <w:r w:rsidRPr="003A75C3">
              <w:rPr>
                <w:rFonts w:ascii="Arial" w:hAnsi="Arial" w:cs="Arial"/>
              </w:rPr>
              <w:t xml:space="preserve"> the site equipment</w:t>
            </w:r>
            <w:r w:rsidR="00E75382" w:rsidRPr="003A75C3">
              <w:rPr>
                <w:rFonts w:ascii="Arial" w:hAnsi="Arial" w:cs="Arial"/>
              </w:rPr>
              <w:t xml:space="preserve"> </w:t>
            </w:r>
            <w:r w:rsidR="003D4523" w:rsidRPr="003A75C3">
              <w:rPr>
                <w:rFonts w:ascii="Arial" w:hAnsi="Arial" w:cs="Arial"/>
              </w:rPr>
              <w:t>during the test</w:t>
            </w:r>
          </w:p>
        </w:tc>
        <w:tc>
          <w:tcPr>
            <w:tcW w:w="5380" w:type="dxa"/>
            <w:gridSpan w:val="2"/>
            <w:tcBorders>
              <w:top w:val="single" w:sz="4" w:space="0" w:color="auto"/>
              <w:left w:val="single" w:sz="4" w:space="0" w:color="auto"/>
              <w:bottom w:val="single" w:sz="4" w:space="0" w:color="auto"/>
              <w:right w:val="single" w:sz="4" w:space="0" w:color="auto"/>
            </w:tcBorders>
            <w:noWrap/>
          </w:tcPr>
          <w:p w:rsidR="00E06618" w:rsidRPr="00E06618" w:rsidRDefault="00E06618">
            <w:pPr>
              <w:rPr>
                <w:rFonts w:ascii="Arial" w:hAnsi="Arial" w:cs="Arial"/>
                <w:highlight w:val="yellow"/>
              </w:rPr>
            </w:pPr>
          </w:p>
        </w:tc>
      </w:tr>
      <w:tr w:rsidR="003B3DCE" w:rsidRPr="003B3DCE" w:rsidTr="003B3DCE">
        <w:trPr>
          <w:trHeight w:val="915"/>
        </w:trPr>
        <w:tc>
          <w:tcPr>
            <w:tcW w:w="3340"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Estimated percentage </w:t>
            </w:r>
            <w:r>
              <w:rPr>
                <w:rFonts w:ascii="Arial" w:hAnsi="Arial" w:cs="Arial"/>
              </w:rPr>
              <w:br/>
              <w:t>of presence of this site type in the Area</w:t>
            </w:r>
          </w:p>
        </w:tc>
        <w:tc>
          <w:tcPr>
            <w:tcW w:w="5380" w:type="dxa"/>
            <w:gridSpan w:val="2"/>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bl>
    <w:p w:rsidR="003B3DCE" w:rsidRDefault="003B3DCE" w:rsidP="00FD2E5D">
      <w:pPr>
        <w:rPr>
          <w:lang w:val="en-US"/>
        </w:rPr>
      </w:pPr>
    </w:p>
    <w:p w:rsidR="000C6D51" w:rsidRDefault="000C6D51" w:rsidP="000C6D51">
      <w:pPr>
        <w:pStyle w:val="Caption"/>
        <w:jc w:val="center"/>
      </w:pPr>
      <w:r>
        <w:t>Table 4: Report of Site measurement.</w:t>
      </w:r>
    </w:p>
    <w:tbl>
      <w:tblPr>
        <w:tblStyle w:val="TableGrid"/>
        <w:tblW w:w="0" w:type="auto"/>
        <w:tblLook w:val="04A0" w:firstRow="1" w:lastRow="0" w:firstColumn="1" w:lastColumn="0" w:noHBand="0" w:noVBand="1"/>
      </w:tblPr>
      <w:tblGrid>
        <w:gridCol w:w="3936"/>
        <w:gridCol w:w="3827"/>
        <w:gridCol w:w="2092"/>
      </w:tblGrid>
      <w:tr w:rsidR="003B3DCE" w:rsidTr="000C6D51">
        <w:trPr>
          <w:trHeight w:val="300"/>
        </w:trPr>
        <w:tc>
          <w:tcPr>
            <w:tcW w:w="9855"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b/>
                <w:bCs/>
              </w:rPr>
            </w:pPr>
            <w:r>
              <w:rPr>
                <w:rFonts w:ascii="Arial" w:hAnsi="Arial" w:cs="Arial"/>
                <w:b/>
                <w:bCs/>
              </w:rPr>
              <w:lastRenderedPageBreak/>
              <w:t>Site measurement</w:t>
            </w:r>
          </w:p>
        </w:tc>
      </w:tr>
      <w:tr w:rsidR="003B3DCE" w:rsidTr="000C6D51">
        <w:trPr>
          <w:trHeight w:val="300"/>
        </w:trPr>
        <w:tc>
          <w:tcPr>
            <w:tcW w:w="9855"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Measurement duration</w:t>
            </w:r>
          </w:p>
        </w:tc>
      </w:tr>
      <w:tr w:rsidR="003B3DCE" w:rsidRPr="003B3DCE" w:rsidTr="000C6D51">
        <w:trPr>
          <w:trHeight w:val="300"/>
        </w:trPr>
        <w:tc>
          <w:tcPr>
            <w:tcW w:w="3936"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Time duration of the measurement [T]</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Measurement start date and time</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xml:space="preserve">Measurement finish date and time </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E63272" w:rsidRPr="003B3DCE" w:rsidTr="000C6D51">
        <w:trPr>
          <w:trHeight w:val="300"/>
        </w:trPr>
        <w:tc>
          <w:tcPr>
            <w:tcW w:w="9855" w:type="dxa"/>
            <w:gridSpan w:val="3"/>
            <w:tcBorders>
              <w:top w:val="single" w:sz="4" w:space="0" w:color="auto"/>
              <w:left w:val="single" w:sz="4" w:space="0" w:color="auto"/>
              <w:bottom w:val="single" w:sz="4" w:space="0" w:color="auto"/>
              <w:right w:val="single" w:sz="4" w:space="0" w:color="auto"/>
            </w:tcBorders>
            <w:noWrap/>
          </w:tcPr>
          <w:p w:rsidR="00E63272" w:rsidRDefault="00AD1C1A" w:rsidP="00AD1C1A">
            <w:pPr>
              <w:rPr>
                <w:rFonts w:ascii="Arial" w:hAnsi="Arial" w:cs="Arial"/>
              </w:rPr>
            </w:pPr>
            <w:r w:rsidRPr="003A75C3">
              <w:rPr>
                <w:rFonts w:ascii="Arial" w:hAnsi="Arial" w:cs="Arial"/>
              </w:rPr>
              <w:t>Temperature class</w:t>
            </w:r>
            <w:r w:rsidR="00E63272" w:rsidRPr="003A75C3">
              <w:rPr>
                <w:rFonts w:ascii="Arial" w:hAnsi="Arial" w:cs="Arial"/>
              </w:rPr>
              <w:t xml:space="preserve"> </w:t>
            </w:r>
            <w:r w:rsidRPr="003A75C3">
              <w:rPr>
                <w:rFonts w:ascii="Arial" w:hAnsi="Arial" w:cs="Arial"/>
              </w:rPr>
              <w:t>and average temperature during the test</w:t>
            </w:r>
          </w:p>
        </w:tc>
      </w:tr>
      <w:tr w:rsidR="003B3DCE" w:rsidRPr="003B3DCE" w:rsidTr="000C6D51">
        <w:trPr>
          <w:trHeight w:val="300"/>
        </w:trPr>
        <w:tc>
          <w:tcPr>
            <w:tcW w:w="9855"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Energy consumption in the site</w:t>
            </w:r>
          </w:p>
        </w:tc>
      </w:tr>
      <w:tr w:rsidR="003B3DCE" w:rsidRPr="003B3DCE" w:rsidTr="000C6D51">
        <w:trPr>
          <w:trHeight w:val="900"/>
        </w:trPr>
        <w:tc>
          <w:tcPr>
            <w:tcW w:w="3936"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3827"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Method of measurement </w:t>
            </w:r>
            <w:r>
              <w:rPr>
                <w:rFonts w:ascii="Arial" w:hAnsi="Arial" w:cs="Arial"/>
              </w:rPr>
              <w:br/>
              <w:t>[energy bills/counters, sensors, equipment information, other]</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9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Estimated percentage </w:t>
            </w:r>
            <w:r>
              <w:rPr>
                <w:rFonts w:ascii="Arial" w:hAnsi="Arial" w:cs="Arial"/>
              </w:rPr>
              <w:br/>
              <w:t xml:space="preserve">of infrastructure consumption </w:t>
            </w:r>
            <w:r>
              <w:rPr>
                <w:rFonts w:ascii="Arial" w:hAnsi="Arial" w:cs="Arial"/>
              </w:rPr>
              <w:br/>
              <w:t>measured in the site</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5919" w:type="dxa"/>
            <w:gridSpan w:val="2"/>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Measured energy consumption [kWh]</w:t>
            </w:r>
          </w:p>
        </w:tc>
      </w:tr>
      <w:tr w:rsidR="003B3DCE" w:rsidRP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Week energy consumption [per week data/graph]</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Month energy consumption [if T allows]</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Year energy consumption [if T allows]</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00"/>
        </w:trPr>
        <w:tc>
          <w:tcPr>
            <w:tcW w:w="9855" w:type="dxa"/>
            <w:gridSpan w:val="3"/>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Traffic offered in the site</w:t>
            </w:r>
          </w:p>
        </w:tc>
      </w:tr>
      <w:tr w:rsidR="003B3DCE" w:rsidRPr="003B3DCE" w:rsidTr="000C6D51">
        <w:trPr>
          <w:trHeight w:val="600"/>
        </w:trPr>
        <w:tc>
          <w:tcPr>
            <w:tcW w:w="3936"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3827"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Method of measurement </w:t>
            </w:r>
            <w:r>
              <w:rPr>
                <w:rFonts w:ascii="Arial" w:hAnsi="Arial" w:cs="Arial"/>
              </w:rPr>
              <w:br/>
              <w:t>[operational counters, backhauling data, MDT, other]</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5919" w:type="dxa"/>
            <w:gridSpan w:val="2"/>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Measured traffic volume [Gb, Tb..?]</w:t>
            </w:r>
          </w:p>
        </w:tc>
      </w:tr>
      <w:tr w:rsidR="003B3DCE" w:rsidRP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Week traffic [per week data/graph]</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Month traffic [if T allows]</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Year traffic [if T allows]</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6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hideMark/>
          </w:tcPr>
          <w:p w:rsidR="003B3DCE" w:rsidRDefault="003B3DCE">
            <w:pPr>
              <w:rPr>
                <w:rFonts w:ascii="Arial" w:hAnsi="Arial" w:cs="Arial"/>
              </w:rPr>
            </w:pPr>
            <w:r>
              <w:rPr>
                <w:rFonts w:ascii="Arial" w:hAnsi="Arial" w:cs="Arial"/>
              </w:rPr>
              <w:t xml:space="preserve">Expected traffic threshold to evaluate availability </w:t>
            </w:r>
            <w:r>
              <w:rPr>
                <w:rFonts w:ascii="Arial" w:hAnsi="Arial" w:cs="Arial"/>
              </w:rPr>
              <w:br/>
              <w:t>[to be specified]</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00"/>
        </w:trPr>
        <w:tc>
          <w:tcPr>
            <w:tcW w:w="3936"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Energy efficiency [to be computed as a ratio of energy consumption and traffic]</w:t>
            </w: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00"/>
        </w:trPr>
        <w:tc>
          <w:tcPr>
            <w:tcW w:w="3936" w:type="dxa"/>
            <w:vMerge w:val="restart"/>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c>
          <w:tcPr>
            <w:tcW w:w="5919" w:type="dxa"/>
            <w:gridSpan w:val="2"/>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Measured Energy Efficiency [bit/</w:t>
            </w:r>
            <w:proofErr w:type="spellStart"/>
            <w:r>
              <w:rPr>
                <w:rFonts w:ascii="Arial" w:hAnsi="Arial" w:cs="Arial"/>
              </w:rPr>
              <w:t>Wh</w:t>
            </w:r>
            <w:proofErr w:type="spellEnd"/>
            <w:r>
              <w:rPr>
                <w:rFonts w:ascii="Arial" w:hAnsi="Arial" w:cs="Arial"/>
              </w:rPr>
              <w:t>?]</w:t>
            </w:r>
          </w:p>
        </w:tc>
      </w:tr>
      <w:tr w:rsidR="003B3DCE" w:rsidRP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Week Energy Efficiency [per week data/graph]</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00"/>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Month Energy Efficiency [if T allows]</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r w:rsidR="003B3DCE" w:rsidRPr="003B3DCE" w:rsidTr="000C6D51">
        <w:trPr>
          <w:trHeight w:val="315"/>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3B3DCE" w:rsidRDefault="003B3DCE">
            <w:pPr>
              <w:overflowPunct/>
              <w:autoSpaceDE/>
              <w:autoSpaceDN/>
              <w:adjustRightInd/>
              <w:rPr>
                <w:rFonts w:ascii="Arial" w:hAnsi="Arial" w:cs="Arial"/>
              </w:rPr>
            </w:pPr>
          </w:p>
        </w:tc>
        <w:tc>
          <w:tcPr>
            <w:tcW w:w="3827"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i/>
                <w:iCs/>
              </w:rPr>
            </w:pPr>
            <w:r>
              <w:rPr>
                <w:rFonts w:ascii="Arial" w:hAnsi="Arial" w:cs="Arial"/>
                <w:i/>
                <w:iCs/>
              </w:rPr>
              <w:t>Year Energy Efficiency [if T allows]</w:t>
            </w:r>
          </w:p>
        </w:tc>
        <w:tc>
          <w:tcPr>
            <w:tcW w:w="2092" w:type="dxa"/>
            <w:tcBorders>
              <w:top w:val="single" w:sz="4" w:space="0" w:color="auto"/>
              <w:left w:val="single" w:sz="4" w:space="0" w:color="auto"/>
              <w:bottom w:val="single" w:sz="4" w:space="0" w:color="auto"/>
              <w:right w:val="single" w:sz="4" w:space="0" w:color="auto"/>
            </w:tcBorders>
            <w:noWrap/>
            <w:hideMark/>
          </w:tcPr>
          <w:p w:rsidR="003B3DCE" w:rsidRDefault="003B3DCE">
            <w:pPr>
              <w:rPr>
                <w:rFonts w:ascii="Arial" w:hAnsi="Arial" w:cs="Arial"/>
              </w:rPr>
            </w:pPr>
            <w:r>
              <w:rPr>
                <w:rFonts w:ascii="Arial" w:hAnsi="Arial" w:cs="Arial"/>
              </w:rPr>
              <w:t> </w:t>
            </w:r>
          </w:p>
        </w:tc>
      </w:tr>
    </w:tbl>
    <w:p w:rsidR="003B3DCE" w:rsidRPr="003B3DCE" w:rsidRDefault="003B3DCE" w:rsidP="00FD2E5D">
      <w:pPr>
        <w:rPr>
          <w:lang w:val="en-US"/>
        </w:rPr>
      </w:pPr>
    </w:p>
    <w:p w:rsidR="00B1298E" w:rsidRDefault="00FD2E5D" w:rsidP="00FD2E5D">
      <w:r>
        <w:t>Further guidelines on the test report can be found in clause 5.10 of ISO/IEC 17025 [5].</w:t>
      </w:r>
    </w:p>
    <w:p w:rsidR="002560F8" w:rsidRDefault="002560F8"/>
    <w:p w:rsidR="002560F8" w:rsidRDefault="009B2AFA">
      <w:r>
        <w:lastRenderedPageBreak/>
        <w:br w:type="page"/>
      </w:r>
    </w:p>
    <w:p w:rsidR="00CB12E9" w:rsidRPr="00CB12E9" w:rsidRDefault="00CB12E9" w:rsidP="00CB12E9"/>
    <w:p w:rsidR="00CE77F3" w:rsidRDefault="00CE77F3" w:rsidP="001676CF"/>
    <w:p w:rsidR="00CB3396" w:rsidRDefault="00CB3396">
      <w:pPr>
        <w:pStyle w:val="Heading1"/>
      </w:pPr>
      <w:bookmarkStart w:id="122" w:name="_Toc300915123"/>
      <w:bookmarkStart w:id="123" w:name="_Toc338076604"/>
      <w:bookmarkStart w:id="124" w:name="_Toc338076689"/>
      <w:bookmarkStart w:id="125" w:name="_Toc338144159"/>
      <w:bookmarkStart w:id="126" w:name="_Toc338144218"/>
      <w:bookmarkStart w:id="127" w:name="_Toc338144415"/>
      <w:bookmarkStart w:id="128" w:name="_Toc375054184"/>
      <w:r>
        <w:t>History</w:t>
      </w:r>
      <w:bookmarkEnd w:id="122"/>
      <w:bookmarkEnd w:id="123"/>
      <w:bookmarkEnd w:id="124"/>
      <w:bookmarkEnd w:id="125"/>
      <w:bookmarkEnd w:id="126"/>
      <w:bookmarkEnd w:id="127"/>
      <w:bookmarkEnd w:id="128"/>
    </w:p>
    <w:p w:rsidR="00CB3396" w:rsidRPr="001069FB" w:rsidRDefault="00CB3396">
      <w:pPr>
        <w:rPr>
          <w:rStyle w:val="Guidance"/>
          <w:rFonts w:ascii="Arial" w:hAnsi="Arial" w:cs="Arial"/>
          <w:sz w:val="18"/>
          <w:szCs w:val="18"/>
        </w:rPr>
      </w:pP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CB339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CB3396" w:rsidRDefault="00CB3396">
            <w:pPr>
              <w:spacing w:before="60" w:after="60"/>
              <w:jc w:val="center"/>
              <w:rPr>
                <w:b/>
                <w:sz w:val="24"/>
              </w:rPr>
            </w:pPr>
            <w:r>
              <w:rPr>
                <w:b/>
                <w:sz w:val="24"/>
              </w:rPr>
              <w:t>Document history</w:t>
            </w:r>
          </w:p>
        </w:tc>
      </w:tr>
      <w:tr w:rsidR="00CB3396">
        <w:trPr>
          <w:cantSplit/>
          <w:jc w:val="center"/>
        </w:trPr>
        <w:tc>
          <w:tcPr>
            <w:tcW w:w="1247" w:type="dxa"/>
            <w:tcBorders>
              <w:top w:val="single" w:sz="6" w:space="0" w:color="auto"/>
              <w:left w:val="single" w:sz="6" w:space="0" w:color="auto"/>
              <w:bottom w:val="single" w:sz="6" w:space="0" w:color="auto"/>
              <w:right w:val="single" w:sz="6" w:space="0" w:color="auto"/>
            </w:tcBorders>
          </w:tcPr>
          <w:p w:rsidR="00CB3396" w:rsidRDefault="00CB3396">
            <w:pPr>
              <w:pStyle w:val="FP"/>
              <w:spacing w:before="80" w:after="80"/>
              <w:ind w:left="57"/>
            </w:pPr>
            <w:r>
              <w:t>&lt;Version&gt;</w:t>
            </w:r>
          </w:p>
        </w:tc>
        <w:tc>
          <w:tcPr>
            <w:tcW w:w="1588" w:type="dxa"/>
            <w:tcBorders>
              <w:top w:val="single" w:sz="6" w:space="0" w:color="auto"/>
              <w:left w:val="single" w:sz="6" w:space="0" w:color="auto"/>
              <w:bottom w:val="single" w:sz="6" w:space="0" w:color="auto"/>
              <w:right w:val="single" w:sz="6" w:space="0" w:color="auto"/>
            </w:tcBorders>
          </w:tcPr>
          <w:p w:rsidR="00CB3396" w:rsidRDefault="00CB3396">
            <w:pPr>
              <w:pStyle w:val="FP"/>
              <w:spacing w:before="80" w:after="80"/>
              <w:ind w:left="57"/>
            </w:pPr>
            <w:r>
              <w:t>&lt;Date&gt;</w:t>
            </w:r>
          </w:p>
        </w:tc>
        <w:tc>
          <w:tcPr>
            <w:tcW w:w="6804" w:type="dxa"/>
            <w:tcBorders>
              <w:top w:val="single" w:sz="6" w:space="0" w:color="auto"/>
              <w:bottom w:val="single" w:sz="6" w:space="0" w:color="auto"/>
              <w:right w:val="single" w:sz="6" w:space="0" w:color="auto"/>
            </w:tcBorders>
          </w:tcPr>
          <w:p w:rsidR="00CB3396" w:rsidRDefault="00CB3396">
            <w:pPr>
              <w:pStyle w:val="FP"/>
              <w:tabs>
                <w:tab w:val="left" w:pos="3118"/>
              </w:tabs>
              <w:spacing w:before="80" w:after="80"/>
              <w:ind w:left="57"/>
            </w:pPr>
            <w:r>
              <w:t>&lt;Milestone&gt;</w:t>
            </w:r>
          </w:p>
        </w:tc>
      </w:tr>
      <w:tr w:rsidR="00984304" w:rsidTr="00FF2591">
        <w:tblPrEx>
          <w:tblLook w:val="04A0" w:firstRow="1" w:lastRow="0" w:firstColumn="1" w:lastColumn="0" w:noHBand="0" w:noVBand="1"/>
        </w:tblPrEx>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4304" w:rsidRDefault="00984304" w:rsidP="00FF25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984304" w:rsidRDefault="00351C0C" w:rsidP="00FF2591">
            <w:pPr>
              <w:pStyle w:val="FP"/>
              <w:keepNext/>
              <w:spacing w:before="80" w:after="80"/>
            </w:pPr>
            <w:r>
              <w:t xml:space="preserve"> </w:t>
            </w:r>
            <w:r w:rsidR="00984304">
              <w:t>January 2013</w:t>
            </w:r>
          </w:p>
        </w:tc>
        <w:tc>
          <w:tcPr>
            <w:tcW w:w="6804" w:type="dxa"/>
            <w:tcBorders>
              <w:top w:val="single" w:sz="6" w:space="0" w:color="auto"/>
              <w:left w:val="nil"/>
              <w:bottom w:val="single" w:sz="6" w:space="0" w:color="auto"/>
              <w:right w:val="single" w:sz="6" w:space="0" w:color="auto"/>
            </w:tcBorders>
            <w:hideMark/>
          </w:tcPr>
          <w:p w:rsidR="00984304" w:rsidRDefault="00984304" w:rsidP="00FF2591">
            <w:pPr>
              <w:pStyle w:val="FP"/>
              <w:keepNext/>
              <w:tabs>
                <w:tab w:val="left" w:pos="3118"/>
              </w:tabs>
              <w:spacing w:before="80" w:after="80"/>
              <w:ind w:left="57"/>
            </w:pPr>
            <w:r>
              <w:t>First draft with table of contents and scope</w:t>
            </w:r>
          </w:p>
        </w:tc>
      </w:tr>
      <w:tr w:rsidR="00CB3396">
        <w:trPr>
          <w:cantSplit/>
          <w:jc w:val="center"/>
        </w:trPr>
        <w:tc>
          <w:tcPr>
            <w:tcW w:w="1247" w:type="dxa"/>
            <w:tcBorders>
              <w:top w:val="single" w:sz="6" w:space="0" w:color="auto"/>
              <w:left w:val="single" w:sz="6" w:space="0" w:color="auto"/>
              <w:bottom w:val="single" w:sz="6" w:space="0" w:color="auto"/>
              <w:right w:val="single" w:sz="6" w:space="0" w:color="auto"/>
            </w:tcBorders>
          </w:tcPr>
          <w:p w:rsidR="00CB3396" w:rsidRDefault="0089184E">
            <w:pPr>
              <w:pStyle w:val="FP"/>
              <w:spacing w:before="80" w:after="80"/>
              <w:ind w:left="57"/>
            </w:pPr>
            <w:r>
              <w:t>V0.0</w:t>
            </w:r>
            <w:r w:rsidR="00351C0C">
              <w:t>.1</w:t>
            </w:r>
          </w:p>
        </w:tc>
        <w:tc>
          <w:tcPr>
            <w:tcW w:w="1588" w:type="dxa"/>
            <w:tcBorders>
              <w:top w:val="single" w:sz="6" w:space="0" w:color="auto"/>
              <w:left w:val="single" w:sz="6" w:space="0" w:color="auto"/>
              <w:bottom w:val="single" w:sz="6" w:space="0" w:color="auto"/>
              <w:right w:val="single" w:sz="6" w:space="0" w:color="auto"/>
            </w:tcBorders>
          </w:tcPr>
          <w:p w:rsidR="00CB3396" w:rsidRDefault="00351C0C">
            <w:pPr>
              <w:pStyle w:val="FP"/>
              <w:spacing w:before="80" w:after="80"/>
              <w:ind w:left="57"/>
            </w:pPr>
            <w:r>
              <w:t>June 2013</w:t>
            </w:r>
          </w:p>
        </w:tc>
        <w:tc>
          <w:tcPr>
            <w:tcW w:w="6804" w:type="dxa"/>
            <w:tcBorders>
              <w:top w:val="single" w:sz="6" w:space="0" w:color="auto"/>
              <w:bottom w:val="single" w:sz="6" w:space="0" w:color="auto"/>
              <w:right w:val="single" w:sz="6" w:space="0" w:color="auto"/>
            </w:tcBorders>
          </w:tcPr>
          <w:p w:rsidR="00CB3396" w:rsidRDefault="00351C0C">
            <w:pPr>
              <w:pStyle w:val="FP"/>
              <w:tabs>
                <w:tab w:val="left" w:pos="3118"/>
              </w:tabs>
              <w:spacing w:before="80" w:after="80"/>
              <w:ind w:left="57"/>
            </w:pPr>
            <w:r>
              <w:t>First draft released</w:t>
            </w:r>
          </w:p>
        </w:tc>
      </w:tr>
      <w:tr w:rsidR="00CB3396">
        <w:trPr>
          <w:cantSplit/>
          <w:jc w:val="center"/>
        </w:trPr>
        <w:tc>
          <w:tcPr>
            <w:tcW w:w="1247" w:type="dxa"/>
            <w:tcBorders>
              <w:top w:val="single" w:sz="6" w:space="0" w:color="auto"/>
              <w:left w:val="single" w:sz="6" w:space="0" w:color="auto"/>
              <w:bottom w:val="single" w:sz="6" w:space="0" w:color="auto"/>
              <w:right w:val="single" w:sz="6" w:space="0" w:color="auto"/>
            </w:tcBorders>
          </w:tcPr>
          <w:p w:rsidR="00CB3396" w:rsidRPr="003A75C3" w:rsidRDefault="00C07921">
            <w:pPr>
              <w:pStyle w:val="FP"/>
              <w:spacing w:before="80" w:after="80"/>
              <w:ind w:left="57"/>
            </w:pPr>
            <w:r>
              <w:t>V0.0.2</w:t>
            </w:r>
            <w:r w:rsidR="001547C3" w:rsidRPr="003A75C3">
              <w:t xml:space="preserve"> </w:t>
            </w:r>
          </w:p>
        </w:tc>
        <w:tc>
          <w:tcPr>
            <w:tcW w:w="1588" w:type="dxa"/>
            <w:tcBorders>
              <w:top w:val="single" w:sz="6" w:space="0" w:color="auto"/>
              <w:left w:val="single" w:sz="6" w:space="0" w:color="auto"/>
              <w:bottom w:val="single" w:sz="6" w:space="0" w:color="auto"/>
              <w:right w:val="single" w:sz="6" w:space="0" w:color="auto"/>
            </w:tcBorders>
          </w:tcPr>
          <w:p w:rsidR="00CB3396" w:rsidRPr="003A75C3" w:rsidRDefault="003A75C3">
            <w:pPr>
              <w:pStyle w:val="FP"/>
              <w:spacing w:before="80" w:after="80"/>
              <w:ind w:left="57"/>
            </w:pPr>
            <w:r w:rsidRPr="003A75C3">
              <w:t>November 2013</w:t>
            </w:r>
          </w:p>
        </w:tc>
        <w:tc>
          <w:tcPr>
            <w:tcW w:w="6804" w:type="dxa"/>
            <w:tcBorders>
              <w:top w:val="single" w:sz="6" w:space="0" w:color="auto"/>
              <w:bottom w:val="single" w:sz="6" w:space="0" w:color="auto"/>
              <w:right w:val="single" w:sz="6" w:space="0" w:color="auto"/>
            </w:tcBorders>
          </w:tcPr>
          <w:p w:rsidR="00CB3396" w:rsidRDefault="003A75C3">
            <w:pPr>
              <w:pStyle w:val="FP"/>
              <w:tabs>
                <w:tab w:val="left" w:pos="3261"/>
                <w:tab w:val="left" w:pos="4395"/>
              </w:tabs>
              <w:spacing w:before="80" w:after="80"/>
              <w:ind w:left="57"/>
            </w:pPr>
            <w:r>
              <w:t>Second draft released (reporting tables, enhanced Clause 4)</w:t>
            </w:r>
          </w:p>
        </w:tc>
      </w:tr>
      <w:tr w:rsidR="00CB3396">
        <w:trPr>
          <w:cantSplit/>
          <w:jc w:val="center"/>
        </w:trPr>
        <w:tc>
          <w:tcPr>
            <w:tcW w:w="1247" w:type="dxa"/>
            <w:tcBorders>
              <w:top w:val="single" w:sz="6" w:space="0" w:color="auto"/>
              <w:left w:val="single" w:sz="6" w:space="0" w:color="auto"/>
              <w:bottom w:val="single" w:sz="6" w:space="0" w:color="auto"/>
              <w:right w:val="single" w:sz="6" w:space="0" w:color="auto"/>
            </w:tcBorders>
          </w:tcPr>
          <w:p w:rsidR="00CB3396" w:rsidRDefault="00C07921">
            <w:pPr>
              <w:pStyle w:val="FP"/>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rsidR="00CB3396" w:rsidRDefault="00C07921">
            <w:pPr>
              <w:pStyle w:val="FP"/>
              <w:spacing w:before="80" w:after="80"/>
              <w:ind w:left="57"/>
            </w:pPr>
            <w:r>
              <w:t>December 2013</w:t>
            </w:r>
          </w:p>
        </w:tc>
        <w:tc>
          <w:tcPr>
            <w:tcW w:w="6804" w:type="dxa"/>
            <w:tcBorders>
              <w:top w:val="single" w:sz="6" w:space="0" w:color="auto"/>
              <w:bottom w:val="single" w:sz="6" w:space="0" w:color="auto"/>
              <w:right w:val="single" w:sz="6" w:space="0" w:color="auto"/>
            </w:tcBorders>
          </w:tcPr>
          <w:p w:rsidR="00CB3396" w:rsidRDefault="00C07921">
            <w:pPr>
              <w:pStyle w:val="FP"/>
              <w:tabs>
                <w:tab w:val="left" w:pos="3261"/>
                <w:tab w:val="left" w:pos="4395"/>
              </w:tabs>
              <w:spacing w:before="80" w:after="80"/>
              <w:ind w:left="57"/>
            </w:pPr>
            <w:r>
              <w:t>Third draft version (minor improvements)</w:t>
            </w:r>
          </w:p>
        </w:tc>
      </w:tr>
      <w:tr w:rsidR="00CB3396">
        <w:trPr>
          <w:cantSplit/>
          <w:jc w:val="center"/>
        </w:trPr>
        <w:tc>
          <w:tcPr>
            <w:tcW w:w="1247" w:type="dxa"/>
            <w:tcBorders>
              <w:top w:val="single" w:sz="6" w:space="0" w:color="auto"/>
              <w:left w:val="single" w:sz="6" w:space="0" w:color="auto"/>
              <w:bottom w:val="single" w:sz="6" w:space="0" w:color="auto"/>
              <w:right w:val="single" w:sz="6" w:space="0" w:color="auto"/>
            </w:tcBorders>
          </w:tcPr>
          <w:p w:rsidR="00CB3396" w:rsidRDefault="00CB33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CB3396" w:rsidRDefault="00CB3396">
            <w:pPr>
              <w:pStyle w:val="FP"/>
              <w:spacing w:before="80" w:after="80"/>
              <w:ind w:left="57"/>
            </w:pPr>
          </w:p>
        </w:tc>
        <w:tc>
          <w:tcPr>
            <w:tcW w:w="6804" w:type="dxa"/>
            <w:tcBorders>
              <w:top w:val="single" w:sz="6" w:space="0" w:color="auto"/>
              <w:bottom w:val="single" w:sz="6" w:space="0" w:color="auto"/>
              <w:right w:val="single" w:sz="6" w:space="0" w:color="auto"/>
            </w:tcBorders>
          </w:tcPr>
          <w:p w:rsidR="00CB3396" w:rsidRDefault="00CB3396">
            <w:pPr>
              <w:pStyle w:val="FP"/>
              <w:tabs>
                <w:tab w:val="left" w:pos="3261"/>
                <w:tab w:val="left" w:pos="4395"/>
              </w:tabs>
              <w:spacing w:before="80" w:after="80"/>
              <w:ind w:left="57"/>
            </w:pPr>
          </w:p>
        </w:tc>
      </w:tr>
    </w:tbl>
    <w:p w:rsidR="00CB3396" w:rsidRDefault="00CB3396"/>
    <w:p w:rsidR="00CB3396" w:rsidRDefault="00CB3396" w:rsidP="00CB3396">
      <w:bookmarkStart w:id="129" w:name="_GoBack"/>
      <w:bookmarkEnd w:id="129"/>
    </w:p>
    <w:sectPr w:rsidR="00CB3396">
      <w:headerReference w:type="default" r:id="rId17"/>
      <w:footerReference w:type="default" r:id="rId18"/>
      <w:footnotePr>
        <w:numRestart w:val="eachSect"/>
      </w:foot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74E" w:rsidRDefault="00F7774E">
      <w:r>
        <w:separator/>
      </w:r>
    </w:p>
  </w:endnote>
  <w:endnote w:type="continuationSeparator" w:id="0">
    <w:p w:rsidR="00F7774E" w:rsidRDefault="00F7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C2D" w:rsidRDefault="00873C2D">
    <w:pPr>
      <w:pStyle w:val="Footer"/>
    </w:pPr>
  </w:p>
  <w:p w:rsidR="00873C2D" w:rsidRDefault="00873C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C2D" w:rsidRDefault="00873C2D">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74E" w:rsidRDefault="00F7774E">
      <w:r>
        <w:separator/>
      </w:r>
    </w:p>
  </w:footnote>
  <w:footnote w:type="continuationSeparator" w:id="0">
    <w:p w:rsidR="00F7774E" w:rsidRDefault="00F77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C2D" w:rsidRDefault="00873C2D">
    <w:pPr>
      <w:pStyle w:val="Header"/>
    </w:pPr>
    <w:r>
      <w:rPr>
        <w:lang w:val="it-IT" w:eastAsia="it-IT"/>
      </w:rPr>
      <w:drawing>
        <wp:anchor distT="0" distB="0" distL="114300" distR="114300" simplePos="0" relativeHeight="251657728" behindDoc="1" locked="0" layoutInCell="1" allowOverlap="1" wp14:anchorId="278390CF" wp14:editId="7D5713C3">
          <wp:simplePos x="0" y="0"/>
          <wp:positionH relativeFrom="column">
            <wp:posOffset>-100965</wp:posOffset>
          </wp:positionH>
          <wp:positionV relativeFrom="paragraph">
            <wp:posOffset>998220</wp:posOffset>
          </wp:positionV>
          <wp:extent cx="6607810" cy="2876550"/>
          <wp:effectExtent l="19050" t="0" r="2540" b="0"/>
          <wp:wrapNone/>
          <wp:docPr id="1" name="Picture 1"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C2D" w:rsidRPr="00E35276" w:rsidRDefault="00873C2D">
    <w:pPr>
      <w:pStyle w:val="Header"/>
      <w:framePr w:wrap="auto" w:vAnchor="text" w:hAnchor="margin" w:xAlign="right" w:y="1"/>
      <w:rPr>
        <w:lang w:val="en-US"/>
      </w:rPr>
    </w:pPr>
    <w:r>
      <w:fldChar w:fldCharType="begin"/>
    </w:r>
    <w:r w:rsidRPr="00E35276">
      <w:rPr>
        <w:lang w:val="en-US"/>
      </w:rPr>
      <w:instrText xml:space="preserve">styleref ZA </w:instrText>
    </w:r>
    <w:r>
      <w:fldChar w:fldCharType="separate"/>
    </w:r>
    <w:r w:rsidR="00B744FC">
      <w:rPr>
        <w:lang w:val="en-US"/>
      </w:rPr>
      <w:t>ES 203 228 V&lt;0.0.3&gt; (&lt;2013-12&gt;)</w:t>
    </w:r>
    <w:r>
      <w:fldChar w:fldCharType="end"/>
    </w:r>
  </w:p>
  <w:p w:rsidR="00873C2D" w:rsidRDefault="00873C2D">
    <w:pPr>
      <w:pStyle w:val="Header"/>
      <w:framePr w:wrap="auto" w:vAnchor="text" w:hAnchor="margin" w:xAlign="center" w:y="1"/>
    </w:pPr>
    <w:r>
      <w:fldChar w:fldCharType="begin"/>
    </w:r>
    <w:r>
      <w:instrText xml:space="preserve">page </w:instrText>
    </w:r>
    <w:r>
      <w:fldChar w:fldCharType="separate"/>
    </w:r>
    <w:r w:rsidR="00B744FC">
      <w:t>22</w:t>
    </w:r>
    <w:r>
      <w:fldChar w:fldCharType="end"/>
    </w:r>
  </w:p>
  <w:p w:rsidR="00873C2D" w:rsidRDefault="00873C2D">
    <w:pPr>
      <w:pStyle w:val="Header"/>
      <w:framePr w:wrap="auto" w:vAnchor="text" w:hAnchor="margin" w:y="1"/>
    </w:pPr>
    <w:r>
      <w:fldChar w:fldCharType="begin"/>
    </w:r>
    <w:r>
      <w:instrText xml:space="preserve">styleref ZGSM </w:instrText>
    </w:r>
    <w:r>
      <w:fldChar w:fldCharType="separate"/>
    </w:r>
    <w:r w:rsidR="00B744FC">
      <w:t>[Part element for endorsement]</w:t>
    </w:r>
    <w:r>
      <w:fldChar w:fldCharType="end"/>
    </w:r>
  </w:p>
  <w:p w:rsidR="00873C2D" w:rsidRDefault="0087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70A7D10"/>
    <w:multiLevelType w:val="hybridMultilevel"/>
    <w:tmpl w:val="3EF806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F233F4B"/>
    <w:multiLevelType w:val="hybridMultilevel"/>
    <w:tmpl w:val="DF6A9C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29708D5"/>
    <w:multiLevelType w:val="hybridMultilevel"/>
    <w:tmpl w:val="C03661B2"/>
    <w:lvl w:ilvl="0" w:tplc="B2D66310">
      <w:start w:val="4"/>
      <w:numFmt w:val="bullet"/>
      <w:lvlText w:val="-"/>
      <w:lvlJc w:val="left"/>
      <w:pPr>
        <w:ind w:left="928" w:hanging="360"/>
      </w:pPr>
      <w:rPr>
        <w:rFonts w:ascii="Times New Roman" w:eastAsia="Times New Roma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3">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C565CF9"/>
    <w:multiLevelType w:val="hybridMultilevel"/>
    <w:tmpl w:val="FE5CD4D8"/>
    <w:lvl w:ilvl="0" w:tplc="040C0001">
      <w:start w:val="1"/>
      <w:numFmt w:val="bullet"/>
      <w:lvlText w:val=""/>
      <w:lvlJc w:val="left"/>
      <w:pPr>
        <w:ind w:left="758" w:hanging="360"/>
      </w:pPr>
      <w:rPr>
        <w:rFonts w:ascii="Symbol" w:hAnsi="Symbol" w:hint="default"/>
      </w:rPr>
    </w:lvl>
    <w:lvl w:ilvl="1" w:tplc="040C0003">
      <w:start w:val="1"/>
      <w:numFmt w:val="bullet"/>
      <w:lvlText w:val="o"/>
      <w:lvlJc w:val="left"/>
      <w:pPr>
        <w:ind w:left="1478" w:hanging="360"/>
      </w:pPr>
      <w:rPr>
        <w:rFonts w:ascii="Courier New" w:hAnsi="Courier New" w:cs="Courier New" w:hint="default"/>
      </w:rPr>
    </w:lvl>
    <w:lvl w:ilvl="2" w:tplc="040C0005" w:tentative="1">
      <w:start w:val="1"/>
      <w:numFmt w:val="bullet"/>
      <w:lvlText w:val=""/>
      <w:lvlJc w:val="left"/>
      <w:pPr>
        <w:ind w:left="2198" w:hanging="360"/>
      </w:pPr>
      <w:rPr>
        <w:rFonts w:ascii="Wingdings" w:hAnsi="Wingdings" w:hint="default"/>
      </w:rPr>
    </w:lvl>
    <w:lvl w:ilvl="3" w:tplc="040C0001" w:tentative="1">
      <w:start w:val="1"/>
      <w:numFmt w:val="bullet"/>
      <w:lvlText w:val=""/>
      <w:lvlJc w:val="left"/>
      <w:pPr>
        <w:ind w:left="2918" w:hanging="360"/>
      </w:pPr>
      <w:rPr>
        <w:rFonts w:ascii="Symbol" w:hAnsi="Symbol" w:hint="default"/>
      </w:rPr>
    </w:lvl>
    <w:lvl w:ilvl="4" w:tplc="040C0003" w:tentative="1">
      <w:start w:val="1"/>
      <w:numFmt w:val="bullet"/>
      <w:lvlText w:val="o"/>
      <w:lvlJc w:val="left"/>
      <w:pPr>
        <w:ind w:left="3638" w:hanging="360"/>
      </w:pPr>
      <w:rPr>
        <w:rFonts w:ascii="Courier New" w:hAnsi="Courier New" w:cs="Courier New" w:hint="default"/>
      </w:rPr>
    </w:lvl>
    <w:lvl w:ilvl="5" w:tplc="040C0005" w:tentative="1">
      <w:start w:val="1"/>
      <w:numFmt w:val="bullet"/>
      <w:lvlText w:val=""/>
      <w:lvlJc w:val="left"/>
      <w:pPr>
        <w:ind w:left="4358" w:hanging="360"/>
      </w:pPr>
      <w:rPr>
        <w:rFonts w:ascii="Wingdings" w:hAnsi="Wingdings" w:hint="default"/>
      </w:rPr>
    </w:lvl>
    <w:lvl w:ilvl="6" w:tplc="040C0001" w:tentative="1">
      <w:start w:val="1"/>
      <w:numFmt w:val="bullet"/>
      <w:lvlText w:val=""/>
      <w:lvlJc w:val="left"/>
      <w:pPr>
        <w:ind w:left="5078" w:hanging="360"/>
      </w:pPr>
      <w:rPr>
        <w:rFonts w:ascii="Symbol" w:hAnsi="Symbol" w:hint="default"/>
      </w:rPr>
    </w:lvl>
    <w:lvl w:ilvl="7" w:tplc="040C0003" w:tentative="1">
      <w:start w:val="1"/>
      <w:numFmt w:val="bullet"/>
      <w:lvlText w:val="o"/>
      <w:lvlJc w:val="left"/>
      <w:pPr>
        <w:ind w:left="5798" w:hanging="360"/>
      </w:pPr>
      <w:rPr>
        <w:rFonts w:ascii="Courier New" w:hAnsi="Courier New" w:cs="Courier New" w:hint="default"/>
      </w:rPr>
    </w:lvl>
    <w:lvl w:ilvl="8" w:tplc="040C0005" w:tentative="1">
      <w:start w:val="1"/>
      <w:numFmt w:val="bullet"/>
      <w:lvlText w:val=""/>
      <w:lvlJc w:val="left"/>
      <w:pPr>
        <w:ind w:left="6518" w:hanging="360"/>
      </w:pPr>
      <w:rPr>
        <w:rFonts w:ascii="Wingdings" w:hAnsi="Wingdings" w:hint="default"/>
      </w:r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6E808BB"/>
    <w:multiLevelType w:val="hybridMultilevel"/>
    <w:tmpl w:val="777C71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859063F"/>
    <w:multiLevelType w:val="hybridMultilevel"/>
    <w:tmpl w:val="82BC0152"/>
    <w:lvl w:ilvl="0" w:tplc="0CF44FEE">
      <w:start w:val="1"/>
      <w:numFmt w:val="decimal"/>
      <w:lvlText w:val="%1."/>
      <w:lvlJc w:val="left"/>
      <w:pPr>
        <w:ind w:left="720" w:hanging="360"/>
      </w:pPr>
      <w:rPr>
        <w:rFonts w:ascii="Arial" w:eastAsia="Times New Roman" w:hAnsi="Arial" w:cs="Arial"/>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AEC518F"/>
    <w:multiLevelType w:val="hybridMultilevel"/>
    <w:tmpl w:val="4540041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5C01DEB"/>
    <w:multiLevelType w:val="hybridMultilevel"/>
    <w:tmpl w:val="440275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2"/>
  </w:num>
  <w:num w:numId="4">
    <w:abstractNumId w:val="14"/>
  </w:num>
  <w:num w:numId="5">
    <w:abstractNumId w:val="24"/>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7"/>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8"/>
  </w:num>
  <w:num w:numId="23">
    <w:abstractNumId w:val="30"/>
  </w:num>
  <w:num w:numId="24">
    <w:abstractNumId w:val="35"/>
  </w:num>
  <w:num w:numId="25">
    <w:abstractNumId w:val="18"/>
  </w:num>
  <w:num w:numId="26">
    <w:abstractNumId w:val="13"/>
  </w:num>
  <w:num w:numId="27">
    <w:abstractNumId w:val="16"/>
  </w:num>
  <w:num w:numId="28">
    <w:abstractNumId w:val="31"/>
  </w:num>
  <w:num w:numId="29">
    <w:abstractNumId w:val="40"/>
  </w:num>
  <w:num w:numId="30">
    <w:abstractNumId w:val="25"/>
  </w:num>
  <w:num w:numId="31">
    <w:abstractNumId w:val="12"/>
  </w:num>
  <w:num w:numId="32">
    <w:abstractNumId w:val="28"/>
  </w:num>
  <w:num w:numId="33">
    <w:abstractNumId w:val="17"/>
  </w:num>
  <w:num w:numId="34">
    <w:abstractNumId w:val="23"/>
  </w:num>
  <w:num w:numId="35">
    <w:abstractNumId w:val="39"/>
  </w:num>
  <w:num w:numId="36">
    <w:abstractNumId w:val="11"/>
  </w:num>
  <w:num w:numId="37">
    <w:abstractNumId w:val="29"/>
  </w:num>
  <w:num w:numId="38">
    <w:abstractNumId w:val="41"/>
  </w:num>
  <w:num w:numId="39">
    <w:abstractNumId w:val="19"/>
  </w:num>
  <w:num w:numId="40">
    <w:abstractNumId w:val="22"/>
  </w:num>
  <w:num w:numId="41">
    <w:abstractNumId w:val="33"/>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6"/>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396"/>
    <w:rsid w:val="00004713"/>
    <w:rsid w:val="000049E4"/>
    <w:rsid w:val="000412EF"/>
    <w:rsid w:val="00042DB7"/>
    <w:rsid w:val="00063AB8"/>
    <w:rsid w:val="00071C88"/>
    <w:rsid w:val="000776EB"/>
    <w:rsid w:val="00091D39"/>
    <w:rsid w:val="00092791"/>
    <w:rsid w:val="000B2289"/>
    <w:rsid w:val="000C1682"/>
    <w:rsid w:val="000C6D51"/>
    <w:rsid w:val="000E2A8F"/>
    <w:rsid w:val="000E672C"/>
    <w:rsid w:val="000F098C"/>
    <w:rsid w:val="001003A5"/>
    <w:rsid w:val="001069FB"/>
    <w:rsid w:val="00107606"/>
    <w:rsid w:val="00131E83"/>
    <w:rsid w:val="001338D8"/>
    <w:rsid w:val="00137DC7"/>
    <w:rsid w:val="001540FD"/>
    <w:rsid w:val="001547C3"/>
    <w:rsid w:val="00154977"/>
    <w:rsid w:val="0016356D"/>
    <w:rsid w:val="001676CF"/>
    <w:rsid w:val="001757C5"/>
    <w:rsid w:val="001767C3"/>
    <w:rsid w:val="0018461E"/>
    <w:rsid w:val="00196719"/>
    <w:rsid w:val="001B5F0D"/>
    <w:rsid w:val="001C1E0F"/>
    <w:rsid w:val="001C6327"/>
    <w:rsid w:val="001C7E68"/>
    <w:rsid w:val="001E55E0"/>
    <w:rsid w:val="001E6526"/>
    <w:rsid w:val="001F1A92"/>
    <w:rsid w:val="002028E4"/>
    <w:rsid w:val="00224F7E"/>
    <w:rsid w:val="00233DF8"/>
    <w:rsid w:val="002378B9"/>
    <w:rsid w:val="002560F8"/>
    <w:rsid w:val="0025732B"/>
    <w:rsid w:val="00261491"/>
    <w:rsid w:val="002633AD"/>
    <w:rsid w:val="00263DAE"/>
    <w:rsid w:val="00273FD4"/>
    <w:rsid w:val="00276E91"/>
    <w:rsid w:val="00286D9C"/>
    <w:rsid w:val="00290091"/>
    <w:rsid w:val="002A03BD"/>
    <w:rsid w:val="002A7C58"/>
    <w:rsid w:val="002C1155"/>
    <w:rsid w:val="002C3000"/>
    <w:rsid w:val="002C5A3B"/>
    <w:rsid w:val="002C5B8F"/>
    <w:rsid w:val="002D3C35"/>
    <w:rsid w:val="002D7F2E"/>
    <w:rsid w:val="002F0B8B"/>
    <w:rsid w:val="002F550A"/>
    <w:rsid w:val="002F76B9"/>
    <w:rsid w:val="003002E4"/>
    <w:rsid w:val="00301292"/>
    <w:rsid w:val="00316B1D"/>
    <w:rsid w:val="003211E1"/>
    <w:rsid w:val="003212D4"/>
    <w:rsid w:val="003379EE"/>
    <w:rsid w:val="003465AD"/>
    <w:rsid w:val="00351C0C"/>
    <w:rsid w:val="00354FB4"/>
    <w:rsid w:val="00356FF4"/>
    <w:rsid w:val="003661A2"/>
    <w:rsid w:val="0036701C"/>
    <w:rsid w:val="00367C20"/>
    <w:rsid w:val="00396EC4"/>
    <w:rsid w:val="00397F16"/>
    <w:rsid w:val="003A01AA"/>
    <w:rsid w:val="003A6C3C"/>
    <w:rsid w:val="003A75C3"/>
    <w:rsid w:val="003B3DCE"/>
    <w:rsid w:val="003C6503"/>
    <w:rsid w:val="003D0745"/>
    <w:rsid w:val="003D4523"/>
    <w:rsid w:val="003D5506"/>
    <w:rsid w:val="003D7F65"/>
    <w:rsid w:val="003E5D06"/>
    <w:rsid w:val="003F462F"/>
    <w:rsid w:val="004062F3"/>
    <w:rsid w:val="00415A5E"/>
    <w:rsid w:val="00417113"/>
    <w:rsid w:val="00417FD5"/>
    <w:rsid w:val="0042337A"/>
    <w:rsid w:val="00444C58"/>
    <w:rsid w:val="0046016A"/>
    <w:rsid w:val="00460C07"/>
    <w:rsid w:val="00460C20"/>
    <w:rsid w:val="0047243D"/>
    <w:rsid w:val="00487F0D"/>
    <w:rsid w:val="004A13D6"/>
    <w:rsid w:val="004B1902"/>
    <w:rsid w:val="004B2CC9"/>
    <w:rsid w:val="004B7B61"/>
    <w:rsid w:val="004C00B9"/>
    <w:rsid w:val="004E2460"/>
    <w:rsid w:val="00501080"/>
    <w:rsid w:val="00520AC4"/>
    <w:rsid w:val="005362A7"/>
    <w:rsid w:val="00545CD6"/>
    <w:rsid w:val="00553B87"/>
    <w:rsid w:val="005614AF"/>
    <w:rsid w:val="00570935"/>
    <w:rsid w:val="005D151A"/>
    <w:rsid w:val="005D495E"/>
    <w:rsid w:val="005E2058"/>
    <w:rsid w:val="005E4231"/>
    <w:rsid w:val="005E7130"/>
    <w:rsid w:val="006019E2"/>
    <w:rsid w:val="00602B22"/>
    <w:rsid w:val="006475D2"/>
    <w:rsid w:val="00647B2D"/>
    <w:rsid w:val="00654C53"/>
    <w:rsid w:val="00662673"/>
    <w:rsid w:val="006954A1"/>
    <w:rsid w:val="006A6CB4"/>
    <w:rsid w:val="006C3210"/>
    <w:rsid w:val="006D70C1"/>
    <w:rsid w:val="006E00E0"/>
    <w:rsid w:val="006E2BCC"/>
    <w:rsid w:val="006F0E38"/>
    <w:rsid w:val="00700EDD"/>
    <w:rsid w:val="00707100"/>
    <w:rsid w:val="007114B0"/>
    <w:rsid w:val="00713D96"/>
    <w:rsid w:val="007472A4"/>
    <w:rsid w:val="00756E13"/>
    <w:rsid w:val="00761692"/>
    <w:rsid w:val="00765E73"/>
    <w:rsid w:val="00772D4B"/>
    <w:rsid w:val="00781168"/>
    <w:rsid w:val="007D44B1"/>
    <w:rsid w:val="007D5B01"/>
    <w:rsid w:val="007E4FB6"/>
    <w:rsid w:val="007F0401"/>
    <w:rsid w:val="007F1873"/>
    <w:rsid w:val="007F42EF"/>
    <w:rsid w:val="00800D59"/>
    <w:rsid w:val="00802D83"/>
    <w:rsid w:val="00804873"/>
    <w:rsid w:val="0080583A"/>
    <w:rsid w:val="00805D68"/>
    <w:rsid w:val="0082596C"/>
    <w:rsid w:val="00825BEE"/>
    <w:rsid w:val="00842A2E"/>
    <w:rsid w:val="00844F70"/>
    <w:rsid w:val="008451B1"/>
    <w:rsid w:val="00847CD0"/>
    <w:rsid w:val="00850B32"/>
    <w:rsid w:val="00873C2D"/>
    <w:rsid w:val="0089184E"/>
    <w:rsid w:val="008942B6"/>
    <w:rsid w:val="008A7F93"/>
    <w:rsid w:val="008C2803"/>
    <w:rsid w:val="008E474F"/>
    <w:rsid w:val="008F43F1"/>
    <w:rsid w:val="008F442D"/>
    <w:rsid w:val="009068BC"/>
    <w:rsid w:val="00914E65"/>
    <w:rsid w:val="00930B7F"/>
    <w:rsid w:val="0095359D"/>
    <w:rsid w:val="0095621A"/>
    <w:rsid w:val="00961DB0"/>
    <w:rsid w:val="009772CC"/>
    <w:rsid w:val="00982B09"/>
    <w:rsid w:val="00984304"/>
    <w:rsid w:val="00992394"/>
    <w:rsid w:val="009B060F"/>
    <w:rsid w:val="009B2AFA"/>
    <w:rsid w:val="009B33D3"/>
    <w:rsid w:val="009C1E8A"/>
    <w:rsid w:val="009C3129"/>
    <w:rsid w:val="009F2644"/>
    <w:rsid w:val="00A05C51"/>
    <w:rsid w:val="00A07440"/>
    <w:rsid w:val="00A12A0D"/>
    <w:rsid w:val="00A17987"/>
    <w:rsid w:val="00A24027"/>
    <w:rsid w:val="00A241AB"/>
    <w:rsid w:val="00A279F6"/>
    <w:rsid w:val="00A35B0B"/>
    <w:rsid w:val="00A3718D"/>
    <w:rsid w:val="00A37A33"/>
    <w:rsid w:val="00A437BA"/>
    <w:rsid w:val="00A45EAC"/>
    <w:rsid w:val="00A50937"/>
    <w:rsid w:val="00A53129"/>
    <w:rsid w:val="00A53B86"/>
    <w:rsid w:val="00A80BBE"/>
    <w:rsid w:val="00A86D2F"/>
    <w:rsid w:val="00A87397"/>
    <w:rsid w:val="00A969FA"/>
    <w:rsid w:val="00AA65F0"/>
    <w:rsid w:val="00AB14A9"/>
    <w:rsid w:val="00AB53D8"/>
    <w:rsid w:val="00AD1C1A"/>
    <w:rsid w:val="00AE1E4F"/>
    <w:rsid w:val="00AE46E4"/>
    <w:rsid w:val="00AF013A"/>
    <w:rsid w:val="00AF75CD"/>
    <w:rsid w:val="00B0207D"/>
    <w:rsid w:val="00B1298E"/>
    <w:rsid w:val="00B14BE8"/>
    <w:rsid w:val="00B20F15"/>
    <w:rsid w:val="00B24EBF"/>
    <w:rsid w:val="00B31BB0"/>
    <w:rsid w:val="00B36876"/>
    <w:rsid w:val="00B42660"/>
    <w:rsid w:val="00B52A97"/>
    <w:rsid w:val="00B625C0"/>
    <w:rsid w:val="00B744FC"/>
    <w:rsid w:val="00B81F15"/>
    <w:rsid w:val="00B84FCB"/>
    <w:rsid w:val="00B930D7"/>
    <w:rsid w:val="00B941B3"/>
    <w:rsid w:val="00BA460F"/>
    <w:rsid w:val="00BA780C"/>
    <w:rsid w:val="00BB5701"/>
    <w:rsid w:val="00BC2C1F"/>
    <w:rsid w:val="00BC42C0"/>
    <w:rsid w:val="00BC45C1"/>
    <w:rsid w:val="00BC4600"/>
    <w:rsid w:val="00BD5B56"/>
    <w:rsid w:val="00BE0287"/>
    <w:rsid w:val="00C07921"/>
    <w:rsid w:val="00C12D4D"/>
    <w:rsid w:val="00C14A82"/>
    <w:rsid w:val="00C169EA"/>
    <w:rsid w:val="00C22292"/>
    <w:rsid w:val="00C33F9F"/>
    <w:rsid w:val="00C3410E"/>
    <w:rsid w:val="00C35FBF"/>
    <w:rsid w:val="00C46627"/>
    <w:rsid w:val="00C601D0"/>
    <w:rsid w:val="00C6148A"/>
    <w:rsid w:val="00C62275"/>
    <w:rsid w:val="00C6713F"/>
    <w:rsid w:val="00C674E3"/>
    <w:rsid w:val="00C70F83"/>
    <w:rsid w:val="00C80484"/>
    <w:rsid w:val="00C93330"/>
    <w:rsid w:val="00CA605C"/>
    <w:rsid w:val="00CA697F"/>
    <w:rsid w:val="00CB02CE"/>
    <w:rsid w:val="00CB12E9"/>
    <w:rsid w:val="00CB3396"/>
    <w:rsid w:val="00CB419B"/>
    <w:rsid w:val="00CD1DF6"/>
    <w:rsid w:val="00CD225F"/>
    <w:rsid w:val="00CD5134"/>
    <w:rsid w:val="00CD63DC"/>
    <w:rsid w:val="00CE4B84"/>
    <w:rsid w:val="00CE6FF8"/>
    <w:rsid w:val="00CE77F3"/>
    <w:rsid w:val="00D16746"/>
    <w:rsid w:val="00D17D44"/>
    <w:rsid w:val="00D267DF"/>
    <w:rsid w:val="00D35600"/>
    <w:rsid w:val="00D420A3"/>
    <w:rsid w:val="00D45F77"/>
    <w:rsid w:val="00D47235"/>
    <w:rsid w:val="00D56A49"/>
    <w:rsid w:val="00D57589"/>
    <w:rsid w:val="00D61F09"/>
    <w:rsid w:val="00D65AF2"/>
    <w:rsid w:val="00D71C25"/>
    <w:rsid w:val="00D7239B"/>
    <w:rsid w:val="00D73FE6"/>
    <w:rsid w:val="00D96E50"/>
    <w:rsid w:val="00D973AE"/>
    <w:rsid w:val="00D97F71"/>
    <w:rsid w:val="00DA630D"/>
    <w:rsid w:val="00DB19E0"/>
    <w:rsid w:val="00DC07D0"/>
    <w:rsid w:val="00DD132D"/>
    <w:rsid w:val="00DD578E"/>
    <w:rsid w:val="00DE0279"/>
    <w:rsid w:val="00DE4000"/>
    <w:rsid w:val="00DE4ED5"/>
    <w:rsid w:val="00DE6E69"/>
    <w:rsid w:val="00DF401C"/>
    <w:rsid w:val="00E00A95"/>
    <w:rsid w:val="00E01E83"/>
    <w:rsid w:val="00E04A24"/>
    <w:rsid w:val="00E06618"/>
    <w:rsid w:val="00E12776"/>
    <w:rsid w:val="00E21DE3"/>
    <w:rsid w:val="00E23BAB"/>
    <w:rsid w:val="00E23D6C"/>
    <w:rsid w:val="00E263FA"/>
    <w:rsid w:val="00E30988"/>
    <w:rsid w:val="00E35276"/>
    <w:rsid w:val="00E40715"/>
    <w:rsid w:val="00E54F73"/>
    <w:rsid w:val="00E63272"/>
    <w:rsid w:val="00E638EE"/>
    <w:rsid w:val="00E75382"/>
    <w:rsid w:val="00E85261"/>
    <w:rsid w:val="00EA1AC4"/>
    <w:rsid w:val="00EB062B"/>
    <w:rsid w:val="00EB4EC2"/>
    <w:rsid w:val="00EB6D08"/>
    <w:rsid w:val="00ED1715"/>
    <w:rsid w:val="00EF5A41"/>
    <w:rsid w:val="00F10B73"/>
    <w:rsid w:val="00F1124A"/>
    <w:rsid w:val="00F2117D"/>
    <w:rsid w:val="00F371EF"/>
    <w:rsid w:val="00F429E2"/>
    <w:rsid w:val="00F43A2A"/>
    <w:rsid w:val="00F46F1B"/>
    <w:rsid w:val="00F62C70"/>
    <w:rsid w:val="00F708D1"/>
    <w:rsid w:val="00F770F7"/>
    <w:rsid w:val="00F7774E"/>
    <w:rsid w:val="00F777EC"/>
    <w:rsid w:val="00F802CA"/>
    <w:rsid w:val="00F86BA0"/>
    <w:rsid w:val="00F92AE2"/>
    <w:rsid w:val="00F968D2"/>
    <w:rsid w:val="00F96D0B"/>
    <w:rsid w:val="00FB7174"/>
    <w:rsid w:val="00FC0D7E"/>
    <w:rsid w:val="00FC16F9"/>
    <w:rsid w:val="00FC2365"/>
    <w:rsid w:val="00FD2E5D"/>
    <w:rsid w:val="00FD4A17"/>
    <w:rsid w:val="00FE5F65"/>
    <w:rsid w:val="00FF1F96"/>
    <w:rsid w:val="00FF2591"/>
    <w:rsid w:val="00FF32E1"/>
    <w:rsid w:val="00FF6B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298E"/>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A279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279F6"/>
    <w:pPr>
      <w:pBdr>
        <w:top w:val="none" w:sz="0" w:space="0" w:color="auto"/>
      </w:pBdr>
      <w:spacing w:before="180"/>
      <w:outlineLvl w:val="1"/>
    </w:pPr>
    <w:rPr>
      <w:sz w:val="32"/>
    </w:rPr>
  </w:style>
  <w:style w:type="paragraph" w:styleId="Heading3">
    <w:name w:val="heading 3"/>
    <w:basedOn w:val="Heading2"/>
    <w:next w:val="Normal"/>
    <w:qFormat/>
    <w:rsid w:val="00A279F6"/>
    <w:pPr>
      <w:spacing w:before="120"/>
      <w:outlineLvl w:val="2"/>
    </w:pPr>
    <w:rPr>
      <w:sz w:val="28"/>
    </w:rPr>
  </w:style>
  <w:style w:type="paragraph" w:styleId="Heading4">
    <w:name w:val="heading 4"/>
    <w:basedOn w:val="Heading3"/>
    <w:next w:val="Normal"/>
    <w:qFormat/>
    <w:rsid w:val="00A279F6"/>
    <w:pPr>
      <w:ind w:left="1418" w:hanging="1418"/>
      <w:outlineLvl w:val="3"/>
    </w:pPr>
    <w:rPr>
      <w:sz w:val="24"/>
    </w:rPr>
  </w:style>
  <w:style w:type="paragraph" w:styleId="Heading5">
    <w:name w:val="heading 5"/>
    <w:basedOn w:val="Heading4"/>
    <w:next w:val="Normal"/>
    <w:qFormat/>
    <w:rsid w:val="00A279F6"/>
    <w:pPr>
      <w:ind w:left="1701" w:hanging="1701"/>
      <w:outlineLvl w:val="4"/>
    </w:pPr>
    <w:rPr>
      <w:sz w:val="22"/>
    </w:rPr>
  </w:style>
  <w:style w:type="paragraph" w:styleId="Heading6">
    <w:name w:val="heading 6"/>
    <w:basedOn w:val="H6"/>
    <w:next w:val="Normal"/>
    <w:qFormat/>
    <w:rsid w:val="00A279F6"/>
    <w:pPr>
      <w:outlineLvl w:val="5"/>
    </w:pPr>
  </w:style>
  <w:style w:type="paragraph" w:styleId="Heading7">
    <w:name w:val="heading 7"/>
    <w:basedOn w:val="H6"/>
    <w:next w:val="Normal"/>
    <w:qFormat/>
    <w:rsid w:val="00A279F6"/>
    <w:pPr>
      <w:outlineLvl w:val="6"/>
    </w:pPr>
  </w:style>
  <w:style w:type="paragraph" w:styleId="Heading8">
    <w:name w:val="heading 8"/>
    <w:basedOn w:val="Heading1"/>
    <w:next w:val="Normal"/>
    <w:qFormat/>
    <w:rsid w:val="00A279F6"/>
    <w:pPr>
      <w:ind w:left="0" w:firstLine="0"/>
      <w:outlineLvl w:val="7"/>
    </w:pPr>
  </w:style>
  <w:style w:type="paragraph" w:styleId="Heading9">
    <w:name w:val="heading 9"/>
    <w:basedOn w:val="Heading8"/>
    <w:next w:val="Normal"/>
    <w:qFormat/>
    <w:rsid w:val="00A279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279F6"/>
    <w:pPr>
      <w:ind w:left="1985" w:hanging="1985"/>
      <w:outlineLvl w:val="9"/>
    </w:pPr>
    <w:rPr>
      <w:sz w:val="20"/>
    </w:rPr>
  </w:style>
  <w:style w:type="paragraph" w:styleId="TOC9">
    <w:name w:val="toc 9"/>
    <w:basedOn w:val="TOC8"/>
    <w:semiHidden/>
    <w:rsid w:val="00A279F6"/>
    <w:pPr>
      <w:ind w:left="1418" w:hanging="1418"/>
    </w:pPr>
  </w:style>
  <w:style w:type="paragraph" w:styleId="TOC8">
    <w:name w:val="toc 8"/>
    <w:basedOn w:val="TOC1"/>
    <w:uiPriority w:val="39"/>
    <w:rsid w:val="00A279F6"/>
    <w:pPr>
      <w:spacing w:before="180"/>
      <w:ind w:left="2693" w:hanging="2693"/>
    </w:pPr>
    <w:rPr>
      <w:b/>
    </w:rPr>
  </w:style>
  <w:style w:type="paragraph" w:styleId="TOC1">
    <w:name w:val="toc 1"/>
    <w:uiPriority w:val="39"/>
    <w:rsid w:val="00A279F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A279F6"/>
    <w:pPr>
      <w:keepLines/>
      <w:tabs>
        <w:tab w:val="center" w:pos="4536"/>
        <w:tab w:val="right" w:pos="9072"/>
      </w:tabs>
    </w:pPr>
    <w:rPr>
      <w:noProof/>
    </w:rPr>
  </w:style>
  <w:style w:type="character" w:customStyle="1" w:styleId="ZGSM">
    <w:name w:val="ZGSM"/>
    <w:rsid w:val="00A279F6"/>
  </w:style>
  <w:style w:type="paragraph" w:styleId="Header">
    <w:name w:val="header"/>
    <w:rsid w:val="00A279F6"/>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A279F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A279F6"/>
    <w:pPr>
      <w:ind w:left="1701" w:hanging="1701"/>
    </w:pPr>
  </w:style>
  <w:style w:type="paragraph" w:styleId="TOC4">
    <w:name w:val="toc 4"/>
    <w:basedOn w:val="TOC3"/>
    <w:uiPriority w:val="39"/>
    <w:rsid w:val="00A279F6"/>
    <w:pPr>
      <w:ind w:left="1418" w:hanging="1418"/>
    </w:pPr>
  </w:style>
  <w:style w:type="paragraph" w:styleId="TOC3">
    <w:name w:val="toc 3"/>
    <w:basedOn w:val="TOC2"/>
    <w:uiPriority w:val="39"/>
    <w:rsid w:val="00A279F6"/>
    <w:pPr>
      <w:ind w:left="1134" w:hanging="1134"/>
    </w:pPr>
  </w:style>
  <w:style w:type="paragraph" w:styleId="TOC2">
    <w:name w:val="toc 2"/>
    <w:basedOn w:val="TOC1"/>
    <w:uiPriority w:val="39"/>
    <w:rsid w:val="00A279F6"/>
    <w:pPr>
      <w:spacing w:before="0"/>
      <w:ind w:left="851" w:hanging="851"/>
    </w:pPr>
    <w:rPr>
      <w:sz w:val="20"/>
    </w:rPr>
  </w:style>
  <w:style w:type="paragraph" w:styleId="Index1">
    <w:name w:val="index 1"/>
    <w:basedOn w:val="Normal"/>
    <w:semiHidden/>
    <w:rsid w:val="00A279F6"/>
    <w:pPr>
      <w:keepLines/>
    </w:pPr>
  </w:style>
  <w:style w:type="paragraph" w:styleId="Index2">
    <w:name w:val="index 2"/>
    <w:basedOn w:val="Index1"/>
    <w:semiHidden/>
    <w:rsid w:val="00A279F6"/>
    <w:pPr>
      <w:ind w:left="284"/>
    </w:pPr>
  </w:style>
  <w:style w:type="paragraph" w:customStyle="1" w:styleId="TT">
    <w:name w:val="TT"/>
    <w:basedOn w:val="Heading1"/>
    <w:next w:val="Normal"/>
    <w:rsid w:val="00A279F6"/>
    <w:pPr>
      <w:outlineLvl w:val="9"/>
    </w:pPr>
  </w:style>
  <w:style w:type="paragraph" w:styleId="Footer">
    <w:name w:val="footer"/>
    <w:basedOn w:val="Header"/>
    <w:link w:val="FooterChar"/>
    <w:rsid w:val="00A279F6"/>
    <w:pPr>
      <w:jc w:val="center"/>
    </w:pPr>
    <w:rPr>
      <w:i/>
    </w:rPr>
  </w:style>
  <w:style w:type="character" w:styleId="FootnoteReference">
    <w:name w:val="footnote reference"/>
    <w:semiHidden/>
    <w:rsid w:val="00A279F6"/>
    <w:rPr>
      <w:b/>
      <w:position w:val="6"/>
      <w:sz w:val="16"/>
    </w:rPr>
  </w:style>
  <w:style w:type="paragraph" w:styleId="FootnoteText">
    <w:name w:val="footnote text"/>
    <w:basedOn w:val="Normal"/>
    <w:link w:val="FootnoteTextChar"/>
    <w:semiHidden/>
    <w:rsid w:val="00A279F6"/>
    <w:pPr>
      <w:keepLines/>
      <w:ind w:left="454" w:hanging="454"/>
    </w:pPr>
    <w:rPr>
      <w:sz w:val="16"/>
    </w:rPr>
  </w:style>
  <w:style w:type="paragraph" w:customStyle="1" w:styleId="NF">
    <w:name w:val="NF"/>
    <w:basedOn w:val="NO"/>
    <w:rsid w:val="00A279F6"/>
    <w:pPr>
      <w:keepNext/>
      <w:spacing w:after="0"/>
    </w:pPr>
    <w:rPr>
      <w:rFonts w:ascii="Arial" w:hAnsi="Arial"/>
      <w:sz w:val="18"/>
    </w:rPr>
  </w:style>
  <w:style w:type="paragraph" w:customStyle="1" w:styleId="NO">
    <w:name w:val="NO"/>
    <w:basedOn w:val="Normal"/>
    <w:link w:val="NOChar"/>
    <w:rsid w:val="00A279F6"/>
    <w:pPr>
      <w:keepLines/>
      <w:ind w:left="1135" w:hanging="851"/>
    </w:pPr>
  </w:style>
  <w:style w:type="paragraph" w:customStyle="1" w:styleId="PL">
    <w:name w:val="PL"/>
    <w:rsid w:val="00A27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A279F6"/>
    <w:pPr>
      <w:jc w:val="right"/>
    </w:pPr>
  </w:style>
  <w:style w:type="paragraph" w:customStyle="1" w:styleId="TAL">
    <w:name w:val="TAL"/>
    <w:basedOn w:val="Normal"/>
    <w:rsid w:val="00A279F6"/>
    <w:pPr>
      <w:keepNext/>
      <w:keepLines/>
      <w:spacing w:after="0"/>
    </w:pPr>
    <w:rPr>
      <w:rFonts w:ascii="Arial" w:hAnsi="Arial"/>
      <w:sz w:val="18"/>
    </w:rPr>
  </w:style>
  <w:style w:type="paragraph" w:styleId="ListNumber2">
    <w:name w:val="List Number 2"/>
    <w:basedOn w:val="ListNumber"/>
    <w:rsid w:val="00A279F6"/>
    <w:pPr>
      <w:ind w:left="851"/>
    </w:pPr>
  </w:style>
  <w:style w:type="paragraph" w:styleId="ListNumber">
    <w:name w:val="List Number"/>
    <w:basedOn w:val="List"/>
    <w:rsid w:val="00A279F6"/>
  </w:style>
  <w:style w:type="paragraph" w:styleId="List">
    <w:name w:val="List"/>
    <w:basedOn w:val="Normal"/>
    <w:rsid w:val="00A279F6"/>
    <w:pPr>
      <w:ind w:left="568" w:hanging="284"/>
    </w:pPr>
  </w:style>
  <w:style w:type="paragraph" w:customStyle="1" w:styleId="TAH">
    <w:name w:val="TAH"/>
    <w:basedOn w:val="TAC"/>
    <w:rsid w:val="00A279F6"/>
    <w:rPr>
      <w:b/>
    </w:rPr>
  </w:style>
  <w:style w:type="paragraph" w:customStyle="1" w:styleId="TAC">
    <w:name w:val="TAC"/>
    <w:basedOn w:val="TAL"/>
    <w:rsid w:val="00A279F6"/>
    <w:pPr>
      <w:jc w:val="center"/>
    </w:pPr>
  </w:style>
  <w:style w:type="paragraph" w:customStyle="1" w:styleId="LD">
    <w:name w:val="LD"/>
    <w:rsid w:val="00A279F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A279F6"/>
    <w:pPr>
      <w:keepLines/>
      <w:ind w:left="1702" w:hanging="1418"/>
    </w:pPr>
  </w:style>
  <w:style w:type="paragraph" w:customStyle="1" w:styleId="FP">
    <w:name w:val="FP"/>
    <w:basedOn w:val="Normal"/>
    <w:rsid w:val="00A279F6"/>
    <w:pPr>
      <w:spacing w:after="0"/>
    </w:pPr>
  </w:style>
  <w:style w:type="paragraph" w:customStyle="1" w:styleId="NW">
    <w:name w:val="NW"/>
    <w:basedOn w:val="NO"/>
    <w:rsid w:val="00A279F6"/>
    <w:pPr>
      <w:spacing w:after="0"/>
    </w:pPr>
  </w:style>
  <w:style w:type="paragraph" w:customStyle="1" w:styleId="EW">
    <w:name w:val="EW"/>
    <w:basedOn w:val="EX"/>
    <w:rsid w:val="00A279F6"/>
    <w:pPr>
      <w:spacing w:after="0"/>
    </w:pPr>
  </w:style>
  <w:style w:type="paragraph" w:customStyle="1" w:styleId="B10">
    <w:name w:val="B1"/>
    <w:basedOn w:val="List"/>
    <w:rsid w:val="00A279F6"/>
    <w:pPr>
      <w:ind w:left="738" w:hanging="454"/>
    </w:pPr>
  </w:style>
  <w:style w:type="paragraph" w:styleId="TOC6">
    <w:name w:val="toc 6"/>
    <w:basedOn w:val="TOC5"/>
    <w:next w:val="Normal"/>
    <w:semiHidden/>
    <w:rsid w:val="00A279F6"/>
    <w:pPr>
      <w:ind w:left="1985" w:hanging="1985"/>
    </w:pPr>
  </w:style>
  <w:style w:type="paragraph" w:styleId="TOC7">
    <w:name w:val="toc 7"/>
    <w:basedOn w:val="TOC6"/>
    <w:next w:val="Normal"/>
    <w:semiHidden/>
    <w:rsid w:val="00A279F6"/>
    <w:pPr>
      <w:ind w:left="2268" w:hanging="2268"/>
    </w:pPr>
  </w:style>
  <w:style w:type="paragraph" w:styleId="ListBullet2">
    <w:name w:val="List Bullet 2"/>
    <w:basedOn w:val="ListBullet"/>
    <w:rsid w:val="00A279F6"/>
    <w:pPr>
      <w:ind w:left="851"/>
    </w:pPr>
  </w:style>
  <w:style w:type="paragraph" w:styleId="ListBullet">
    <w:name w:val="List Bullet"/>
    <w:basedOn w:val="List"/>
    <w:rsid w:val="00A279F6"/>
  </w:style>
  <w:style w:type="paragraph" w:customStyle="1" w:styleId="EditorsNote">
    <w:name w:val="Editor's Note"/>
    <w:basedOn w:val="NO"/>
    <w:rsid w:val="00A279F6"/>
    <w:rPr>
      <w:color w:val="FF0000"/>
    </w:rPr>
  </w:style>
  <w:style w:type="paragraph" w:customStyle="1" w:styleId="TH">
    <w:name w:val="TH"/>
    <w:basedOn w:val="FL"/>
    <w:next w:val="FL"/>
    <w:rsid w:val="00A279F6"/>
  </w:style>
  <w:style w:type="paragraph" w:customStyle="1" w:styleId="ZA">
    <w:name w:val="ZA"/>
    <w:rsid w:val="00A27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A27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A27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A27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A279F6"/>
    <w:pPr>
      <w:ind w:left="851" w:hanging="851"/>
    </w:pPr>
  </w:style>
  <w:style w:type="paragraph" w:customStyle="1" w:styleId="ZH">
    <w:name w:val="ZH"/>
    <w:rsid w:val="00A279F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A279F6"/>
    <w:pPr>
      <w:keepNext w:val="0"/>
      <w:spacing w:before="0" w:after="240"/>
    </w:pPr>
  </w:style>
  <w:style w:type="paragraph" w:customStyle="1" w:styleId="ZG">
    <w:name w:val="ZG"/>
    <w:rsid w:val="00A27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A279F6"/>
    <w:pPr>
      <w:ind w:left="1135"/>
    </w:pPr>
  </w:style>
  <w:style w:type="paragraph" w:styleId="List2">
    <w:name w:val="List 2"/>
    <w:basedOn w:val="List"/>
    <w:rsid w:val="00A279F6"/>
    <w:pPr>
      <w:ind w:left="851"/>
    </w:pPr>
  </w:style>
  <w:style w:type="paragraph" w:styleId="List3">
    <w:name w:val="List 3"/>
    <w:basedOn w:val="List2"/>
    <w:rsid w:val="00A279F6"/>
    <w:pPr>
      <w:ind w:left="1135"/>
    </w:pPr>
  </w:style>
  <w:style w:type="paragraph" w:styleId="List4">
    <w:name w:val="List 4"/>
    <w:basedOn w:val="List3"/>
    <w:rsid w:val="00A279F6"/>
    <w:pPr>
      <w:ind w:left="1418"/>
    </w:pPr>
  </w:style>
  <w:style w:type="paragraph" w:styleId="List5">
    <w:name w:val="List 5"/>
    <w:basedOn w:val="List4"/>
    <w:rsid w:val="00A279F6"/>
    <w:pPr>
      <w:ind w:left="1702"/>
    </w:pPr>
  </w:style>
  <w:style w:type="paragraph" w:styleId="ListBullet4">
    <w:name w:val="List Bullet 4"/>
    <w:basedOn w:val="ListBullet3"/>
    <w:rsid w:val="00A279F6"/>
    <w:pPr>
      <w:ind w:left="1418"/>
    </w:pPr>
  </w:style>
  <w:style w:type="paragraph" w:styleId="ListBullet5">
    <w:name w:val="List Bullet 5"/>
    <w:basedOn w:val="ListBullet4"/>
    <w:rsid w:val="00A279F6"/>
    <w:pPr>
      <w:ind w:left="1702"/>
    </w:pPr>
  </w:style>
  <w:style w:type="paragraph" w:customStyle="1" w:styleId="B20">
    <w:name w:val="B2"/>
    <w:basedOn w:val="List2"/>
    <w:rsid w:val="00A279F6"/>
    <w:pPr>
      <w:ind w:left="1191" w:hanging="454"/>
    </w:pPr>
  </w:style>
  <w:style w:type="paragraph" w:customStyle="1" w:styleId="B30">
    <w:name w:val="B3"/>
    <w:basedOn w:val="List3"/>
    <w:rsid w:val="00A279F6"/>
    <w:pPr>
      <w:ind w:left="1645" w:hanging="454"/>
    </w:pPr>
  </w:style>
  <w:style w:type="paragraph" w:customStyle="1" w:styleId="B4">
    <w:name w:val="B4"/>
    <w:basedOn w:val="List4"/>
    <w:rsid w:val="00A279F6"/>
    <w:pPr>
      <w:ind w:left="2098" w:hanging="454"/>
    </w:pPr>
  </w:style>
  <w:style w:type="paragraph" w:customStyle="1" w:styleId="B5">
    <w:name w:val="B5"/>
    <w:basedOn w:val="List5"/>
    <w:rsid w:val="00A279F6"/>
    <w:pPr>
      <w:ind w:left="2552" w:hanging="454"/>
    </w:pPr>
  </w:style>
  <w:style w:type="paragraph" w:customStyle="1" w:styleId="ZTD">
    <w:name w:val="ZTD"/>
    <w:basedOn w:val="ZB"/>
    <w:rsid w:val="00A279F6"/>
    <w:pPr>
      <w:framePr w:hRule="auto" w:wrap="notBeside" w:y="852"/>
    </w:pPr>
    <w:rPr>
      <w:i w:val="0"/>
      <w:sz w:val="40"/>
    </w:rPr>
  </w:style>
  <w:style w:type="paragraph" w:customStyle="1" w:styleId="ZV">
    <w:name w:val="ZV"/>
    <w:basedOn w:val="ZU"/>
    <w:rsid w:val="00A279F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9F6"/>
    <w:pPr>
      <w:numPr>
        <w:numId w:val="4"/>
      </w:numPr>
      <w:tabs>
        <w:tab w:val="left" w:pos="1134"/>
      </w:tabs>
    </w:pPr>
  </w:style>
  <w:style w:type="paragraph" w:customStyle="1" w:styleId="B1">
    <w:name w:val="B1+"/>
    <w:basedOn w:val="B10"/>
    <w:rsid w:val="00A279F6"/>
    <w:pPr>
      <w:numPr>
        <w:numId w:val="2"/>
      </w:numPr>
    </w:pPr>
  </w:style>
  <w:style w:type="paragraph" w:customStyle="1" w:styleId="B2">
    <w:name w:val="B2+"/>
    <w:basedOn w:val="B20"/>
    <w:rsid w:val="00A279F6"/>
    <w:pPr>
      <w:numPr>
        <w:numId w:val="3"/>
      </w:numPr>
    </w:pPr>
  </w:style>
  <w:style w:type="paragraph" w:customStyle="1" w:styleId="BL">
    <w:name w:val="BL"/>
    <w:basedOn w:val="Normal"/>
    <w:rsid w:val="00A279F6"/>
    <w:pPr>
      <w:numPr>
        <w:numId w:val="6"/>
      </w:numPr>
      <w:tabs>
        <w:tab w:val="left" w:pos="851"/>
      </w:tabs>
    </w:pPr>
  </w:style>
  <w:style w:type="paragraph" w:customStyle="1" w:styleId="BN">
    <w:name w:val="BN"/>
    <w:basedOn w:val="Normal"/>
    <w:rsid w:val="00A279F6"/>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9F6"/>
    <w:pPr>
      <w:keepNext/>
      <w:keepLines/>
      <w:spacing w:after="0"/>
      <w:jc w:val="both"/>
    </w:pPr>
    <w:rPr>
      <w:rFonts w:ascii="Arial" w:hAnsi="Arial"/>
      <w:sz w:val="18"/>
    </w:rPr>
  </w:style>
  <w:style w:type="paragraph" w:customStyle="1" w:styleId="FL">
    <w:name w:val="FL"/>
    <w:basedOn w:val="Normal"/>
    <w:rsid w:val="00A279F6"/>
    <w:pPr>
      <w:keepNext/>
      <w:keepLines/>
      <w:spacing w:before="60"/>
      <w:jc w:val="center"/>
    </w:pPr>
    <w:rPr>
      <w:rFonts w:ascii="Arial" w:hAnsi="Arial"/>
      <w:b/>
    </w:rPr>
  </w:style>
  <w:style w:type="paragraph" w:styleId="BalloonText">
    <w:name w:val="Balloon Text"/>
    <w:basedOn w:val="Normal"/>
    <w:link w:val="BalloonTextChar"/>
    <w:rsid w:val="00CE4B84"/>
    <w:pPr>
      <w:spacing w:after="0"/>
    </w:pPr>
    <w:rPr>
      <w:rFonts w:ascii="Tahoma" w:hAnsi="Tahoma"/>
      <w:sz w:val="16"/>
      <w:szCs w:val="16"/>
    </w:rPr>
  </w:style>
  <w:style w:type="character" w:customStyle="1" w:styleId="BalloonTextChar">
    <w:name w:val="Balloon Text Char"/>
    <w:link w:val="BalloonText"/>
    <w:rsid w:val="00CE4B84"/>
    <w:rPr>
      <w:rFonts w:ascii="Tahoma" w:hAnsi="Tahoma" w:cs="Tahoma"/>
      <w:sz w:val="16"/>
      <w:szCs w:val="16"/>
      <w:lang w:eastAsia="en-US"/>
    </w:rPr>
  </w:style>
  <w:style w:type="character" w:customStyle="1" w:styleId="NOChar">
    <w:name w:val="NO Char"/>
    <w:link w:val="NO"/>
    <w:rsid w:val="00AF75CD"/>
    <w:rPr>
      <w:lang w:eastAsia="en-US"/>
    </w:rPr>
  </w:style>
  <w:style w:type="character" w:customStyle="1" w:styleId="FooterChar">
    <w:name w:val="Footer Char"/>
    <w:link w:val="Footer"/>
    <w:rsid w:val="003D0745"/>
    <w:rPr>
      <w:rFonts w:ascii="Arial" w:hAnsi="Arial"/>
      <w:b/>
      <w:i/>
      <w:noProof/>
      <w:sz w:val="18"/>
      <w:lang w:eastAsia="en-US"/>
    </w:rPr>
  </w:style>
  <w:style w:type="character" w:customStyle="1" w:styleId="Heading2Char">
    <w:name w:val="Heading 2 Char"/>
    <w:link w:val="Heading2"/>
    <w:rsid w:val="006C3210"/>
    <w:rPr>
      <w:rFonts w:ascii="Arial" w:hAnsi="Arial"/>
      <w:sz w:val="32"/>
      <w:lang w:eastAsia="en-US"/>
    </w:rPr>
  </w:style>
  <w:style w:type="character" w:customStyle="1" w:styleId="Heading1Char">
    <w:name w:val="Heading 1 Char"/>
    <w:link w:val="Heading1"/>
    <w:rsid w:val="002560F8"/>
    <w:rPr>
      <w:rFonts w:ascii="Arial" w:hAnsi="Arial"/>
      <w:sz w:val="36"/>
      <w:lang w:val="en-GB" w:eastAsia="en-US" w:bidi="ar-SA"/>
    </w:rPr>
  </w:style>
  <w:style w:type="character" w:customStyle="1" w:styleId="FootnoteTextChar">
    <w:name w:val="Footnote Text Char"/>
    <w:link w:val="FootnoteText"/>
    <w:semiHidden/>
    <w:locked/>
    <w:rsid w:val="004062F3"/>
    <w:rPr>
      <w:sz w:val="16"/>
      <w:lang w:val="en-GB" w:eastAsia="en-US"/>
    </w:rPr>
  </w:style>
  <w:style w:type="table" w:styleId="TableGrid">
    <w:name w:val="Table Grid"/>
    <w:basedOn w:val="TableNormal"/>
    <w:rsid w:val="00747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46016A"/>
    <w:rPr>
      <w:b/>
      <w:bCs/>
    </w:rPr>
  </w:style>
  <w:style w:type="character" w:customStyle="1" w:styleId="CommentTextChar">
    <w:name w:val="Comment Text Char"/>
    <w:link w:val="CommentText"/>
    <w:semiHidden/>
    <w:rsid w:val="0046016A"/>
    <w:rPr>
      <w:lang w:val="en-GB" w:eastAsia="en-US"/>
    </w:rPr>
  </w:style>
  <w:style w:type="character" w:customStyle="1" w:styleId="CommentSubjectChar">
    <w:name w:val="Comment Subject Char"/>
    <w:link w:val="CommentSubject"/>
    <w:rsid w:val="0046016A"/>
    <w:rPr>
      <w:b/>
      <w:bCs/>
      <w:lang w:val="en-GB" w:eastAsia="en-US"/>
    </w:rPr>
  </w:style>
  <w:style w:type="table" w:customStyle="1" w:styleId="LightList1">
    <w:name w:val="Light List1"/>
    <w:basedOn w:val="TableNormal"/>
    <w:uiPriority w:val="61"/>
    <w:rsid w:val="00CB12E9"/>
    <w:rPr>
      <w:rFonts w:ascii="Calibri" w:hAnsi="Calibri"/>
      <w:sz w:val="22"/>
      <w:szCs w:val="22"/>
      <w:lang w:val="fr-FR"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ListParagraph">
    <w:name w:val="List Paragraph"/>
    <w:basedOn w:val="Normal"/>
    <w:uiPriority w:val="34"/>
    <w:qFormat/>
    <w:rsid w:val="00BC4600"/>
    <w:pPr>
      <w:ind w:left="720"/>
      <w:contextualSpacing/>
    </w:pPr>
  </w:style>
  <w:style w:type="character" w:styleId="PlaceholderText">
    <w:name w:val="Placeholder Text"/>
    <w:basedOn w:val="DefaultParagraphFont"/>
    <w:uiPriority w:val="99"/>
    <w:semiHidden/>
    <w:rsid w:val="00042DB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298E"/>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A279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279F6"/>
    <w:pPr>
      <w:pBdr>
        <w:top w:val="none" w:sz="0" w:space="0" w:color="auto"/>
      </w:pBdr>
      <w:spacing w:before="180"/>
      <w:outlineLvl w:val="1"/>
    </w:pPr>
    <w:rPr>
      <w:sz w:val="32"/>
    </w:rPr>
  </w:style>
  <w:style w:type="paragraph" w:styleId="Heading3">
    <w:name w:val="heading 3"/>
    <w:basedOn w:val="Heading2"/>
    <w:next w:val="Normal"/>
    <w:qFormat/>
    <w:rsid w:val="00A279F6"/>
    <w:pPr>
      <w:spacing w:before="120"/>
      <w:outlineLvl w:val="2"/>
    </w:pPr>
    <w:rPr>
      <w:sz w:val="28"/>
    </w:rPr>
  </w:style>
  <w:style w:type="paragraph" w:styleId="Heading4">
    <w:name w:val="heading 4"/>
    <w:basedOn w:val="Heading3"/>
    <w:next w:val="Normal"/>
    <w:qFormat/>
    <w:rsid w:val="00A279F6"/>
    <w:pPr>
      <w:ind w:left="1418" w:hanging="1418"/>
      <w:outlineLvl w:val="3"/>
    </w:pPr>
    <w:rPr>
      <w:sz w:val="24"/>
    </w:rPr>
  </w:style>
  <w:style w:type="paragraph" w:styleId="Heading5">
    <w:name w:val="heading 5"/>
    <w:basedOn w:val="Heading4"/>
    <w:next w:val="Normal"/>
    <w:qFormat/>
    <w:rsid w:val="00A279F6"/>
    <w:pPr>
      <w:ind w:left="1701" w:hanging="1701"/>
      <w:outlineLvl w:val="4"/>
    </w:pPr>
    <w:rPr>
      <w:sz w:val="22"/>
    </w:rPr>
  </w:style>
  <w:style w:type="paragraph" w:styleId="Heading6">
    <w:name w:val="heading 6"/>
    <w:basedOn w:val="H6"/>
    <w:next w:val="Normal"/>
    <w:qFormat/>
    <w:rsid w:val="00A279F6"/>
    <w:pPr>
      <w:outlineLvl w:val="5"/>
    </w:pPr>
  </w:style>
  <w:style w:type="paragraph" w:styleId="Heading7">
    <w:name w:val="heading 7"/>
    <w:basedOn w:val="H6"/>
    <w:next w:val="Normal"/>
    <w:qFormat/>
    <w:rsid w:val="00A279F6"/>
    <w:pPr>
      <w:outlineLvl w:val="6"/>
    </w:pPr>
  </w:style>
  <w:style w:type="paragraph" w:styleId="Heading8">
    <w:name w:val="heading 8"/>
    <w:basedOn w:val="Heading1"/>
    <w:next w:val="Normal"/>
    <w:qFormat/>
    <w:rsid w:val="00A279F6"/>
    <w:pPr>
      <w:ind w:left="0" w:firstLine="0"/>
      <w:outlineLvl w:val="7"/>
    </w:pPr>
  </w:style>
  <w:style w:type="paragraph" w:styleId="Heading9">
    <w:name w:val="heading 9"/>
    <w:basedOn w:val="Heading8"/>
    <w:next w:val="Normal"/>
    <w:qFormat/>
    <w:rsid w:val="00A279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279F6"/>
    <w:pPr>
      <w:ind w:left="1985" w:hanging="1985"/>
      <w:outlineLvl w:val="9"/>
    </w:pPr>
    <w:rPr>
      <w:sz w:val="20"/>
    </w:rPr>
  </w:style>
  <w:style w:type="paragraph" w:styleId="TOC9">
    <w:name w:val="toc 9"/>
    <w:basedOn w:val="TOC8"/>
    <w:semiHidden/>
    <w:rsid w:val="00A279F6"/>
    <w:pPr>
      <w:ind w:left="1418" w:hanging="1418"/>
    </w:pPr>
  </w:style>
  <w:style w:type="paragraph" w:styleId="TOC8">
    <w:name w:val="toc 8"/>
    <w:basedOn w:val="TOC1"/>
    <w:uiPriority w:val="39"/>
    <w:rsid w:val="00A279F6"/>
    <w:pPr>
      <w:spacing w:before="180"/>
      <w:ind w:left="2693" w:hanging="2693"/>
    </w:pPr>
    <w:rPr>
      <w:b/>
    </w:rPr>
  </w:style>
  <w:style w:type="paragraph" w:styleId="TOC1">
    <w:name w:val="toc 1"/>
    <w:uiPriority w:val="39"/>
    <w:rsid w:val="00A279F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A279F6"/>
    <w:pPr>
      <w:keepLines/>
      <w:tabs>
        <w:tab w:val="center" w:pos="4536"/>
        <w:tab w:val="right" w:pos="9072"/>
      </w:tabs>
    </w:pPr>
    <w:rPr>
      <w:noProof/>
    </w:rPr>
  </w:style>
  <w:style w:type="character" w:customStyle="1" w:styleId="ZGSM">
    <w:name w:val="ZGSM"/>
    <w:rsid w:val="00A279F6"/>
  </w:style>
  <w:style w:type="paragraph" w:styleId="Header">
    <w:name w:val="header"/>
    <w:rsid w:val="00A279F6"/>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A279F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A279F6"/>
    <w:pPr>
      <w:ind w:left="1701" w:hanging="1701"/>
    </w:pPr>
  </w:style>
  <w:style w:type="paragraph" w:styleId="TOC4">
    <w:name w:val="toc 4"/>
    <w:basedOn w:val="TOC3"/>
    <w:uiPriority w:val="39"/>
    <w:rsid w:val="00A279F6"/>
    <w:pPr>
      <w:ind w:left="1418" w:hanging="1418"/>
    </w:pPr>
  </w:style>
  <w:style w:type="paragraph" w:styleId="TOC3">
    <w:name w:val="toc 3"/>
    <w:basedOn w:val="TOC2"/>
    <w:uiPriority w:val="39"/>
    <w:rsid w:val="00A279F6"/>
    <w:pPr>
      <w:ind w:left="1134" w:hanging="1134"/>
    </w:pPr>
  </w:style>
  <w:style w:type="paragraph" w:styleId="TOC2">
    <w:name w:val="toc 2"/>
    <w:basedOn w:val="TOC1"/>
    <w:uiPriority w:val="39"/>
    <w:rsid w:val="00A279F6"/>
    <w:pPr>
      <w:spacing w:before="0"/>
      <w:ind w:left="851" w:hanging="851"/>
    </w:pPr>
    <w:rPr>
      <w:sz w:val="20"/>
    </w:rPr>
  </w:style>
  <w:style w:type="paragraph" w:styleId="Index1">
    <w:name w:val="index 1"/>
    <w:basedOn w:val="Normal"/>
    <w:semiHidden/>
    <w:rsid w:val="00A279F6"/>
    <w:pPr>
      <w:keepLines/>
    </w:pPr>
  </w:style>
  <w:style w:type="paragraph" w:styleId="Index2">
    <w:name w:val="index 2"/>
    <w:basedOn w:val="Index1"/>
    <w:semiHidden/>
    <w:rsid w:val="00A279F6"/>
    <w:pPr>
      <w:ind w:left="284"/>
    </w:pPr>
  </w:style>
  <w:style w:type="paragraph" w:customStyle="1" w:styleId="TT">
    <w:name w:val="TT"/>
    <w:basedOn w:val="Heading1"/>
    <w:next w:val="Normal"/>
    <w:rsid w:val="00A279F6"/>
    <w:pPr>
      <w:outlineLvl w:val="9"/>
    </w:pPr>
  </w:style>
  <w:style w:type="paragraph" w:styleId="Footer">
    <w:name w:val="footer"/>
    <w:basedOn w:val="Header"/>
    <w:link w:val="FooterChar"/>
    <w:rsid w:val="00A279F6"/>
    <w:pPr>
      <w:jc w:val="center"/>
    </w:pPr>
    <w:rPr>
      <w:i/>
    </w:rPr>
  </w:style>
  <w:style w:type="character" w:styleId="FootnoteReference">
    <w:name w:val="footnote reference"/>
    <w:semiHidden/>
    <w:rsid w:val="00A279F6"/>
    <w:rPr>
      <w:b/>
      <w:position w:val="6"/>
      <w:sz w:val="16"/>
    </w:rPr>
  </w:style>
  <w:style w:type="paragraph" w:styleId="FootnoteText">
    <w:name w:val="footnote text"/>
    <w:basedOn w:val="Normal"/>
    <w:link w:val="FootnoteTextChar"/>
    <w:semiHidden/>
    <w:rsid w:val="00A279F6"/>
    <w:pPr>
      <w:keepLines/>
      <w:ind w:left="454" w:hanging="454"/>
    </w:pPr>
    <w:rPr>
      <w:sz w:val="16"/>
    </w:rPr>
  </w:style>
  <w:style w:type="paragraph" w:customStyle="1" w:styleId="NF">
    <w:name w:val="NF"/>
    <w:basedOn w:val="NO"/>
    <w:rsid w:val="00A279F6"/>
    <w:pPr>
      <w:keepNext/>
      <w:spacing w:after="0"/>
    </w:pPr>
    <w:rPr>
      <w:rFonts w:ascii="Arial" w:hAnsi="Arial"/>
      <w:sz w:val="18"/>
    </w:rPr>
  </w:style>
  <w:style w:type="paragraph" w:customStyle="1" w:styleId="NO">
    <w:name w:val="NO"/>
    <w:basedOn w:val="Normal"/>
    <w:link w:val="NOChar"/>
    <w:rsid w:val="00A279F6"/>
    <w:pPr>
      <w:keepLines/>
      <w:ind w:left="1135" w:hanging="851"/>
    </w:pPr>
  </w:style>
  <w:style w:type="paragraph" w:customStyle="1" w:styleId="PL">
    <w:name w:val="PL"/>
    <w:rsid w:val="00A27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A279F6"/>
    <w:pPr>
      <w:jc w:val="right"/>
    </w:pPr>
  </w:style>
  <w:style w:type="paragraph" w:customStyle="1" w:styleId="TAL">
    <w:name w:val="TAL"/>
    <w:basedOn w:val="Normal"/>
    <w:rsid w:val="00A279F6"/>
    <w:pPr>
      <w:keepNext/>
      <w:keepLines/>
      <w:spacing w:after="0"/>
    </w:pPr>
    <w:rPr>
      <w:rFonts w:ascii="Arial" w:hAnsi="Arial"/>
      <w:sz w:val="18"/>
    </w:rPr>
  </w:style>
  <w:style w:type="paragraph" w:styleId="ListNumber2">
    <w:name w:val="List Number 2"/>
    <w:basedOn w:val="ListNumber"/>
    <w:rsid w:val="00A279F6"/>
    <w:pPr>
      <w:ind w:left="851"/>
    </w:pPr>
  </w:style>
  <w:style w:type="paragraph" w:styleId="ListNumber">
    <w:name w:val="List Number"/>
    <w:basedOn w:val="List"/>
    <w:rsid w:val="00A279F6"/>
  </w:style>
  <w:style w:type="paragraph" w:styleId="List">
    <w:name w:val="List"/>
    <w:basedOn w:val="Normal"/>
    <w:rsid w:val="00A279F6"/>
    <w:pPr>
      <w:ind w:left="568" w:hanging="284"/>
    </w:pPr>
  </w:style>
  <w:style w:type="paragraph" w:customStyle="1" w:styleId="TAH">
    <w:name w:val="TAH"/>
    <w:basedOn w:val="TAC"/>
    <w:rsid w:val="00A279F6"/>
    <w:rPr>
      <w:b/>
    </w:rPr>
  </w:style>
  <w:style w:type="paragraph" w:customStyle="1" w:styleId="TAC">
    <w:name w:val="TAC"/>
    <w:basedOn w:val="TAL"/>
    <w:rsid w:val="00A279F6"/>
    <w:pPr>
      <w:jc w:val="center"/>
    </w:pPr>
  </w:style>
  <w:style w:type="paragraph" w:customStyle="1" w:styleId="LD">
    <w:name w:val="LD"/>
    <w:rsid w:val="00A279F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A279F6"/>
    <w:pPr>
      <w:keepLines/>
      <w:ind w:left="1702" w:hanging="1418"/>
    </w:pPr>
  </w:style>
  <w:style w:type="paragraph" w:customStyle="1" w:styleId="FP">
    <w:name w:val="FP"/>
    <w:basedOn w:val="Normal"/>
    <w:rsid w:val="00A279F6"/>
    <w:pPr>
      <w:spacing w:after="0"/>
    </w:pPr>
  </w:style>
  <w:style w:type="paragraph" w:customStyle="1" w:styleId="NW">
    <w:name w:val="NW"/>
    <w:basedOn w:val="NO"/>
    <w:rsid w:val="00A279F6"/>
    <w:pPr>
      <w:spacing w:after="0"/>
    </w:pPr>
  </w:style>
  <w:style w:type="paragraph" w:customStyle="1" w:styleId="EW">
    <w:name w:val="EW"/>
    <w:basedOn w:val="EX"/>
    <w:rsid w:val="00A279F6"/>
    <w:pPr>
      <w:spacing w:after="0"/>
    </w:pPr>
  </w:style>
  <w:style w:type="paragraph" w:customStyle="1" w:styleId="B10">
    <w:name w:val="B1"/>
    <w:basedOn w:val="List"/>
    <w:rsid w:val="00A279F6"/>
    <w:pPr>
      <w:ind w:left="738" w:hanging="454"/>
    </w:pPr>
  </w:style>
  <w:style w:type="paragraph" w:styleId="TOC6">
    <w:name w:val="toc 6"/>
    <w:basedOn w:val="TOC5"/>
    <w:next w:val="Normal"/>
    <w:semiHidden/>
    <w:rsid w:val="00A279F6"/>
    <w:pPr>
      <w:ind w:left="1985" w:hanging="1985"/>
    </w:pPr>
  </w:style>
  <w:style w:type="paragraph" w:styleId="TOC7">
    <w:name w:val="toc 7"/>
    <w:basedOn w:val="TOC6"/>
    <w:next w:val="Normal"/>
    <w:semiHidden/>
    <w:rsid w:val="00A279F6"/>
    <w:pPr>
      <w:ind w:left="2268" w:hanging="2268"/>
    </w:pPr>
  </w:style>
  <w:style w:type="paragraph" w:styleId="ListBullet2">
    <w:name w:val="List Bullet 2"/>
    <w:basedOn w:val="ListBullet"/>
    <w:rsid w:val="00A279F6"/>
    <w:pPr>
      <w:ind w:left="851"/>
    </w:pPr>
  </w:style>
  <w:style w:type="paragraph" w:styleId="ListBullet">
    <w:name w:val="List Bullet"/>
    <w:basedOn w:val="List"/>
    <w:rsid w:val="00A279F6"/>
  </w:style>
  <w:style w:type="paragraph" w:customStyle="1" w:styleId="EditorsNote">
    <w:name w:val="Editor's Note"/>
    <w:basedOn w:val="NO"/>
    <w:rsid w:val="00A279F6"/>
    <w:rPr>
      <w:color w:val="FF0000"/>
    </w:rPr>
  </w:style>
  <w:style w:type="paragraph" w:customStyle="1" w:styleId="TH">
    <w:name w:val="TH"/>
    <w:basedOn w:val="FL"/>
    <w:next w:val="FL"/>
    <w:rsid w:val="00A279F6"/>
  </w:style>
  <w:style w:type="paragraph" w:customStyle="1" w:styleId="ZA">
    <w:name w:val="ZA"/>
    <w:rsid w:val="00A27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A27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A27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A27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A279F6"/>
    <w:pPr>
      <w:ind w:left="851" w:hanging="851"/>
    </w:pPr>
  </w:style>
  <w:style w:type="paragraph" w:customStyle="1" w:styleId="ZH">
    <w:name w:val="ZH"/>
    <w:rsid w:val="00A279F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A279F6"/>
    <w:pPr>
      <w:keepNext w:val="0"/>
      <w:spacing w:before="0" w:after="240"/>
    </w:pPr>
  </w:style>
  <w:style w:type="paragraph" w:customStyle="1" w:styleId="ZG">
    <w:name w:val="ZG"/>
    <w:rsid w:val="00A27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A279F6"/>
    <w:pPr>
      <w:ind w:left="1135"/>
    </w:pPr>
  </w:style>
  <w:style w:type="paragraph" w:styleId="List2">
    <w:name w:val="List 2"/>
    <w:basedOn w:val="List"/>
    <w:rsid w:val="00A279F6"/>
    <w:pPr>
      <w:ind w:left="851"/>
    </w:pPr>
  </w:style>
  <w:style w:type="paragraph" w:styleId="List3">
    <w:name w:val="List 3"/>
    <w:basedOn w:val="List2"/>
    <w:rsid w:val="00A279F6"/>
    <w:pPr>
      <w:ind w:left="1135"/>
    </w:pPr>
  </w:style>
  <w:style w:type="paragraph" w:styleId="List4">
    <w:name w:val="List 4"/>
    <w:basedOn w:val="List3"/>
    <w:rsid w:val="00A279F6"/>
    <w:pPr>
      <w:ind w:left="1418"/>
    </w:pPr>
  </w:style>
  <w:style w:type="paragraph" w:styleId="List5">
    <w:name w:val="List 5"/>
    <w:basedOn w:val="List4"/>
    <w:rsid w:val="00A279F6"/>
    <w:pPr>
      <w:ind w:left="1702"/>
    </w:pPr>
  </w:style>
  <w:style w:type="paragraph" w:styleId="ListBullet4">
    <w:name w:val="List Bullet 4"/>
    <w:basedOn w:val="ListBullet3"/>
    <w:rsid w:val="00A279F6"/>
    <w:pPr>
      <w:ind w:left="1418"/>
    </w:pPr>
  </w:style>
  <w:style w:type="paragraph" w:styleId="ListBullet5">
    <w:name w:val="List Bullet 5"/>
    <w:basedOn w:val="ListBullet4"/>
    <w:rsid w:val="00A279F6"/>
    <w:pPr>
      <w:ind w:left="1702"/>
    </w:pPr>
  </w:style>
  <w:style w:type="paragraph" w:customStyle="1" w:styleId="B20">
    <w:name w:val="B2"/>
    <w:basedOn w:val="List2"/>
    <w:rsid w:val="00A279F6"/>
    <w:pPr>
      <w:ind w:left="1191" w:hanging="454"/>
    </w:pPr>
  </w:style>
  <w:style w:type="paragraph" w:customStyle="1" w:styleId="B30">
    <w:name w:val="B3"/>
    <w:basedOn w:val="List3"/>
    <w:rsid w:val="00A279F6"/>
    <w:pPr>
      <w:ind w:left="1645" w:hanging="454"/>
    </w:pPr>
  </w:style>
  <w:style w:type="paragraph" w:customStyle="1" w:styleId="B4">
    <w:name w:val="B4"/>
    <w:basedOn w:val="List4"/>
    <w:rsid w:val="00A279F6"/>
    <w:pPr>
      <w:ind w:left="2098" w:hanging="454"/>
    </w:pPr>
  </w:style>
  <w:style w:type="paragraph" w:customStyle="1" w:styleId="B5">
    <w:name w:val="B5"/>
    <w:basedOn w:val="List5"/>
    <w:rsid w:val="00A279F6"/>
    <w:pPr>
      <w:ind w:left="2552" w:hanging="454"/>
    </w:pPr>
  </w:style>
  <w:style w:type="paragraph" w:customStyle="1" w:styleId="ZTD">
    <w:name w:val="ZTD"/>
    <w:basedOn w:val="ZB"/>
    <w:rsid w:val="00A279F6"/>
    <w:pPr>
      <w:framePr w:hRule="auto" w:wrap="notBeside" w:y="852"/>
    </w:pPr>
    <w:rPr>
      <w:i w:val="0"/>
      <w:sz w:val="40"/>
    </w:rPr>
  </w:style>
  <w:style w:type="paragraph" w:customStyle="1" w:styleId="ZV">
    <w:name w:val="ZV"/>
    <w:basedOn w:val="ZU"/>
    <w:rsid w:val="00A279F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9F6"/>
    <w:pPr>
      <w:numPr>
        <w:numId w:val="4"/>
      </w:numPr>
      <w:tabs>
        <w:tab w:val="left" w:pos="1134"/>
      </w:tabs>
    </w:pPr>
  </w:style>
  <w:style w:type="paragraph" w:customStyle="1" w:styleId="B1">
    <w:name w:val="B1+"/>
    <w:basedOn w:val="B10"/>
    <w:rsid w:val="00A279F6"/>
    <w:pPr>
      <w:numPr>
        <w:numId w:val="2"/>
      </w:numPr>
    </w:pPr>
  </w:style>
  <w:style w:type="paragraph" w:customStyle="1" w:styleId="B2">
    <w:name w:val="B2+"/>
    <w:basedOn w:val="B20"/>
    <w:rsid w:val="00A279F6"/>
    <w:pPr>
      <w:numPr>
        <w:numId w:val="3"/>
      </w:numPr>
    </w:pPr>
  </w:style>
  <w:style w:type="paragraph" w:customStyle="1" w:styleId="BL">
    <w:name w:val="BL"/>
    <w:basedOn w:val="Normal"/>
    <w:rsid w:val="00A279F6"/>
    <w:pPr>
      <w:numPr>
        <w:numId w:val="6"/>
      </w:numPr>
      <w:tabs>
        <w:tab w:val="left" w:pos="851"/>
      </w:tabs>
    </w:pPr>
  </w:style>
  <w:style w:type="paragraph" w:customStyle="1" w:styleId="BN">
    <w:name w:val="BN"/>
    <w:basedOn w:val="Normal"/>
    <w:rsid w:val="00A279F6"/>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9F6"/>
    <w:pPr>
      <w:keepNext/>
      <w:keepLines/>
      <w:spacing w:after="0"/>
      <w:jc w:val="both"/>
    </w:pPr>
    <w:rPr>
      <w:rFonts w:ascii="Arial" w:hAnsi="Arial"/>
      <w:sz w:val="18"/>
    </w:rPr>
  </w:style>
  <w:style w:type="paragraph" w:customStyle="1" w:styleId="FL">
    <w:name w:val="FL"/>
    <w:basedOn w:val="Normal"/>
    <w:rsid w:val="00A279F6"/>
    <w:pPr>
      <w:keepNext/>
      <w:keepLines/>
      <w:spacing w:before="60"/>
      <w:jc w:val="center"/>
    </w:pPr>
    <w:rPr>
      <w:rFonts w:ascii="Arial" w:hAnsi="Arial"/>
      <w:b/>
    </w:rPr>
  </w:style>
  <w:style w:type="paragraph" w:styleId="BalloonText">
    <w:name w:val="Balloon Text"/>
    <w:basedOn w:val="Normal"/>
    <w:link w:val="BalloonTextChar"/>
    <w:rsid w:val="00CE4B84"/>
    <w:pPr>
      <w:spacing w:after="0"/>
    </w:pPr>
    <w:rPr>
      <w:rFonts w:ascii="Tahoma" w:hAnsi="Tahoma"/>
      <w:sz w:val="16"/>
      <w:szCs w:val="16"/>
    </w:rPr>
  </w:style>
  <w:style w:type="character" w:customStyle="1" w:styleId="BalloonTextChar">
    <w:name w:val="Balloon Text Char"/>
    <w:link w:val="BalloonText"/>
    <w:rsid w:val="00CE4B84"/>
    <w:rPr>
      <w:rFonts w:ascii="Tahoma" w:hAnsi="Tahoma" w:cs="Tahoma"/>
      <w:sz w:val="16"/>
      <w:szCs w:val="16"/>
      <w:lang w:eastAsia="en-US"/>
    </w:rPr>
  </w:style>
  <w:style w:type="character" w:customStyle="1" w:styleId="NOChar">
    <w:name w:val="NO Char"/>
    <w:link w:val="NO"/>
    <w:rsid w:val="00AF75CD"/>
    <w:rPr>
      <w:lang w:eastAsia="en-US"/>
    </w:rPr>
  </w:style>
  <w:style w:type="character" w:customStyle="1" w:styleId="FooterChar">
    <w:name w:val="Footer Char"/>
    <w:link w:val="Footer"/>
    <w:rsid w:val="003D0745"/>
    <w:rPr>
      <w:rFonts w:ascii="Arial" w:hAnsi="Arial"/>
      <w:b/>
      <w:i/>
      <w:noProof/>
      <w:sz w:val="18"/>
      <w:lang w:eastAsia="en-US"/>
    </w:rPr>
  </w:style>
  <w:style w:type="character" w:customStyle="1" w:styleId="Heading2Char">
    <w:name w:val="Heading 2 Char"/>
    <w:link w:val="Heading2"/>
    <w:rsid w:val="006C3210"/>
    <w:rPr>
      <w:rFonts w:ascii="Arial" w:hAnsi="Arial"/>
      <w:sz w:val="32"/>
      <w:lang w:eastAsia="en-US"/>
    </w:rPr>
  </w:style>
  <w:style w:type="character" w:customStyle="1" w:styleId="Heading1Char">
    <w:name w:val="Heading 1 Char"/>
    <w:link w:val="Heading1"/>
    <w:rsid w:val="002560F8"/>
    <w:rPr>
      <w:rFonts w:ascii="Arial" w:hAnsi="Arial"/>
      <w:sz w:val="36"/>
      <w:lang w:val="en-GB" w:eastAsia="en-US" w:bidi="ar-SA"/>
    </w:rPr>
  </w:style>
  <w:style w:type="character" w:customStyle="1" w:styleId="FootnoteTextChar">
    <w:name w:val="Footnote Text Char"/>
    <w:link w:val="FootnoteText"/>
    <w:semiHidden/>
    <w:locked/>
    <w:rsid w:val="004062F3"/>
    <w:rPr>
      <w:sz w:val="16"/>
      <w:lang w:val="en-GB" w:eastAsia="en-US"/>
    </w:rPr>
  </w:style>
  <w:style w:type="table" w:styleId="TableGrid">
    <w:name w:val="Table Grid"/>
    <w:basedOn w:val="TableNormal"/>
    <w:rsid w:val="007472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46016A"/>
    <w:rPr>
      <w:b/>
      <w:bCs/>
    </w:rPr>
  </w:style>
  <w:style w:type="character" w:customStyle="1" w:styleId="CommentTextChar">
    <w:name w:val="Comment Text Char"/>
    <w:link w:val="CommentText"/>
    <w:semiHidden/>
    <w:rsid w:val="0046016A"/>
    <w:rPr>
      <w:lang w:val="en-GB" w:eastAsia="en-US"/>
    </w:rPr>
  </w:style>
  <w:style w:type="character" w:customStyle="1" w:styleId="CommentSubjectChar">
    <w:name w:val="Comment Subject Char"/>
    <w:link w:val="CommentSubject"/>
    <w:rsid w:val="0046016A"/>
    <w:rPr>
      <w:b/>
      <w:bCs/>
      <w:lang w:val="en-GB" w:eastAsia="en-US"/>
    </w:rPr>
  </w:style>
  <w:style w:type="table" w:customStyle="1" w:styleId="LightList1">
    <w:name w:val="Light List1"/>
    <w:basedOn w:val="TableNormal"/>
    <w:uiPriority w:val="61"/>
    <w:rsid w:val="00CB12E9"/>
    <w:rPr>
      <w:rFonts w:ascii="Calibri" w:hAnsi="Calibri"/>
      <w:sz w:val="22"/>
      <w:szCs w:val="22"/>
      <w:lang w:val="fr-FR"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ListParagraph">
    <w:name w:val="List Paragraph"/>
    <w:basedOn w:val="Normal"/>
    <w:uiPriority w:val="34"/>
    <w:qFormat/>
    <w:rsid w:val="00BC4600"/>
    <w:pPr>
      <w:ind w:left="720"/>
      <w:contextualSpacing/>
    </w:pPr>
  </w:style>
  <w:style w:type="character" w:styleId="PlaceholderText">
    <w:name w:val="Placeholder Text"/>
    <w:basedOn w:val="DefaultParagraphFont"/>
    <w:uiPriority w:val="99"/>
    <w:semiHidden/>
    <w:rsid w:val="00042D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28419">
      <w:bodyDiv w:val="1"/>
      <w:marLeft w:val="0"/>
      <w:marRight w:val="0"/>
      <w:marTop w:val="0"/>
      <w:marBottom w:val="0"/>
      <w:divBdr>
        <w:top w:val="none" w:sz="0" w:space="0" w:color="auto"/>
        <w:left w:val="none" w:sz="0" w:space="0" w:color="auto"/>
        <w:bottom w:val="none" w:sz="0" w:space="0" w:color="auto"/>
        <w:right w:val="none" w:sz="0" w:space="0" w:color="auto"/>
      </w:divBdr>
    </w:div>
    <w:div w:id="108354319">
      <w:bodyDiv w:val="1"/>
      <w:marLeft w:val="0"/>
      <w:marRight w:val="0"/>
      <w:marTop w:val="0"/>
      <w:marBottom w:val="0"/>
      <w:divBdr>
        <w:top w:val="none" w:sz="0" w:space="0" w:color="auto"/>
        <w:left w:val="none" w:sz="0" w:space="0" w:color="auto"/>
        <w:bottom w:val="none" w:sz="0" w:space="0" w:color="auto"/>
        <w:right w:val="none" w:sz="0" w:space="0" w:color="auto"/>
      </w:divBdr>
    </w:div>
    <w:div w:id="213009720">
      <w:bodyDiv w:val="1"/>
      <w:marLeft w:val="0"/>
      <w:marRight w:val="0"/>
      <w:marTop w:val="0"/>
      <w:marBottom w:val="0"/>
      <w:divBdr>
        <w:top w:val="none" w:sz="0" w:space="0" w:color="auto"/>
        <w:left w:val="none" w:sz="0" w:space="0" w:color="auto"/>
        <w:bottom w:val="none" w:sz="0" w:space="0" w:color="auto"/>
        <w:right w:val="none" w:sz="0" w:space="0" w:color="auto"/>
      </w:divBdr>
    </w:div>
    <w:div w:id="446780442">
      <w:bodyDiv w:val="1"/>
      <w:marLeft w:val="0"/>
      <w:marRight w:val="0"/>
      <w:marTop w:val="0"/>
      <w:marBottom w:val="0"/>
      <w:divBdr>
        <w:top w:val="none" w:sz="0" w:space="0" w:color="auto"/>
        <w:left w:val="none" w:sz="0" w:space="0" w:color="auto"/>
        <w:bottom w:val="none" w:sz="0" w:space="0" w:color="auto"/>
        <w:right w:val="none" w:sz="0" w:space="0" w:color="auto"/>
      </w:divBdr>
    </w:div>
    <w:div w:id="471337220">
      <w:bodyDiv w:val="1"/>
      <w:marLeft w:val="0"/>
      <w:marRight w:val="0"/>
      <w:marTop w:val="0"/>
      <w:marBottom w:val="0"/>
      <w:divBdr>
        <w:top w:val="none" w:sz="0" w:space="0" w:color="auto"/>
        <w:left w:val="none" w:sz="0" w:space="0" w:color="auto"/>
        <w:bottom w:val="none" w:sz="0" w:space="0" w:color="auto"/>
        <w:right w:val="none" w:sz="0" w:space="0" w:color="auto"/>
      </w:divBdr>
    </w:div>
    <w:div w:id="771051240">
      <w:bodyDiv w:val="1"/>
      <w:marLeft w:val="0"/>
      <w:marRight w:val="0"/>
      <w:marTop w:val="0"/>
      <w:marBottom w:val="0"/>
      <w:divBdr>
        <w:top w:val="none" w:sz="0" w:space="0" w:color="auto"/>
        <w:left w:val="none" w:sz="0" w:space="0" w:color="auto"/>
        <w:bottom w:val="none" w:sz="0" w:space="0" w:color="auto"/>
        <w:right w:val="none" w:sz="0" w:space="0" w:color="auto"/>
      </w:divBdr>
    </w:div>
    <w:div w:id="810974572">
      <w:bodyDiv w:val="1"/>
      <w:marLeft w:val="0"/>
      <w:marRight w:val="0"/>
      <w:marTop w:val="0"/>
      <w:marBottom w:val="0"/>
      <w:divBdr>
        <w:top w:val="none" w:sz="0" w:space="0" w:color="auto"/>
        <w:left w:val="none" w:sz="0" w:space="0" w:color="auto"/>
        <w:bottom w:val="none" w:sz="0" w:space="0" w:color="auto"/>
        <w:right w:val="none" w:sz="0" w:space="0" w:color="auto"/>
      </w:divBdr>
    </w:div>
    <w:div w:id="880555357">
      <w:bodyDiv w:val="1"/>
      <w:marLeft w:val="0"/>
      <w:marRight w:val="0"/>
      <w:marTop w:val="0"/>
      <w:marBottom w:val="0"/>
      <w:divBdr>
        <w:top w:val="none" w:sz="0" w:space="0" w:color="auto"/>
        <w:left w:val="none" w:sz="0" w:space="0" w:color="auto"/>
        <w:bottom w:val="none" w:sz="0" w:space="0" w:color="auto"/>
        <w:right w:val="none" w:sz="0" w:space="0" w:color="auto"/>
      </w:divBdr>
    </w:div>
    <w:div w:id="973144172">
      <w:bodyDiv w:val="1"/>
      <w:marLeft w:val="0"/>
      <w:marRight w:val="0"/>
      <w:marTop w:val="0"/>
      <w:marBottom w:val="0"/>
      <w:divBdr>
        <w:top w:val="none" w:sz="0" w:space="0" w:color="auto"/>
        <w:left w:val="none" w:sz="0" w:space="0" w:color="auto"/>
        <w:bottom w:val="none" w:sz="0" w:space="0" w:color="auto"/>
        <w:right w:val="none" w:sz="0" w:space="0" w:color="auto"/>
      </w:divBdr>
    </w:div>
    <w:div w:id="975452575">
      <w:bodyDiv w:val="1"/>
      <w:marLeft w:val="0"/>
      <w:marRight w:val="0"/>
      <w:marTop w:val="0"/>
      <w:marBottom w:val="0"/>
      <w:divBdr>
        <w:top w:val="none" w:sz="0" w:space="0" w:color="auto"/>
        <w:left w:val="none" w:sz="0" w:space="0" w:color="auto"/>
        <w:bottom w:val="none" w:sz="0" w:space="0" w:color="auto"/>
        <w:right w:val="none" w:sz="0" w:space="0" w:color="auto"/>
      </w:divBdr>
    </w:div>
    <w:div w:id="1064371914">
      <w:bodyDiv w:val="1"/>
      <w:marLeft w:val="0"/>
      <w:marRight w:val="0"/>
      <w:marTop w:val="0"/>
      <w:marBottom w:val="0"/>
      <w:divBdr>
        <w:top w:val="none" w:sz="0" w:space="0" w:color="auto"/>
        <w:left w:val="none" w:sz="0" w:space="0" w:color="auto"/>
        <w:bottom w:val="none" w:sz="0" w:space="0" w:color="auto"/>
        <w:right w:val="none" w:sz="0" w:space="0" w:color="auto"/>
      </w:divBdr>
    </w:div>
    <w:div w:id="1176070336">
      <w:bodyDiv w:val="1"/>
      <w:marLeft w:val="0"/>
      <w:marRight w:val="0"/>
      <w:marTop w:val="0"/>
      <w:marBottom w:val="0"/>
      <w:divBdr>
        <w:top w:val="none" w:sz="0" w:space="0" w:color="auto"/>
        <w:left w:val="none" w:sz="0" w:space="0" w:color="auto"/>
        <w:bottom w:val="none" w:sz="0" w:space="0" w:color="auto"/>
        <w:right w:val="none" w:sz="0" w:space="0" w:color="auto"/>
      </w:divBdr>
    </w:div>
    <w:div w:id="1196306442">
      <w:bodyDiv w:val="1"/>
      <w:marLeft w:val="0"/>
      <w:marRight w:val="0"/>
      <w:marTop w:val="0"/>
      <w:marBottom w:val="0"/>
      <w:divBdr>
        <w:top w:val="none" w:sz="0" w:space="0" w:color="auto"/>
        <w:left w:val="none" w:sz="0" w:space="0" w:color="auto"/>
        <w:bottom w:val="none" w:sz="0" w:space="0" w:color="auto"/>
        <w:right w:val="none" w:sz="0" w:space="0" w:color="auto"/>
      </w:divBdr>
    </w:div>
    <w:div w:id="1341615797">
      <w:bodyDiv w:val="1"/>
      <w:marLeft w:val="0"/>
      <w:marRight w:val="0"/>
      <w:marTop w:val="0"/>
      <w:marBottom w:val="0"/>
      <w:divBdr>
        <w:top w:val="none" w:sz="0" w:space="0" w:color="auto"/>
        <w:left w:val="none" w:sz="0" w:space="0" w:color="auto"/>
        <w:bottom w:val="none" w:sz="0" w:space="0" w:color="auto"/>
        <w:right w:val="none" w:sz="0" w:space="0" w:color="auto"/>
      </w:divBdr>
    </w:div>
    <w:div w:id="1603495972">
      <w:bodyDiv w:val="1"/>
      <w:marLeft w:val="0"/>
      <w:marRight w:val="0"/>
      <w:marTop w:val="0"/>
      <w:marBottom w:val="0"/>
      <w:divBdr>
        <w:top w:val="none" w:sz="0" w:space="0" w:color="auto"/>
        <w:left w:val="none" w:sz="0" w:space="0" w:color="auto"/>
        <w:bottom w:val="none" w:sz="0" w:space="0" w:color="auto"/>
        <w:right w:val="none" w:sz="0" w:space="0" w:color="auto"/>
      </w:divBdr>
    </w:div>
    <w:div w:id="1609236691">
      <w:bodyDiv w:val="1"/>
      <w:marLeft w:val="0"/>
      <w:marRight w:val="0"/>
      <w:marTop w:val="0"/>
      <w:marBottom w:val="0"/>
      <w:divBdr>
        <w:top w:val="none" w:sz="0" w:space="0" w:color="auto"/>
        <w:left w:val="none" w:sz="0" w:space="0" w:color="auto"/>
        <w:bottom w:val="none" w:sz="0" w:space="0" w:color="auto"/>
        <w:right w:val="none" w:sz="0" w:space="0" w:color="auto"/>
      </w:divBdr>
    </w:div>
    <w:div w:id="1638297600">
      <w:bodyDiv w:val="1"/>
      <w:marLeft w:val="0"/>
      <w:marRight w:val="0"/>
      <w:marTop w:val="0"/>
      <w:marBottom w:val="0"/>
      <w:divBdr>
        <w:top w:val="none" w:sz="0" w:space="0" w:color="auto"/>
        <w:left w:val="none" w:sz="0" w:space="0" w:color="auto"/>
        <w:bottom w:val="none" w:sz="0" w:space="0" w:color="auto"/>
        <w:right w:val="none" w:sz="0" w:space="0" w:color="auto"/>
      </w:divBdr>
    </w:div>
    <w:div w:id="1859852633">
      <w:bodyDiv w:val="1"/>
      <w:marLeft w:val="0"/>
      <w:marRight w:val="0"/>
      <w:marTop w:val="0"/>
      <w:marBottom w:val="0"/>
      <w:divBdr>
        <w:top w:val="none" w:sz="0" w:space="0" w:color="auto"/>
        <w:left w:val="none" w:sz="0" w:space="0" w:color="auto"/>
        <w:bottom w:val="none" w:sz="0" w:space="0" w:color="auto"/>
        <w:right w:val="none" w:sz="0" w:space="0" w:color="auto"/>
      </w:divBdr>
    </w:div>
    <w:div w:id="197560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box.etsi.org/Reference"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fao.org/sd/eidirect/climate/EIsp0002.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ortal.etsi.org/tb/status/status.asp"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etsi.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16</TotalTime>
  <Pages>22</Pages>
  <Words>4781</Words>
  <Characters>27254</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SKELETON</vt:lpstr>
      <vt:lpstr>SKELETON</vt:lpstr>
    </vt:vector>
  </TitlesOfParts>
  <Company>ETS Sophia Antipolis</Company>
  <LinksUpToDate>false</LinksUpToDate>
  <CharactersWithSpaces>31972</CharactersWithSpaces>
  <SharedDoc>false</SharedDoc>
  <HLinks>
    <vt:vector size="24" baseType="variant">
      <vt:variant>
        <vt:i4>1376287</vt:i4>
      </vt:variant>
      <vt:variant>
        <vt:i4>87</vt:i4>
      </vt:variant>
      <vt:variant>
        <vt:i4>0</vt:i4>
      </vt:variant>
      <vt:variant>
        <vt:i4>5</vt:i4>
      </vt:variant>
      <vt:variant>
        <vt:lpwstr>http://docbox.etsi.org/Reference</vt:lpwstr>
      </vt:variant>
      <vt:variant>
        <vt:lpwstr/>
      </vt: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Boldi Mauro Renato</cp:lastModifiedBy>
  <cp:revision>3</cp:revision>
  <cp:lastPrinted>2010-05-07T15:06:00Z</cp:lastPrinted>
  <dcterms:created xsi:type="dcterms:W3CDTF">2013-12-17T13:13:00Z</dcterms:created>
  <dcterms:modified xsi:type="dcterms:W3CDTF">2013-12-17T13:34:00Z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