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5725B0" w:rsidRDefault="00D54E12" w:rsidP="008B62E9">
      <w:pPr>
        <w:tabs>
          <w:tab w:val="left" w:pos="2127"/>
        </w:tabs>
        <w:spacing w:before="120"/>
        <w:ind w:left="2127" w:hanging="2127"/>
        <w:rPr>
          <w:b/>
          <w:sz w:val="24"/>
          <w:lang w:val="en-US"/>
        </w:rPr>
      </w:pPr>
      <w:r w:rsidRPr="005725B0">
        <w:rPr>
          <w:b/>
          <w:sz w:val="24"/>
          <w:lang w:val="en-US"/>
        </w:rPr>
        <w:t>Source:</w:t>
      </w:r>
      <w:r w:rsidRPr="005725B0">
        <w:rPr>
          <w:b/>
          <w:sz w:val="24"/>
          <w:lang w:val="en-US"/>
        </w:rPr>
        <w:tab/>
      </w:r>
      <w:r w:rsidR="00226BA0">
        <w:rPr>
          <w:b/>
          <w:sz w:val="24"/>
          <w:lang w:val="en-US"/>
        </w:rPr>
        <w:t>Audience, Inc.</w:t>
      </w:r>
    </w:p>
    <w:p w:rsidR="00D54E12" w:rsidRPr="005A39AF" w:rsidRDefault="00D54E12" w:rsidP="008B62E9">
      <w:pPr>
        <w:tabs>
          <w:tab w:val="left" w:pos="2127"/>
        </w:tabs>
        <w:ind w:left="2131" w:hanging="2131"/>
        <w:rPr>
          <w:b/>
          <w:sz w:val="24"/>
          <w:lang w:val="en-AU" w:eastAsia="zh-CN"/>
        </w:rPr>
      </w:pPr>
      <w:r w:rsidRPr="005725B0">
        <w:rPr>
          <w:b/>
          <w:sz w:val="24"/>
          <w:lang w:val="en-US"/>
        </w:rPr>
        <w:t>Title:</w:t>
      </w:r>
      <w:r w:rsidRPr="005725B0">
        <w:rPr>
          <w:b/>
          <w:sz w:val="24"/>
          <w:lang w:val="en-US"/>
        </w:rPr>
        <w:tab/>
      </w:r>
      <w:r w:rsidR="005854F1">
        <w:rPr>
          <w:rFonts w:cs="Arial"/>
          <w:b/>
          <w:lang w:val="en-US"/>
        </w:rPr>
        <w:t xml:space="preserve">Preliminary analysis of results of </w:t>
      </w:r>
      <w:r w:rsidR="00F05FF5">
        <w:rPr>
          <w:rFonts w:cs="Arial"/>
          <w:b/>
          <w:lang w:val="en-US"/>
        </w:rPr>
        <w:t>ANR round robin test</w:t>
      </w:r>
    </w:p>
    <w:p w:rsidR="00D54E12" w:rsidRPr="005725B0" w:rsidRDefault="00D54E12" w:rsidP="008B62E9">
      <w:pPr>
        <w:pStyle w:val="Heading2"/>
      </w:pPr>
      <w:r w:rsidRPr="005725B0">
        <w:t>Document for:</w:t>
      </w:r>
      <w:r w:rsidRPr="005725B0">
        <w:tab/>
      </w:r>
      <w:r w:rsidR="008B62E9">
        <w:t>Discussion</w:t>
      </w:r>
    </w:p>
    <w:p w:rsidR="00D54E12" w:rsidRPr="005725B0" w:rsidRDefault="00D54E12" w:rsidP="008B62E9">
      <w:pPr>
        <w:pStyle w:val="Heading2"/>
      </w:pPr>
      <w:r w:rsidRPr="005725B0">
        <w:t>Agenda Item:</w:t>
      </w:r>
      <w:r w:rsidRPr="005725B0">
        <w:tab/>
      </w:r>
      <w:r w:rsidR="005854F1">
        <w:t>9</w:t>
      </w:r>
    </w:p>
    <w:p w:rsidR="00D54E12" w:rsidRPr="005725B0" w:rsidRDefault="00D54E12">
      <w:pPr>
        <w:pBdr>
          <w:top w:val="single" w:sz="12" w:space="1" w:color="auto"/>
        </w:pBdr>
        <w:spacing w:after="0"/>
        <w:rPr>
          <w:sz w:val="20"/>
          <w:lang w:val="en-US"/>
        </w:rPr>
      </w:pPr>
    </w:p>
    <w:p w:rsidR="008B62E9" w:rsidRPr="00F05FF5" w:rsidRDefault="008B62E9" w:rsidP="00F05FF5">
      <w:pPr>
        <w:pStyle w:val="Heading"/>
        <w:numPr>
          <w:ilvl w:val="0"/>
          <w:numId w:val="9"/>
        </w:numPr>
        <w:tabs>
          <w:tab w:val="left" w:pos="709"/>
          <w:tab w:val="left" w:pos="6946"/>
        </w:tabs>
        <w:spacing w:before="120" w:after="0"/>
        <w:rPr>
          <w:color w:val="000000"/>
          <w:sz w:val="28"/>
          <w:szCs w:val="28"/>
          <w:lang w:val="en-US"/>
        </w:rPr>
      </w:pPr>
      <w:r w:rsidRPr="008B62E9">
        <w:rPr>
          <w:color w:val="000000"/>
          <w:sz w:val="28"/>
          <w:szCs w:val="28"/>
          <w:lang w:val="en-US"/>
        </w:rPr>
        <w:t>I</w:t>
      </w:r>
      <w:r w:rsidR="00F05FF5">
        <w:rPr>
          <w:color w:val="000000"/>
          <w:sz w:val="28"/>
          <w:szCs w:val="28"/>
          <w:lang w:val="en-US"/>
        </w:rPr>
        <w:t>ntroduction</w:t>
      </w:r>
    </w:p>
    <w:p w:rsidR="008B62E9" w:rsidRPr="00A75273" w:rsidRDefault="006A645A" w:rsidP="006A645A">
      <w:pPr>
        <w:spacing w:before="120"/>
        <w:jc w:val="both"/>
        <w:rPr>
          <w:rFonts w:cs="Arial"/>
          <w:szCs w:val="22"/>
          <w:lang w:val="en-US"/>
        </w:rPr>
      </w:pPr>
      <w:r>
        <w:t xml:space="preserve">Contributions </w:t>
      </w:r>
      <w:r w:rsidR="00F05FF5">
        <w:t xml:space="preserve">S4-110237 from Qualcomm [1], </w:t>
      </w:r>
      <w:r>
        <w:t>and S4-110395 from Audience [2] each presented results from those labs for measurements of SNRI according to ITU-T G.160 [3] undertaken as a round robin during the first half of 2011.  Details of the set-up and methods are described in [1, 2] and will not be reviewed in detail here.  Differences in methods that may affect results will be noted where necessary.</w:t>
      </w:r>
      <w:r w:rsidR="00BE6379">
        <w:t xml:space="preserve">  Additional results from Nokia have been provided </w:t>
      </w:r>
      <w:r w:rsidR="008B650F">
        <w:t>but are not included in this preliminary analysis, as it is believed that the points made below are adequate to address the near-term concerns.</w:t>
      </w:r>
    </w:p>
    <w:p w:rsidR="0051166B" w:rsidRDefault="00BE6379" w:rsidP="0051166B">
      <w:pPr>
        <w:pStyle w:val="Heading"/>
        <w:numPr>
          <w:ilvl w:val="0"/>
          <w:numId w:val="9"/>
        </w:numPr>
        <w:tabs>
          <w:tab w:val="left" w:pos="709"/>
          <w:tab w:val="left" w:pos="6840"/>
        </w:tabs>
        <w:spacing w:before="240"/>
        <w:ind w:left="418" w:hanging="418"/>
        <w:rPr>
          <w:color w:val="000000"/>
          <w:sz w:val="28"/>
          <w:szCs w:val="28"/>
          <w:lang w:val="en-US"/>
        </w:rPr>
      </w:pPr>
      <w:r>
        <w:rPr>
          <w:color w:val="000000"/>
          <w:sz w:val="28"/>
          <w:szCs w:val="28"/>
          <w:lang w:val="en-US"/>
        </w:rPr>
        <w:t>Inter-laboratory consistency</w:t>
      </w:r>
    </w:p>
    <w:p w:rsidR="0051166B" w:rsidRDefault="00BE6379" w:rsidP="0051166B">
      <w:pPr>
        <w:autoSpaceDE w:val="0"/>
        <w:autoSpaceDN w:val="0"/>
        <w:adjustRightInd w:val="0"/>
      </w:pPr>
      <w:r>
        <w:t>The main goal of a round robin is to demonstrate inter-laboratory consistency in a proposed test method.  Informal review comparing results from [1, 2] in SQ at SA4#64 included a scatter plot of the data from the two laboratories, shown in Figure 1.</w:t>
      </w:r>
    </w:p>
    <w:p w:rsidR="00BE6379" w:rsidRDefault="00182CFB" w:rsidP="00182CFB">
      <w:pPr>
        <w:autoSpaceDE w:val="0"/>
        <w:autoSpaceDN w:val="0"/>
        <w:adjustRightInd w:val="0"/>
        <w:jc w:val="center"/>
      </w:pPr>
      <w:r w:rsidRPr="00182CFB">
        <w:drawing>
          <wp:inline distT="0" distB="0" distL="0" distR="0">
            <wp:extent cx="4223340" cy="3870530"/>
            <wp:effectExtent l="19050" t="0" r="576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226722" cy="3873630"/>
                    </a:xfrm>
                    <a:prstGeom prst="rect">
                      <a:avLst/>
                    </a:prstGeom>
                    <a:noFill/>
                    <a:ln w="9525">
                      <a:noFill/>
                      <a:miter lim="800000"/>
                      <a:headEnd/>
                      <a:tailEnd/>
                    </a:ln>
                  </pic:spPr>
                </pic:pic>
              </a:graphicData>
            </a:graphic>
          </wp:inline>
        </w:drawing>
      </w:r>
    </w:p>
    <w:p w:rsidR="00182CFB" w:rsidRDefault="00182CFB" w:rsidP="00BA56C3">
      <w:pPr>
        <w:autoSpaceDE w:val="0"/>
        <w:autoSpaceDN w:val="0"/>
        <w:adjustRightInd w:val="0"/>
        <w:ind w:left="720"/>
      </w:pPr>
      <w:r>
        <w:t>Fig. 1</w:t>
      </w:r>
      <w:r w:rsidR="00BA56C3">
        <w:t>:</w:t>
      </w:r>
      <w:r>
        <w:t xml:space="preserve">  Scatter plot of SNRI results from Qualc</w:t>
      </w:r>
      <w:r w:rsidR="00BA56C3">
        <w:t>omm “Q” [1] plotted on abscissa, versus SNRI results from</w:t>
      </w:r>
      <w:r>
        <w:t xml:space="preserve"> Audience</w:t>
      </w:r>
      <w:r w:rsidR="00BA56C3">
        <w:t xml:space="preserve"> “A”</w:t>
      </w:r>
      <w:r>
        <w:t xml:space="preserve"> [2] plotted on ordinate.  Different colors are used for each device in the test.  The symbol ‘x’ denotes results for speech signal ANR and the symbol ‘+’ denotes results for speech signal ANR2 [See 1 for details].</w:t>
      </w:r>
      <w:r w:rsidR="00BA56C3">
        <w:t xml:space="preserve">  The green dashed line shows the best linear fit, with correlation 0.86.</w:t>
      </w:r>
    </w:p>
    <w:p w:rsidR="00BA56C3" w:rsidRPr="0051166B" w:rsidRDefault="00BA56C3" w:rsidP="00BA56C3">
      <w:pPr>
        <w:autoSpaceDE w:val="0"/>
        <w:autoSpaceDN w:val="0"/>
        <w:adjustRightInd w:val="0"/>
      </w:pPr>
      <w:r>
        <w:t xml:space="preserve">These fairly large scatter seen in Figure 1 was indicative of relatively large inter-laboratory differences.  Differences in method noted in discussion at SA#64 included:  use of anechoic chamber [1] versus semi-reverberant room according to ETSI EG 202 396-1 [2]; positioning of </w:t>
      </w:r>
      <w:r>
        <w:lastRenderedPageBreak/>
        <w:t xml:space="preserve">device under test (DUT) at endstop 10mm [1] versus positioning of DUT in standard position according to ITU-T P.64 [2].  </w:t>
      </w:r>
      <w:r w:rsidR="00527579">
        <w:t xml:space="preserve">Further analysis revealed both similarities and differences in the recorded signals.  </w:t>
      </w:r>
    </w:p>
    <w:p w:rsidR="00527579" w:rsidRPr="00527579" w:rsidRDefault="0051166B" w:rsidP="00527579">
      <w:pPr>
        <w:pStyle w:val="Heading"/>
        <w:tabs>
          <w:tab w:val="left" w:pos="709"/>
          <w:tab w:val="left" w:pos="6840"/>
        </w:tabs>
        <w:spacing w:before="240"/>
        <w:ind w:left="0" w:firstLine="0"/>
        <w:rPr>
          <w:color w:val="000000"/>
          <w:sz w:val="24"/>
          <w:szCs w:val="24"/>
          <w:lang w:val="en-US"/>
        </w:rPr>
      </w:pPr>
      <w:r w:rsidRPr="0051166B">
        <w:rPr>
          <w:color w:val="000000"/>
          <w:sz w:val="24"/>
          <w:szCs w:val="24"/>
          <w:lang w:val="en-US"/>
        </w:rPr>
        <w:t xml:space="preserve">2.1 </w:t>
      </w:r>
      <w:r w:rsidR="00527579">
        <w:rPr>
          <w:color w:val="000000"/>
          <w:sz w:val="24"/>
          <w:szCs w:val="24"/>
          <w:lang w:val="en-US"/>
        </w:rPr>
        <w:t>Consistency for individual devices</w:t>
      </w:r>
    </w:p>
    <w:p w:rsidR="0030312E" w:rsidRDefault="00527579" w:rsidP="0030312E">
      <w:pPr>
        <w:rPr>
          <w:lang w:val="en-US"/>
        </w:rPr>
      </w:pPr>
      <w:r>
        <w:rPr>
          <w:lang w:val="en-US"/>
        </w:rPr>
        <w:t xml:space="preserve">Examination of the scatter plot in Figure 1 leads to the question of inter-laboratory consistency for individual devices.  Table 1 shows the correlation coefficients for comparing the SNRI results from the two labs for each </w:t>
      </w:r>
      <w:r w:rsidR="00032F30">
        <w:rPr>
          <w:lang w:val="en-US"/>
        </w:rPr>
        <w:t>device in the tests (results ranked from low to high).</w:t>
      </w:r>
    </w:p>
    <w:p w:rsidR="00032F05" w:rsidRDefault="00032F05" w:rsidP="00032F05">
      <w:pPr>
        <w:pStyle w:val="Caption"/>
        <w:keepNext/>
        <w:jc w:val="both"/>
      </w:pPr>
      <w:r>
        <w:t>Table 1 – Inter-lab correlation of SNRI for each device:</w:t>
      </w:r>
    </w:p>
    <w:tbl>
      <w:tblPr>
        <w:tblStyle w:val="TableGrid"/>
        <w:tblW w:w="0" w:type="auto"/>
        <w:jc w:val="center"/>
        <w:tblLook w:val="04A0"/>
      </w:tblPr>
      <w:tblGrid>
        <w:gridCol w:w="994"/>
        <w:gridCol w:w="1195"/>
      </w:tblGrid>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DUT ID</w:t>
            </w:r>
          </w:p>
        </w:tc>
        <w:tc>
          <w:tcPr>
            <w:tcW w:w="1195" w:type="dxa"/>
            <w:vAlign w:val="center"/>
          </w:tcPr>
          <w:p w:rsidR="00032F05" w:rsidRPr="00032F05" w:rsidRDefault="00032F05" w:rsidP="00032F05">
            <w:pPr>
              <w:jc w:val="center"/>
              <w:rPr>
                <w:rFonts w:cs="Arial"/>
                <w:sz w:val="20"/>
                <w:lang w:val="en-US"/>
              </w:rPr>
            </w:pPr>
            <w:r>
              <w:rPr>
                <w:rFonts w:cs="Arial"/>
                <w:sz w:val="20"/>
                <w:lang w:val="en-US"/>
              </w:rPr>
              <w:t>Correlation coefficient</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25</w:t>
            </w:r>
          </w:p>
        </w:tc>
        <w:tc>
          <w:tcPr>
            <w:tcW w:w="1195" w:type="dxa"/>
            <w:vAlign w:val="center"/>
          </w:tcPr>
          <w:p w:rsidR="00032F05" w:rsidRPr="00032F05" w:rsidRDefault="00032F05" w:rsidP="00032F05">
            <w:pPr>
              <w:jc w:val="center"/>
              <w:rPr>
                <w:rFonts w:cs="Arial"/>
                <w:sz w:val="20"/>
                <w:lang w:val="en-US"/>
              </w:rPr>
            </w:pPr>
            <w:r>
              <w:rPr>
                <w:rFonts w:cs="Arial"/>
                <w:sz w:val="20"/>
                <w:lang w:val="en-US"/>
              </w:rPr>
              <w:t>0.077</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18</w:t>
            </w:r>
          </w:p>
        </w:tc>
        <w:tc>
          <w:tcPr>
            <w:tcW w:w="1195" w:type="dxa"/>
            <w:vAlign w:val="center"/>
          </w:tcPr>
          <w:p w:rsidR="00032F05" w:rsidRPr="00032F05" w:rsidRDefault="00032F05" w:rsidP="00032F05">
            <w:pPr>
              <w:jc w:val="center"/>
              <w:rPr>
                <w:rFonts w:cs="Arial"/>
                <w:sz w:val="20"/>
                <w:lang w:val="en-US"/>
              </w:rPr>
            </w:pPr>
            <w:r>
              <w:rPr>
                <w:rFonts w:cs="Arial"/>
                <w:sz w:val="20"/>
                <w:lang w:val="en-US"/>
              </w:rPr>
              <w:t>0.469</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104</w:t>
            </w:r>
          </w:p>
        </w:tc>
        <w:tc>
          <w:tcPr>
            <w:tcW w:w="1195" w:type="dxa"/>
            <w:vAlign w:val="center"/>
          </w:tcPr>
          <w:p w:rsidR="00032F05" w:rsidRPr="00032F05" w:rsidRDefault="00032F05" w:rsidP="00032F05">
            <w:pPr>
              <w:jc w:val="center"/>
              <w:rPr>
                <w:rFonts w:cs="Arial"/>
                <w:sz w:val="20"/>
                <w:lang w:val="en-US"/>
              </w:rPr>
            </w:pPr>
            <w:r>
              <w:rPr>
                <w:rFonts w:cs="Arial"/>
                <w:sz w:val="20"/>
                <w:lang w:val="en-US"/>
              </w:rPr>
              <w:t>0.720</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103</w:t>
            </w:r>
          </w:p>
        </w:tc>
        <w:tc>
          <w:tcPr>
            <w:tcW w:w="1195" w:type="dxa"/>
            <w:vAlign w:val="center"/>
          </w:tcPr>
          <w:p w:rsidR="00032F05" w:rsidRPr="00032F05" w:rsidRDefault="00032F05" w:rsidP="00032F05">
            <w:pPr>
              <w:jc w:val="center"/>
              <w:rPr>
                <w:rFonts w:cs="Arial"/>
                <w:sz w:val="20"/>
                <w:lang w:val="en-US"/>
              </w:rPr>
            </w:pPr>
            <w:r>
              <w:rPr>
                <w:rFonts w:cs="Arial"/>
                <w:sz w:val="20"/>
                <w:lang w:val="en-US"/>
              </w:rPr>
              <w:t>0.825</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105</w:t>
            </w:r>
          </w:p>
        </w:tc>
        <w:tc>
          <w:tcPr>
            <w:tcW w:w="1195" w:type="dxa"/>
            <w:vAlign w:val="center"/>
          </w:tcPr>
          <w:p w:rsidR="00032F05" w:rsidRPr="00032F05" w:rsidRDefault="00032F05" w:rsidP="00032F05">
            <w:pPr>
              <w:jc w:val="center"/>
              <w:rPr>
                <w:rFonts w:cs="Arial"/>
                <w:sz w:val="20"/>
                <w:lang w:val="en-US"/>
              </w:rPr>
            </w:pPr>
            <w:r>
              <w:rPr>
                <w:rFonts w:cs="Arial"/>
                <w:sz w:val="20"/>
                <w:lang w:val="en-US"/>
              </w:rPr>
              <w:t>0.870</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102</w:t>
            </w:r>
          </w:p>
        </w:tc>
        <w:tc>
          <w:tcPr>
            <w:tcW w:w="1195" w:type="dxa"/>
            <w:vAlign w:val="center"/>
          </w:tcPr>
          <w:p w:rsidR="00032F05" w:rsidRPr="00032F05" w:rsidRDefault="00032F05" w:rsidP="00032F05">
            <w:pPr>
              <w:jc w:val="center"/>
              <w:rPr>
                <w:rFonts w:cs="Arial"/>
                <w:sz w:val="20"/>
                <w:lang w:val="en-US"/>
              </w:rPr>
            </w:pPr>
            <w:r>
              <w:rPr>
                <w:rFonts w:cs="Arial"/>
                <w:sz w:val="20"/>
                <w:lang w:val="en-US"/>
              </w:rPr>
              <w:t>0.873</w:t>
            </w:r>
          </w:p>
        </w:tc>
      </w:tr>
      <w:tr w:rsidR="00032F05" w:rsidRPr="00032F05" w:rsidTr="00032F05">
        <w:trPr>
          <w:jc w:val="center"/>
        </w:trPr>
        <w:tc>
          <w:tcPr>
            <w:tcW w:w="994" w:type="dxa"/>
            <w:vAlign w:val="center"/>
          </w:tcPr>
          <w:p w:rsidR="00032F05" w:rsidRPr="00032F05" w:rsidRDefault="00032F05" w:rsidP="00032F05">
            <w:pPr>
              <w:jc w:val="center"/>
              <w:rPr>
                <w:rFonts w:cs="Arial"/>
                <w:sz w:val="20"/>
                <w:lang w:val="en-US"/>
              </w:rPr>
            </w:pPr>
            <w:r>
              <w:rPr>
                <w:rFonts w:cs="Arial"/>
                <w:sz w:val="20"/>
                <w:lang w:val="en-US"/>
              </w:rPr>
              <w:t>101</w:t>
            </w:r>
          </w:p>
        </w:tc>
        <w:tc>
          <w:tcPr>
            <w:tcW w:w="1195" w:type="dxa"/>
            <w:vAlign w:val="center"/>
          </w:tcPr>
          <w:p w:rsidR="00032F05" w:rsidRPr="00032F05" w:rsidRDefault="00032F05" w:rsidP="00032F05">
            <w:pPr>
              <w:jc w:val="center"/>
              <w:rPr>
                <w:rFonts w:cs="Arial"/>
                <w:sz w:val="20"/>
                <w:lang w:val="en-US"/>
              </w:rPr>
            </w:pPr>
            <w:r>
              <w:rPr>
                <w:rFonts w:cs="Arial"/>
                <w:sz w:val="20"/>
                <w:lang w:val="en-US"/>
              </w:rPr>
              <w:t>0.889</w:t>
            </w:r>
          </w:p>
        </w:tc>
      </w:tr>
      <w:tr w:rsidR="00032F05" w:rsidRPr="00032F05" w:rsidTr="00032F05">
        <w:trPr>
          <w:jc w:val="center"/>
        </w:trPr>
        <w:tc>
          <w:tcPr>
            <w:tcW w:w="994" w:type="dxa"/>
            <w:vAlign w:val="center"/>
          </w:tcPr>
          <w:p w:rsidR="00032F05" w:rsidRDefault="00032F05" w:rsidP="00032F05">
            <w:pPr>
              <w:jc w:val="center"/>
              <w:rPr>
                <w:rFonts w:cs="Arial"/>
                <w:sz w:val="20"/>
                <w:lang w:val="en-US"/>
              </w:rPr>
            </w:pPr>
            <w:r>
              <w:rPr>
                <w:rFonts w:cs="Arial"/>
                <w:sz w:val="20"/>
                <w:lang w:val="en-US"/>
              </w:rPr>
              <w:t>27</w:t>
            </w:r>
          </w:p>
        </w:tc>
        <w:tc>
          <w:tcPr>
            <w:tcW w:w="1195" w:type="dxa"/>
            <w:vAlign w:val="center"/>
          </w:tcPr>
          <w:p w:rsidR="00032F05" w:rsidRPr="00032F05" w:rsidRDefault="00032F05" w:rsidP="00032F05">
            <w:pPr>
              <w:jc w:val="center"/>
              <w:rPr>
                <w:rFonts w:cs="Arial"/>
                <w:sz w:val="20"/>
                <w:lang w:val="en-US"/>
              </w:rPr>
            </w:pPr>
            <w:r>
              <w:rPr>
                <w:rFonts w:cs="Arial"/>
                <w:sz w:val="20"/>
                <w:lang w:val="en-US"/>
              </w:rPr>
              <w:t>0.914</w:t>
            </w:r>
          </w:p>
        </w:tc>
      </w:tr>
      <w:tr w:rsidR="00032F05" w:rsidRPr="00032F05" w:rsidTr="00032F05">
        <w:trPr>
          <w:jc w:val="center"/>
        </w:trPr>
        <w:tc>
          <w:tcPr>
            <w:tcW w:w="994" w:type="dxa"/>
            <w:vAlign w:val="center"/>
          </w:tcPr>
          <w:p w:rsidR="00032F05" w:rsidRDefault="00032F05" w:rsidP="00032F05">
            <w:pPr>
              <w:jc w:val="center"/>
              <w:rPr>
                <w:rFonts w:cs="Arial"/>
                <w:sz w:val="20"/>
                <w:lang w:val="en-US"/>
              </w:rPr>
            </w:pPr>
            <w:r>
              <w:rPr>
                <w:rFonts w:cs="Arial"/>
                <w:sz w:val="20"/>
                <w:lang w:val="en-US"/>
              </w:rPr>
              <w:t>100</w:t>
            </w:r>
          </w:p>
        </w:tc>
        <w:tc>
          <w:tcPr>
            <w:tcW w:w="1195" w:type="dxa"/>
            <w:vAlign w:val="center"/>
          </w:tcPr>
          <w:p w:rsidR="00032F05" w:rsidRPr="00032F05" w:rsidRDefault="00032F05" w:rsidP="00032F05">
            <w:pPr>
              <w:jc w:val="center"/>
              <w:rPr>
                <w:rFonts w:cs="Arial"/>
                <w:sz w:val="20"/>
                <w:lang w:val="en-US"/>
              </w:rPr>
            </w:pPr>
            <w:r>
              <w:rPr>
                <w:rFonts w:cs="Arial"/>
                <w:sz w:val="20"/>
                <w:lang w:val="en-US"/>
              </w:rPr>
              <w:t>0.985</w:t>
            </w:r>
          </w:p>
        </w:tc>
      </w:tr>
    </w:tbl>
    <w:p w:rsidR="00032F05" w:rsidRPr="00032F05" w:rsidRDefault="00032F05" w:rsidP="00032F05">
      <w:pPr>
        <w:jc w:val="center"/>
        <w:rPr>
          <w:rFonts w:cs="Arial"/>
          <w:sz w:val="20"/>
          <w:lang w:val="en-US"/>
        </w:rPr>
      </w:pPr>
    </w:p>
    <w:p w:rsidR="00527579" w:rsidRDefault="00032F05" w:rsidP="0030312E">
      <w:pPr>
        <w:rPr>
          <w:lang w:val="en-US"/>
        </w:rPr>
      </w:pPr>
      <w:r>
        <w:rPr>
          <w:lang w:val="en-US"/>
        </w:rPr>
        <w:t>The correlation coefficients range from a low of 0.077 to a high of 0.985, indicating a strong dependency of correlation on the specific device.  To further illustrate this result, scatter plots of SNRI for devices 25 (least correlated) and 100 (best correlated) are shown in Figure</w:t>
      </w:r>
      <w:r w:rsidR="00E43C90">
        <w:rPr>
          <w:lang w:val="en-US"/>
        </w:rPr>
        <w:t>s 2 and 3.</w:t>
      </w:r>
    </w:p>
    <w:p w:rsidR="00032F05" w:rsidRDefault="00E43C90" w:rsidP="00E43C90">
      <w:pPr>
        <w:jc w:val="center"/>
        <w:rPr>
          <w:lang w:val="en-US"/>
        </w:rPr>
      </w:pPr>
      <w:r w:rsidRPr="00E43C90">
        <w:rPr>
          <w:lang w:val="en-US"/>
        </w:rPr>
        <w:drawing>
          <wp:inline distT="0" distB="0" distL="0" distR="0">
            <wp:extent cx="3705225" cy="3390900"/>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9" cstate="print"/>
                    <a:srcRect/>
                    <a:stretch>
                      <a:fillRect/>
                    </a:stretch>
                  </pic:blipFill>
                  <pic:spPr bwMode="auto">
                    <a:xfrm>
                      <a:off x="0" y="0"/>
                      <a:ext cx="3705225" cy="3390900"/>
                    </a:xfrm>
                    <a:prstGeom prst="rect">
                      <a:avLst/>
                    </a:prstGeom>
                    <a:noFill/>
                    <a:ln w="9525">
                      <a:noFill/>
                      <a:miter lim="800000"/>
                      <a:headEnd/>
                      <a:tailEnd/>
                    </a:ln>
                  </pic:spPr>
                </pic:pic>
              </a:graphicData>
            </a:graphic>
          </wp:inline>
        </w:drawing>
      </w:r>
    </w:p>
    <w:p w:rsidR="00E43C90" w:rsidRDefault="00E43C90" w:rsidP="00E43C90">
      <w:pPr>
        <w:autoSpaceDE w:val="0"/>
        <w:autoSpaceDN w:val="0"/>
        <w:adjustRightInd w:val="0"/>
        <w:ind w:left="720"/>
      </w:pPr>
      <w:r>
        <w:t>Fig. 2:  Scatter plot of SNRI results for DUT 25, arrangement as in Fig 1. Correlation coefficient given in Table 1.</w:t>
      </w:r>
    </w:p>
    <w:p w:rsidR="00E43C90" w:rsidRDefault="00E43C90" w:rsidP="00E43C90">
      <w:pPr>
        <w:autoSpaceDE w:val="0"/>
        <w:autoSpaceDN w:val="0"/>
        <w:adjustRightInd w:val="0"/>
        <w:jc w:val="center"/>
      </w:pPr>
      <w:r w:rsidRPr="00E43C90">
        <w:lastRenderedPageBreak/>
        <w:drawing>
          <wp:inline distT="0" distB="0" distL="0" distR="0">
            <wp:extent cx="3705225" cy="3390900"/>
            <wp:effectExtent l="19050" t="0" r="9525" b="0"/>
            <wp:docPr id="4" name="Picture 2"/>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0" cstate="print"/>
                    <a:srcRect/>
                    <a:stretch>
                      <a:fillRect/>
                    </a:stretch>
                  </pic:blipFill>
                  <pic:spPr bwMode="auto">
                    <a:xfrm>
                      <a:off x="0" y="0"/>
                      <a:ext cx="3705225" cy="3390900"/>
                    </a:xfrm>
                    <a:prstGeom prst="rect">
                      <a:avLst/>
                    </a:prstGeom>
                    <a:noFill/>
                    <a:ln w="9525">
                      <a:noFill/>
                      <a:miter lim="800000"/>
                      <a:headEnd/>
                      <a:tailEnd/>
                    </a:ln>
                  </pic:spPr>
                </pic:pic>
              </a:graphicData>
            </a:graphic>
          </wp:inline>
        </w:drawing>
      </w:r>
    </w:p>
    <w:p w:rsidR="00E43C90" w:rsidRDefault="00E43C90" w:rsidP="007D09F0">
      <w:pPr>
        <w:autoSpaceDE w:val="0"/>
        <w:autoSpaceDN w:val="0"/>
        <w:adjustRightInd w:val="0"/>
        <w:ind w:left="720"/>
      </w:pPr>
      <w:r>
        <w:t>Fig. 3:  Scatter plot of SNRI results for DUT 100, arrangement as in Fig 1.</w:t>
      </w:r>
      <w:r w:rsidRPr="00E43C90">
        <w:t xml:space="preserve"> </w:t>
      </w:r>
      <w:r>
        <w:t>Correlation coefficient given in Table 1.</w:t>
      </w:r>
    </w:p>
    <w:p w:rsidR="00E43C90" w:rsidRPr="007D09F0" w:rsidRDefault="008F05F5" w:rsidP="007D09F0">
      <w:pPr>
        <w:autoSpaceDE w:val="0"/>
        <w:autoSpaceDN w:val="0"/>
        <w:adjustRightInd w:val="0"/>
      </w:pPr>
      <w:r>
        <w:t>The large range of consistency encouraged a further examination of the differences in the recordings from the two laboratories.</w:t>
      </w:r>
    </w:p>
    <w:p w:rsidR="0051166B" w:rsidRDefault="0051166B" w:rsidP="0051166B">
      <w:pPr>
        <w:pStyle w:val="Heading2"/>
        <w:ind w:left="0" w:firstLine="0"/>
        <w:jc w:val="both"/>
        <w:rPr>
          <w:rFonts w:cs="Arial"/>
        </w:rPr>
      </w:pPr>
      <w:r>
        <w:rPr>
          <w:rFonts w:cs="Arial"/>
        </w:rPr>
        <w:t>2.2</w:t>
      </w:r>
      <w:r w:rsidR="00B66D36">
        <w:rPr>
          <w:rFonts w:cs="Arial"/>
        </w:rPr>
        <w:t xml:space="preserve"> </w:t>
      </w:r>
      <w:r w:rsidR="007D09F0">
        <w:rPr>
          <w:rFonts w:cs="Arial"/>
        </w:rPr>
        <w:t>Differences in crest factor</w:t>
      </w:r>
    </w:p>
    <w:p w:rsidR="007D09F0" w:rsidRDefault="007D09F0" w:rsidP="007D09F0">
      <w:pPr>
        <w:autoSpaceDE w:val="0"/>
        <w:autoSpaceDN w:val="0"/>
        <w:adjustRightInd w:val="0"/>
      </w:pPr>
      <w:r>
        <w:t>Differences in crest factor of the recordings taken at the output of the network simulator were observed.  It was noted that the crest factor for recordings from [2] were often less than those from [1].  Figure 4 plots, for both labs, the crest factor for each device (left-hand vertical axis), along with the R</w:t>
      </w:r>
      <w:r w:rsidRPr="007D09F0">
        <w:rPr>
          <w:vertAlign w:val="superscript"/>
        </w:rPr>
        <w:t>2</w:t>
      </w:r>
      <w:r>
        <w:t xml:space="preserve"> value for each device (right-hand vertical axis).  Results are ordered, left to right, with increasing R</w:t>
      </w:r>
      <w:r w:rsidRPr="007D09F0">
        <w:rPr>
          <w:vertAlign w:val="superscript"/>
        </w:rPr>
        <w:t>2</w:t>
      </w:r>
      <w:r>
        <w:t xml:space="preserve"> value.</w:t>
      </w:r>
    </w:p>
    <w:p w:rsidR="007D09F0" w:rsidRDefault="007D09F0" w:rsidP="007D09F0">
      <w:pPr>
        <w:autoSpaceDE w:val="0"/>
        <w:autoSpaceDN w:val="0"/>
        <w:adjustRightInd w:val="0"/>
      </w:pPr>
      <w:r w:rsidRPr="007D09F0">
        <w:drawing>
          <wp:inline distT="0" distB="0" distL="0" distR="0">
            <wp:extent cx="5936615" cy="3351397"/>
            <wp:effectExtent l="19050" t="0" r="26035" b="1403"/>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D09F0" w:rsidRDefault="007D09F0" w:rsidP="007D09F0">
      <w:pPr>
        <w:autoSpaceDE w:val="0"/>
        <w:autoSpaceDN w:val="0"/>
        <w:adjustRightInd w:val="0"/>
        <w:ind w:left="720"/>
      </w:pPr>
      <w:r>
        <w:t>Fig. 4:  Plot of crest factor (left-hand vertical axis),</w:t>
      </w:r>
      <w:r w:rsidRPr="007D09F0">
        <w:t xml:space="preserve"> </w:t>
      </w:r>
      <w:r>
        <w:t xml:space="preserve">denoted </w:t>
      </w:r>
      <w:r w:rsidR="00445FCC">
        <w:t>‘</w:t>
      </w:r>
      <w:r>
        <w:t>Q</w:t>
      </w:r>
      <w:r w:rsidR="00445FCC">
        <w:t xml:space="preserve">’ </w:t>
      </w:r>
      <w:r>
        <w:t xml:space="preserve">[1] and </w:t>
      </w:r>
      <w:r w:rsidR="00445FCC">
        <w:t>‘</w:t>
      </w:r>
      <w:r>
        <w:t>A</w:t>
      </w:r>
      <w:r w:rsidR="00445FCC">
        <w:t xml:space="preserve">’ </w:t>
      </w:r>
      <w:r>
        <w:t>[2], and R</w:t>
      </w:r>
      <w:r w:rsidRPr="005D6D57">
        <w:rPr>
          <w:vertAlign w:val="superscript"/>
        </w:rPr>
        <w:t>2</w:t>
      </w:r>
      <w:r>
        <w:t xml:space="preserve"> (right-hand vertical axis), for each device in the test.</w:t>
      </w:r>
    </w:p>
    <w:p w:rsidR="00CA5506" w:rsidRDefault="005D6D57" w:rsidP="00CA5506">
      <w:pPr>
        <w:autoSpaceDE w:val="0"/>
        <w:autoSpaceDN w:val="0"/>
        <w:adjustRightInd w:val="0"/>
      </w:pPr>
      <w:r>
        <w:lastRenderedPageBreak/>
        <w:t>Examination of Figure 4 suggests that the difference in crest factor may be related to the R</w:t>
      </w:r>
      <w:r w:rsidRPr="005D6D57">
        <w:rPr>
          <w:vertAlign w:val="superscript"/>
        </w:rPr>
        <w:t>2</w:t>
      </w:r>
      <w:r>
        <w:t>, with low crest factor difference associated more with higher R</w:t>
      </w:r>
      <w:r w:rsidRPr="005D6D57">
        <w:rPr>
          <w:vertAlign w:val="superscript"/>
        </w:rPr>
        <w:t>2</w:t>
      </w:r>
      <w:r>
        <w:t>.  Figure 5 shows a scatter plot of R</w:t>
      </w:r>
      <w:r w:rsidRPr="005D6D57">
        <w:rPr>
          <w:vertAlign w:val="superscript"/>
        </w:rPr>
        <w:t>2</w:t>
      </w:r>
      <w:r>
        <w:t xml:space="preserve"> versus difference in crest factor.</w:t>
      </w:r>
    </w:p>
    <w:p w:rsidR="005D6D57" w:rsidRDefault="005D6D57" w:rsidP="005D6D57">
      <w:pPr>
        <w:autoSpaceDE w:val="0"/>
        <w:autoSpaceDN w:val="0"/>
        <w:adjustRightInd w:val="0"/>
        <w:jc w:val="center"/>
      </w:pPr>
      <w:r w:rsidRPr="005D6D57">
        <w:drawing>
          <wp:inline distT="0" distB="0" distL="0" distR="0">
            <wp:extent cx="5162550" cy="4333876"/>
            <wp:effectExtent l="19050" t="0" r="19050" b="9524"/>
            <wp:docPr id="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D6D57" w:rsidRDefault="005D6D57" w:rsidP="005D6D57">
      <w:pPr>
        <w:autoSpaceDE w:val="0"/>
        <w:autoSpaceDN w:val="0"/>
        <w:adjustRightInd w:val="0"/>
        <w:ind w:left="720"/>
      </w:pPr>
      <w:r>
        <w:t>Fig. 5:  Scatter plot of inter-lab SNRI R</w:t>
      </w:r>
      <w:r w:rsidRPr="005D6D57">
        <w:rPr>
          <w:vertAlign w:val="superscript"/>
        </w:rPr>
        <w:t xml:space="preserve">2 </w:t>
      </w:r>
      <w:r>
        <w:t>versus difference in crest factor (CF).  The dashed line shows linear regression, with coefficients and R</w:t>
      </w:r>
      <w:r w:rsidRPr="005D6D57">
        <w:rPr>
          <w:vertAlign w:val="superscript"/>
        </w:rPr>
        <w:t xml:space="preserve">2 </w:t>
      </w:r>
      <w:r>
        <w:t>of fit included in the legend.</w:t>
      </w:r>
      <w:r w:rsidR="0049029B">
        <w:t xml:space="preserve">  Symbols are labelled with device number.  Round symbols are for 2-mic noise suppressors; diamond symbols are for 1-mic noise suppressors.  Red-filled symbols are for wideband devices; blue-filled symbols are for narrow band devices.</w:t>
      </w:r>
    </w:p>
    <w:p w:rsidR="007D09F0" w:rsidRPr="005D6D57" w:rsidRDefault="005D6D57" w:rsidP="005D6D57">
      <w:pPr>
        <w:autoSpaceDE w:val="0"/>
        <w:autoSpaceDN w:val="0"/>
        <w:adjustRightInd w:val="0"/>
      </w:pPr>
      <w:r>
        <w:t>There is reasonably good association of R</w:t>
      </w:r>
      <w:r w:rsidRPr="005D6D57">
        <w:rPr>
          <w:vertAlign w:val="superscript"/>
        </w:rPr>
        <w:t>2</w:t>
      </w:r>
      <w:r>
        <w:t xml:space="preserve"> for inter-lab SNRI with the inter-lab difference in crest factor.   Note that there is no </w:t>
      </w:r>
      <w:r w:rsidR="00A0642B">
        <w:t>obvious</w:t>
      </w:r>
      <w:r>
        <w:t xml:space="preserve"> pattern for narrow-band (blue-filled symbols) or wide-band (red-filled symbols</w:t>
      </w:r>
      <w:r w:rsidR="00A0642B">
        <w:t xml:space="preserve">) devices.  Neither is there an obvious </w:t>
      </w:r>
      <w:r>
        <w:t>pattern for 2-microphone (round symbols) or 1-microphone (diamond symbols) noise suppressors.</w:t>
      </w:r>
    </w:p>
    <w:p w:rsidR="0051166B" w:rsidRDefault="00B66D36" w:rsidP="005469A2">
      <w:pPr>
        <w:pStyle w:val="Heading2"/>
        <w:spacing w:before="240"/>
        <w:ind w:left="0" w:firstLine="0"/>
        <w:jc w:val="both"/>
        <w:rPr>
          <w:rFonts w:cs="Arial"/>
        </w:rPr>
      </w:pPr>
      <w:proofErr w:type="gramStart"/>
      <w:r>
        <w:rPr>
          <w:rFonts w:cs="Arial"/>
        </w:rPr>
        <w:t xml:space="preserve">2.3  </w:t>
      </w:r>
      <w:r w:rsidR="005D6D57">
        <w:rPr>
          <w:rFonts w:cs="Arial"/>
        </w:rPr>
        <w:t>Discussion</w:t>
      </w:r>
      <w:proofErr w:type="gramEnd"/>
      <w:r w:rsidR="005D6D57">
        <w:rPr>
          <w:rFonts w:cs="Arial"/>
        </w:rPr>
        <w:t xml:space="preserve"> and hypothesis.</w:t>
      </w:r>
    </w:p>
    <w:p w:rsidR="00B66D36" w:rsidRDefault="00E961AC" w:rsidP="00B66D36">
      <w:pPr>
        <w:autoSpaceDE w:val="0"/>
        <w:autoSpaceDN w:val="0"/>
        <w:adjustRightInd w:val="0"/>
      </w:pPr>
      <w:r>
        <w:t xml:space="preserve">It was noted in [2], and above, that the handset position differed between labs.  The test method described in [1] and also employed in [2] required the use of speech at +1.3dBPa at MRP, or 6-dB higher than nominal, to account for the level change observed in the Lombard effect.  </w:t>
      </w:r>
      <w:r w:rsidR="00977F25">
        <w:t>The current working hypothesis is that this relatively high level of speech, combined with the difference in handset position, and the inherent differences in sending sensitivity across the devices, results in some devices exhibiting substantially more crest-factor reduction (e.g. approaching 6dB) under the specific test conditions used in [2], and that this change in crest factor is a major contributor to inter-laboratory differences in SNRI measurements.</w:t>
      </w:r>
    </w:p>
    <w:p w:rsidR="006A62EC" w:rsidRPr="006A62EC" w:rsidRDefault="006A62EC" w:rsidP="006A62EC">
      <w:pPr>
        <w:pStyle w:val="Heading2"/>
        <w:spacing w:before="240"/>
        <w:ind w:left="0" w:firstLine="0"/>
        <w:jc w:val="both"/>
        <w:rPr>
          <w:rFonts w:cs="Arial"/>
          <w:sz w:val="28"/>
          <w:szCs w:val="28"/>
        </w:rPr>
      </w:pPr>
      <w:r w:rsidRPr="006A62EC">
        <w:rPr>
          <w:rFonts w:cs="Arial"/>
          <w:sz w:val="28"/>
          <w:szCs w:val="28"/>
        </w:rPr>
        <w:t>3</w:t>
      </w:r>
      <w:r>
        <w:rPr>
          <w:rFonts w:cs="Arial"/>
          <w:sz w:val="28"/>
          <w:szCs w:val="28"/>
        </w:rPr>
        <w:t>.</w:t>
      </w:r>
      <w:r w:rsidRPr="006A62EC">
        <w:rPr>
          <w:rFonts w:cs="Arial"/>
          <w:sz w:val="28"/>
          <w:szCs w:val="28"/>
        </w:rPr>
        <w:t xml:space="preserve">  </w:t>
      </w:r>
      <w:r w:rsidR="00977F25">
        <w:t>Next s</w:t>
      </w:r>
      <w:r w:rsidR="002D4202">
        <w:t>tep</w:t>
      </w:r>
      <w:r w:rsidR="00977F25">
        <w:t>s</w:t>
      </w:r>
    </w:p>
    <w:p w:rsidR="00E77828" w:rsidRDefault="00967C6E" w:rsidP="008B650F">
      <w:pPr>
        <w:rPr>
          <w:lang w:val="en-US"/>
        </w:rPr>
      </w:pPr>
      <w:r>
        <w:rPr>
          <w:lang w:val="en-US"/>
        </w:rPr>
        <w:t>An examination of the impact of handset position, speech level, and test room acoustics (anechoic vs. semi-reverberant) is planned to address the hypothesis described above.  The devices selected for this test span the range of correlation, device length (distance mouth-to-</w:t>
      </w:r>
      <w:proofErr w:type="spellStart"/>
      <w:r>
        <w:rPr>
          <w:lang w:val="en-US"/>
        </w:rPr>
        <w:t>mic</w:t>
      </w:r>
      <w:proofErr w:type="spellEnd"/>
      <w:r>
        <w:rPr>
          <w:lang w:val="en-US"/>
        </w:rPr>
        <w:t xml:space="preserve">) and noise suppressor technology (1- </w:t>
      </w:r>
      <w:proofErr w:type="spellStart"/>
      <w:r>
        <w:rPr>
          <w:lang w:val="en-US"/>
        </w:rPr>
        <w:t>vs</w:t>
      </w:r>
      <w:proofErr w:type="spellEnd"/>
      <w:r>
        <w:rPr>
          <w:lang w:val="en-US"/>
        </w:rPr>
        <w:t xml:space="preserve"> 2-mic).  Speech levels will be varied from 6dB </w:t>
      </w:r>
      <w:r>
        <w:rPr>
          <w:lang w:val="en-US"/>
        </w:rPr>
        <w:lastRenderedPageBreak/>
        <w:t xml:space="preserve">below nominal to 9dB above nominal in 3dB steps.  Measurements of uplink level and crest factor in quiet, along with SNRI under conditions of constant SNR will also be taken (a single </w:t>
      </w:r>
      <w:proofErr w:type="spellStart"/>
      <w:r>
        <w:rPr>
          <w:lang w:val="en-US"/>
        </w:rPr>
        <w:t>distractor</w:t>
      </w:r>
      <w:proofErr w:type="spellEnd"/>
      <w:r>
        <w:rPr>
          <w:lang w:val="en-US"/>
        </w:rPr>
        <w:t xml:space="preserve">, babble, is selected for this test).  </w:t>
      </w:r>
      <w:r w:rsidR="008B650F">
        <w:rPr>
          <w:lang w:val="en-US"/>
        </w:rPr>
        <w:t xml:space="preserve">Tests will be conducted in both an anechoic chamber and in a semi-reverberant room in accordance with ETSI EG 202 396-1.  </w:t>
      </w:r>
      <w:r w:rsidR="003A3B88">
        <w:rPr>
          <w:lang w:val="en-US"/>
        </w:rPr>
        <w:t xml:space="preserve">Measurements will be taken in both handset positions described in [1] and in [2].  Reference measurements of sending and receiving characteristics (SLR, RLR, SFR, &amp; RFR) will be taken in both positions in both test rooms.  </w:t>
      </w:r>
      <w:r w:rsidR="008B650F">
        <w:rPr>
          <w:lang w:val="en-US"/>
        </w:rPr>
        <w:t xml:space="preserve">It is planned to </w:t>
      </w:r>
      <w:r w:rsidR="00420945">
        <w:rPr>
          <w:lang w:val="en-US"/>
        </w:rPr>
        <w:t>report further results at</w:t>
      </w:r>
      <w:r w:rsidR="008B650F">
        <w:rPr>
          <w:lang w:val="en-US"/>
        </w:rPr>
        <w:t xml:space="preserve"> SA#66.</w:t>
      </w:r>
    </w:p>
    <w:p w:rsidR="00120885" w:rsidRPr="006A62EC" w:rsidRDefault="00120885" w:rsidP="00120885">
      <w:pPr>
        <w:pStyle w:val="Heading2"/>
        <w:spacing w:before="240"/>
        <w:ind w:left="0" w:firstLine="0"/>
        <w:jc w:val="both"/>
        <w:rPr>
          <w:rFonts w:cs="Arial"/>
          <w:sz w:val="28"/>
          <w:szCs w:val="28"/>
        </w:rPr>
      </w:pPr>
      <w:r>
        <w:rPr>
          <w:rFonts w:cs="Arial"/>
          <w:sz w:val="28"/>
          <w:szCs w:val="28"/>
        </w:rPr>
        <w:t>4.</w:t>
      </w:r>
      <w:r w:rsidRPr="006A62EC">
        <w:rPr>
          <w:rFonts w:cs="Arial"/>
          <w:sz w:val="28"/>
          <w:szCs w:val="28"/>
        </w:rPr>
        <w:t xml:space="preserve">  </w:t>
      </w:r>
      <w:r>
        <w:rPr>
          <w:rFonts w:cs="Arial"/>
          <w:sz w:val="28"/>
          <w:szCs w:val="28"/>
        </w:rPr>
        <w:t>Conclusions</w:t>
      </w:r>
    </w:p>
    <w:p w:rsidR="00EE6B10" w:rsidRPr="00420945" w:rsidRDefault="00120885" w:rsidP="008B650F">
      <w:pPr>
        <w:rPr>
          <w:rFonts w:cs="Arial"/>
          <w:szCs w:val="22"/>
          <w:lang w:val="en-US"/>
        </w:rPr>
      </w:pPr>
      <w:r w:rsidRPr="00420945">
        <w:rPr>
          <w:rFonts w:cs="Arial"/>
          <w:szCs w:val="22"/>
          <w:lang w:val="en-US"/>
        </w:rPr>
        <w:t>The results presented above</w:t>
      </w:r>
      <w:r w:rsidR="00420945" w:rsidRPr="00420945">
        <w:rPr>
          <w:rFonts w:cs="Arial"/>
          <w:szCs w:val="22"/>
          <w:lang w:val="en-US"/>
        </w:rPr>
        <w:t xml:space="preserve"> illustrate the following points:</w:t>
      </w:r>
    </w:p>
    <w:p w:rsidR="00420945" w:rsidRPr="00420945" w:rsidRDefault="00420945" w:rsidP="00420945">
      <w:pPr>
        <w:pStyle w:val="ListParagraph"/>
        <w:numPr>
          <w:ilvl w:val="0"/>
          <w:numId w:val="34"/>
        </w:numPr>
        <w:rPr>
          <w:rFonts w:ascii="Arial" w:hAnsi="Arial" w:cs="Arial"/>
          <w:sz w:val="22"/>
          <w:szCs w:val="22"/>
        </w:rPr>
      </w:pPr>
      <w:r w:rsidRPr="00420945">
        <w:rPr>
          <w:rFonts w:ascii="Arial" w:hAnsi="Arial" w:cs="Arial"/>
          <w:sz w:val="22"/>
          <w:szCs w:val="22"/>
        </w:rPr>
        <w:t>Overall inter-laboratory consistency in measurement of SNRI according to ITU-T G.160 has, to date, been less than satisfactory.</w:t>
      </w:r>
    </w:p>
    <w:p w:rsidR="00420945" w:rsidRDefault="00420945" w:rsidP="00420945">
      <w:pPr>
        <w:pStyle w:val="ListParagraph"/>
        <w:numPr>
          <w:ilvl w:val="0"/>
          <w:numId w:val="34"/>
        </w:numPr>
        <w:rPr>
          <w:rFonts w:ascii="Arial" w:hAnsi="Arial" w:cs="Arial"/>
          <w:sz w:val="22"/>
          <w:szCs w:val="22"/>
        </w:rPr>
      </w:pPr>
      <w:r>
        <w:rPr>
          <w:rFonts w:ascii="Arial" w:hAnsi="Arial" w:cs="Arial"/>
          <w:sz w:val="22"/>
          <w:szCs w:val="22"/>
        </w:rPr>
        <w:t>Inter-laboratory consistency in measurement of SNRI ranges very widely for individual devices, indicating a strong dependency.  For some devices, high inter-lab consistency has been demonstrated.</w:t>
      </w:r>
    </w:p>
    <w:p w:rsidR="00420945" w:rsidRDefault="00420945" w:rsidP="00420945">
      <w:pPr>
        <w:pStyle w:val="ListParagraph"/>
        <w:numPr>
          <w:ilvl w:val="0"/>
          <w:numId w:val="34"/>
        </w:numPr>
        <w:rPr>
          <w:rFonts w:ascii="Arial" w:hAnsi="Arial" w:cs="Arial"/>
          <w:sz w:val="22"/>
          <w:szCs w:val="22"/>
        </w:rPr>
      </w:pPr>
      <w:r>
        <w:rPr>
          <w:rFonts w:ascii="Arial" w:hAnsi="Arial" w:cs="Arial"/>
          <w:sz w:val="22"/>
          <w:szCs w:val="22"/>
        </w:rPr>
        <w:t>Examination of results to date indicates that this dependency is likely to be due to interaction of device characteristics (e.g. Sending Sensitivity) with specifics of the test conditions used in [1] and [2].</w:t>
      </w:r>
    </w:p>
    <w:p w:rsidR="00420945" w:rsidRPr="00420945" w:rsidRDefault="00420945" w:rsidP="00420945">
      <w:pPr>
        <w:pStyle w:val="ListParagraph"/>
        <w:numPr>
          <w:ilvl w:val="0"/>
          <w:numId w:val="34"/>
        </w:numPr>
        <w:rPr>
          <w:rFonts w:ascii="Arial" w:hAnsi="Arial" w:cs="Arial"/>
          <w:sz w:val="22"/>
          <w:szCs w:val="22"/>
        </w:rPr>
      </w:pPr>
      <w:r>
        <w:rPr>
          <w:rFonts w:ascii="Arial" w:hAnsi="Arial" w:cs="Arial"/>
          <w:sz w:val="22"/>
          <w:szCs w:val="22"/>
        </w:rPr>
        <w:t>Additional work addressing these specific issues is expected to resolve these issues, and lead to a set of test conditions under which high inter-laboratory consistency will be achieved.</w:t>
      </w:r>
    </w:p>
    <w:p w:rsidR="003A388E" w:rsidRPr="00420945" w:rsidRDefault="003A388E" w:rsidP="003A388E">
      <w:pPr>
        <w:pStyle w:val="Heading"/>
        <w:tabs>
          <w:tab w:val="left" w:pos="7200"/>
        </w:tabs>
        <w:spacing w:before="20" w:after="0" w:line="240" w:lineRule="auto"/>
        <w:ind w:left="0" w:firstLine="0"/>
        <w:jc w:val="both"/>
        <w:rPr>
          <w:rFonts w:cs="Arial"/>
          <w:b w:val="0"/>
          <w:bCs/>
          <w:sz w:val="18"/>
          <w:szCs w:val="18"/>
          <w:lang w:val="en-US"/>
        </w:rPr>
      </w:pPr>
    </w:p>
    <w:p w:rsidR="003A388E" w:rsidRDefault="003A388E" w:rsidP="00C4766A">
      <w:pPr>
        <w:pStyle w:val="Heading3"/>
        <w:spacing w:after="120"/>
        <w:jc w:val="left"/>
      </w:pPr>
      <w:r>
        <w:t>References</w:t>
      </w:r>
    </w:p>
    <w:p w:rsidR="003A388E" w:rsidRDefault="006F706B" w:rsidP="00797ABC">
      <w:pPr>
        <w:numPr>
          <w:ilvl w:val="0"/>
          <w:numId w:val="11"/>
        </w:numPr>
        <w:ind w:left="706" w:firstLine="0"/>
        <w:jc w:val="both"/>
        <w:rPr>
          <w:lang w:val="en-US"/>
        </w:rPr>
      </w:pPr>
      <w:r>
        <w:rPr>
          <w:lang w:val="en-US"/>
        </w:rPr>
        <w:t>3GPP Contribution S4-110237. Results of Updated ANR round robin test.  Source: Qualcomm.  Presented at SA4#63, 14-18 February 2011, Sanya, P.R.C.</w:t>
      </w:r>
    </w:p>
    <w:p w:rsidR="006A62EC" w:rsidRPr="008131BD" w:rsidRDefault="002D4202" w:rsidP="008131BD">
      <w:pPr>
        <w:numPr>
          <w:ilvl w:val="0"/>
          <w:numId w:val="11"/>
        </w:numPr>
        <w:ind w:left="709" w:hanging="1"/>
        <w:jc w:val="both"/>
        <w:rPr>
          <w:lang w:val="en-US"/>
        </w:rPr>
      </w:pPr>
      <w:r>
        <w:rPr>
          <w:lang w:val="en-US"/>
        </w:rPr>
        <w:t>3GPP Contribution S4-</w:t>
      </w:r>
      <w:r w:rsidR="00FE71F5">
        <w:rPr>
          <w:lang w:val="en-US"/>
        </w:rPr>
        <w:t>110396.  Further results of updated ANR round robin test.  Source: Audience.  Presented at SA#64, 11-15 April 2011, San Diego, California, U.S.A.</w:t>
      </w:r>
    </w:p>
    <w:sectPr w:rsidR="006A62EC" w:rsidRPr="008131BD"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186" w:rsidRDefault="00E55186">
      <w:r>
        <w:separator/>
      </w:r>
    </w:p>
  </w:endnote>
  <w:endnote w:type="continuationSeparator" w:id="0">
    <w:p w:rsidR="00E55186" w:rsidRDefault="00E551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Footer"/>
      <w:tabs>
        <w:tab w:val="clear" w:pos="8640"/>
        <w:tab w:val="right" w:pos="9360"/>
      </w:tabs>
      <w:spacing w:after="0"/>
      <w:rPr>
        <w:sz w:val="18"/>
      </w:rPr>
    </w:pPr>
    <w:r>
      <w:rPr>
        <w:b/>
        <w:sz w:val="18"/>
      </w:rPr>
      <w:tab/>
    </w:r>
    <w:r>
      <w:rPr>
        <w:b/>
        <w:sz w:val="18"/>
      </w:rPr>
      <w:tab/>
      <w:t xml:space="preserve">Page: </w:t>
    </w:r>
    <w:r w:rsidR="00666221">
      <w:rPr>
        <w:rStyle w:val="PageNumber"/>
        <w:b/>
        <w:sz w:val="18"/>
      </w:rPr>
      <w:fldChar w:fldCharType="begin"/>
    </w:r>
    <w:r>
      <w:rPr>
        <w:rStyle w:val="PageNumber"/>
        <w:b/>
        <w:sz w:val="18"/>
      </w:rPr>
      <w:instrText xml:space="preserve"> PAGE </w:instrText>
    </w:r>
    <w:r w:rsidR="00666221">
      <w:rPr>
        <w:rStyle w:val="PageNumber"/>
        <w:b/>
        <w:sz w:val="18"/>
      </w:rPr>
      <w:fldChar w:fldCharType="separate"/>
    </w:r>
    <w:r w:rsidR="0049029B">
      <w:rPr>
        <w:rStyle w:val="PageNumber"/>
        <w:b/>
        <w:noProof/>
        <w:sz w:val="18"/>
      </w:rPr>
      <w:t>2</w:t>
    </w:r>
    <w:r w:rsidR="00666221">
      <w:rPr>
        <w:rStyle w:val="PageNumber"/>
        <w:b/>
        <w:sz w:val="18"/>
      </w:rPr>
      <w:fldChar w:fldCharType="end"/>
    </w:r>
    <w:r>
      <w:rPr>
        <w:rStyle w:val="PageNumber"/>
        <w:b/>
        <w:sz w:val="18"/>
      </w:rPr>
      <w:t>/</w:t>
    </w:r>
    <w:r w:rsidR="00666221">
      <w:rPr>
        <w:rStyle w:val="PageNumber"/>
        <w:b/>
        <w:sz w:val="18"/>
      </w:rPr>
      <w:fldChar w:fldCharType="begin"/>
    </w:r>
    <w:r>
      <w:rPr>
        <w:rStyle w:val="PageNumber"/>
        <w:b/>
        <w:sz w:val="18"/>
      </w:rPr>
      <w:instrText xml:space="preserve"> NUMPAGES </w:instrText>
    </w:r>
    <w:r w:rsidR="00666221">
      <w:rPr>
        <w:rStyle w:val="PageNumber"/>
        <w:b/>
        <w:sz w:val="18"/>
      </w:rPr>
      <w:fldChar w:fldCharType="separate"/>
    </w:r>
    <w:r w:rsidR="0049029B">
      <w:rPr>
        <w:rStyle w:val="PageNumber"/>
        <w:b/>
        <w:noProof/>
        <w:sz w:val="18"/>
      </w:rPr>
      <w:t>5</w:t>
    </w:r>
    <w:r w:rsidR="00666221">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Footer"/>
      <w:tabs>
        <w:tab w:val="clear" w:pos="8640"/>
        <w:tab w:val="right" w:pos="9360"/>
      </w:tabs>
      <w:spacing w:after="0"/>
      <w:rPr>
        <w:sz w:val="18"/>
      </w:rPr>
    </w:pPr>
    <w:r>
      <w:rPr>
        <w:b/>
        <w:sz w:val="18"/>
      </w:rPr>
      <w:tab/>
    </w:r>
    <w:r>
      <w:rPr>
        <w:b/>
        <w:sz w:val="18"/>
      </w:rPr>
      <w:tab/>
      <w:t xml:space="preserve">Page: </w:t>
    </w:r>
    <w:r w:rsidR="00666221">
      <w:rPr>
        <w:rStyle w:val="PageNumber"/>
        <w:b/>
        <w:sz w:val="18"/>
      </w:rPr>
      <w:fldChar w:fldCharType="begin"/>
    </w:r>
    <w:r>
      <w:rPr>
        <w:rStyle w:val="PageNumber"/>
        <w:b/>
        <w:sz w:val="18"/>
      </w:rPr>
      <w:instrText xml:space="preserve"> PAGE </w:instrText>
    </w:r>
    <w:r w:rsidR="00666221">
      <w:rPr>
        <w:rStyle w:val="PageNumber"/>
        <w:b/>
        <w:sz w:val="18"/>
      </w:rPr>
      <w:fldChar w:fldCharType="separate"/>
    </w:r>
    <w:r w:rsidR="0049029B">
      <w:rPr>
        <w:rStyle w:val="PageNumber"/>
        <w:b/>
        <w:noProof/>
        <w:sz w:val="18"/>
      </w:rPr>
      <w:t>1</w:t>
    </w:r>
    <w:r w:rsidR="00666221">
      <w:rPr>
        <w:rStyle w:val="PageNumber"/>
        <w:b/>
        <w:sz w:val="18"/>
      </w:rPr>
      <w:fldChar w:fldCharType="end"/>
    </w:r>
    <w:r>
      <w:rPr>
        <w:rStyle w:val="PageNumber"/>
        <w:b/>
        <w:sz w:val="18"/>
      </w:rPr>
      <w:t>/</w:t>
    </w:r>
    <w:r w:rsidR="00666221">
      <w:rPr>
        <w:rStyle w:val="PageNumber"/>
        <w:b/>
        <w:sz w:val="18"/>
      </w:rPr>
      <w:fldChar w:fldCharType="begin"/>
    </w:r>
    <w:r>
      <w:rPr>
        <w:rStyle w:val="PageNumber"/>
        <w:b/>
        <w:sz w:val="18"/>
      </w:rPr>
      <w:instrText xml:space="preserve"> NUMPAGES </w:instrText>
    </w:r>
    <w:r w:rsidR="00666221">
      <w:rPr>
        <w:rStyle w:val="PageNumber"/>
        <w:b/>
        <w:sz w:val="18"/>
      </w:rPr>
      <w:fldChar w:fldCharType="separate"/>
    </w:r>
    <w:r w:rsidR="0049029B">
      <w:rPr>
        <w:rStyle w:val="PageNumber"/>
        <w:b/>
        <w:noProof/>
        <w:sz w:val="18"/>
      </w:rPr>
      <w:t>5</w:t>
    </w:r>
    <w:r w:rsidR="00666221">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186" w:rsidRDefault="00E55186">
      <w:r>
        <w:separator/>
      </w:r>
    </w:p>
  </w:footnote>
  <w:footnote w:type="continuationSeparator" w:id="0">
    <w:p w:rsidR="00E55186" w:rsidRDefault="00E551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Pr="00F96227" w:rsidRDefault="005854F1" w:rsidP="003531E3">
    <w:pPr>
      <w:tabs>
        <w:tab w:val="right" w:pos="9356"/>
      </w:tabs>
      <w:spacing w:after="0"/>
      <w:rPr>
        <w:rFonts w:cs="Arial"/>
        <w:b/>
        <w:i/>
        <w:color w:val="000000"/>
        <w:sz w:val="28"/>
      </w:rPr>
    </w:pPr>
    <w:r>
      <w:rPr>
        <w:rFonts w:cs="Arial"/>
        <w:sz w:val="20"/>
        <w:lang w:val="en-US"/>
      </w:rPr>
      <w:t>TSG-SA4#65</w:t>
    </w:r>
    <w:r w:rsidR="00DA5B82" w:rsidRPr="0099160C">
      <w:rPr>
        <w:rFonts w:cs="Arial"/>
        <w:sz w:val="20"/>
        <w:lang w:val="en-US"/>
      </w:rPr>
      <w:t xml:space="preserve"> meeting</w:t>
    </w:r>
    <w:r w:rsidR="00DA5B82" w:rsidRPr="0099160C">
      <w:rPr>
        <w:rFonts w:cs="Arial"/>
        <w:b/>
        <w:i/>
        <w:sz w:val="20"/>
      </w:rPr>
      <w:tab/>
    </w:r>
    <w:proofErr w:type="spellStart"/>
    <w:r w:rsidR="00DA5B82">
      <w:rPr>
        <w:rFonts w:cs="Arial"/>
        <w:b/>
        <w:i/>
        <w:sz w:val="28"/>
        <w:szCs w:val="28"/>
      </w:rPr>
      <w:t>Tdoc</w:t>
    </w:r>
    <w:proofErr w:type="spellEnd"/>
    <w:r w:rsidR="00DA5B82">
      <w:rPr>
        <w:rFonts w:cs="Arial"/>
        <w:b/>
        <w:i/>
        <w:sz w:val="28"/>
        <w:szCs w:val="28"/>
      </w:rPr>
      <w:t xml:space="preserve"> </w:t>
    </w:r>
    <w:r>
      <w:rPr>
        <w:rFonts w:cs="Arial"/>
        <w:b/>
        <w:i/>
        <w:color w:val="000000"/>
        <w:sz w:val="28"/>
      </w:rPr>
      <w:t>S4-110598</w:t>
    </w:r>
  </w:p>
  <w:p w:rsidR="00DA5B82" w:rsidRPr="002673CF" w:rsidRDefault="005854F1" w:rsidP="003E05BB">
    <w:pPr>
      <w:tabs>
        <w:tab w:val="right" w:pos="9360"/>
      </w:tabs>
      <w:spacing w:after="0"/>
      <w:rPr>
        <w:rFonts w:cs="Arial"/>
        <w:sz w:val="20"/>
        <w:lang w:val="en-US" w:eastAsia="zh-CN"/>
      </w:rPr>
    </w:pPr>
    <w:r>
      <w:rPr>
        <w:rFonts w:cs="Arial"/>
        <w:sz w:val="20"/>
        <w:lang w:val="en-US" w:eastAsia="zh-CN"/>
      </w:rPr>
      <w:t>15-19 August</w:t>
    </w:r>
    <w:r w:rsidR="00DA5B82">
      <w:rPr>
        <w:rFonts w:cs="Arial"/>
        <w:sz w:val="20"/>
        <w:lang w:val="en-US" w:eastAsia="zh-CN"/>
      </w:rPr>
      <w:t>, 20</w:t>
    </w:r>
    <w:r>
      <w:rPr>
        <w:rFonts w:cs="Arial"/>
        <w:sz w:val="20"/>
        <w:lang w:val="en-US" w:eastAsia="zh-CN"/>
      </w:rPr>
      <w:t xml:space="preserve">11, </w:t>
    </w:r>
    <w:proofErr w:type="spellStart"/>
    <w:r>
      <w:rPr>
        <w:rFonts w:cs="Arial"/>
        <w:sz w:val="20"/>
        <w:lang w:val="en-US" w:eastAsia="zh-CN"/>
      </w:rPr>
      <w:t>Kista</w:t>
    </w:r>
    <w:proofErr w:type="spellEnd"/>
    <w:r>
      <w:rPr>
        <w:rFonts w:cs="Arial"/>
        <w:sz w:val="20"/>
        <w:lang w:val="en-US" w:eastAsia="zh-CN"/>
      </w:rPr>
      <w:t>, Sweden</w:t>
    </w:r>
    <w:r w:rsidR="00DA5B82" w:rsidRPr="002673CF">
      <w:rPr>
        <w:rFonts w:cs="Arial"/>
        <w:color w:val="000000"/>
        <w:sz w:val="20"/>
        <w:lang w:val="en-US" w:eastAsia="zh-CN"/>
      </w:rPr>
      <w:tab/>
    </w:r>
  </w:p>
  <w:p w:rsidR="00DA5B82" w:rsidRDefault="00DA5B82">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9046CF"/>
    <w:multiLevelType w:val="hybridMultilevel"/>
    <w:tmpl w:val="875C4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739B8"/>
    <w:multiLevelType w:val="hybridMultilevel"/>
    <w:tmpl w:val="0AE8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F11E9"/>
    <w:multiLevelType w:val="hybridMultilevel"/>
    <w:tmpl w:val="9A82F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5">
    <w:nsid w:val="18C9078D"/>
    <w:multiLevelType w:val="multilevel"/>
    <w:tmpl w:val="F8DA73E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B50369"/>
    <w:multiLevelType w:val="hybridMultilevel"/>
    <w:tmpl w:val="F4D2B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8">
    <w:nsid w:val="24D11179"/>
    <w:multiLevelType w:val="hybridMultilevel"/>
    <w:tmpl w:val="1BDC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E2156"/>
    <w:multiLevelType w:val="hybridMultilevel"/>
    <w:tmpl w:val="28664F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7046BA"/>
    <w:multiLevelType w:val="hybridMultilevel"/>
    <w:tmpl w:val="1540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9B31F6"/>
    <w:multiLevelType w:val="hybridMultilevel"/>
    <w:tmpl w:val="7BA0112E"/>
    <w:lvl w:ilvl="0" w:tplc="8FE6ED76">
      <w:start w:val="2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3FB012D5"/>
    <w:multiLevelType w:val="multilevel"/>
    <w:tmpl w:val="F8DA73E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nsid w:val="43957833"/>
    <w:multiLevelType w:val="multilevel"/>
    <w:tmpl w:val="1CD0C932"/>
    <w:lvl w:ilvl="0">
      <w:start w:val="4"/>
      <w:numFmt w:val="decimal"/>
      <w:lvlText w:val="%1"/>
      <w:lvlJc w:val="left"/>
      <w:pPr>
        <w:ind w:left="405" w:hanging="40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6">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7">
    <w:nsid w:val="4CD26AF6"/>
    <w:multiLevelType w:val="hybridMultilevel"/>
    <w:tmpl w:val="2E2A7B48"/>
    <w:lvl w:ilvl="0" w:tplc="644068A6">
      <w:start w:val="1"/>
      <w:numFmt w:val="decimal"/>
      <w:lvlText w:val="%1."/>
      <w:lvlJc w:val="left"/>
      <w:pPr>
        <w:ind w:left="420" w:hanging="42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4E6E0FAB"/>
    <w:multiLevelType w:val="hybridMultilevel"/>
    <w:tmpl w:val="800EF7C4"/>
    <w:lvl w:ilvl="0" w:tplc="662ADAB2">
      <w:start w:val="1"/>
      <w:numFmt w:val="decimal"/>
      <w:lvlText w:val="[%1]"/>
      <w:lvlJc w:val="lef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4DC30FA"/>
    <w:multiLevelType w:val="hybridMultilevel"/>
    <w:tmpl w:val="3BCA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2229E7"/>
    <w:multiLevelType w:val="hybridMultilevel"/>
    <w:tmpl w:val="8A28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BF1F09"/>
    <w:multiLevelType w:val="hybridMultilevel"/>
    <w:tmpl w:val="9466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E04D45"/>
    <w:multiLevelType w:val="hybridMultilevel"/>
    <w:tmpl w:val="2BAE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9175E2"/>
    <w:multiLevelType w:val="hybridMultilevel"/>
    <w:tmpl w:val="9A82F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F4651B"/>
    <w:multiLevelType w:val="hybridMultilevel"/>
    <w:tmpl w:val="0E8E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F028A7"/>
    <w:multiLevelType w:val="hybridMultilevel"/>
    <w:tmpl w:val="AC50F32E"/>
    <w:lvl w:ilvl="0" w:tplc="BACCDE38">
      <w:start w:val="1"/>
      <w:numFmt w:val="bullet"/>
      <w:lvlText w:val="-"/>
      <w:lvlJc w:val="left"/>
      <w:pPr>
        <w:tabs>
          <w:tab w:val="num" w:pos="720"/>
        </w:tabs>
        <w:ind w:left="720" w:hanging="360"/>
      </w:pPr>
      <w:rPr>
        <w:rFonts w:ascii="Verdana" w:hAnsi="Verdana" w:hint="default"/>
      </w:rPr>
    </w:lvl>
    <w:lvl w:ilvl="1" w:tplc="A4B2E722">
      <w:start w:val="1"/>
      <w:numFmt w:val="bullet"/>
      <w:lvlText w:val="-"/>
      <w:lvlJc w:val="left"/>
      <w:pPr>
        <w:tabs>
          <w:tab w:val="num" w:pos="1440"/>
        </w:tabs>
        <w:ind w:left="1440" w:hanging="360"/>
      </w:pPr>
      <w:rPr>
        <w:rFonts w:ascii="Verdana" w:hAnsi="Verdana" w:hint="default"/>
      </w:rPr>
    </w:lvl>
    <w:lvl w:ilvl="2" w:tplc="8542B16A" w:tentative="1">
      <w:start w:val="1"/>
      <w:numFmt w:val="bullet"/>
      <w:lvlText w:val="-"/>
      <w:lvlJc w:val="left"/>
      <w:pPr>
        <w:tabs>
          <w:tab w:val="num" w:pos="2160"/>
        </w:tabs>
        <w:ind w:left="2160" w:hanging="360"/>
      </w:pPr>
      <w:rPr>
        <w:rFonts w:ascii="Verdana" w:hAnsi="Verdana" w:hint="default"/>
      </w:rPr>
    </w:lvl>
    <w:lvl w:ilvl="3" w:tplc="CB24DC0C" w:tentative="1">
      <w:start w:val="1"/>
      <w:numFmt w:val="bullet"/>
      <w:lvlText w:val="-"/>
      <w:lvlJc w:val="left"/>
      <w:pPr>
        <w:tabs>
          <w:tab w:val="num" w:pos="2880"/>
        </w:tabs>
        <w:ind w:left="2880" w:hanging="360"/>
      </w:pPr>
      <w:rPr>
        <w:rFonts w:ascii="Verdana" w:hAnsi="Verdana" w:hint="default"/>
      </w:rPr>
    </w:lvl>
    <w:lvl w:ilvl="4" w:tplc="771CCEE6" w:tentative="1">
      <w:start w:val="1"/>
      <w:numFmt w:val="bullet"/>
      <w:lvlText w:val="-"/>
      <w:lvlJc w:val="left"/>
      <w:pPr>
        <w:tabs>
          <w:tab w:val="num" w:pos="3600"/>
        </w:tabs>
        <w:ind w:left="3600" w:hanging="360"/>
      </w:pPr>
      <w:rPr>
        <w:rFonts w:ascii="Verdana" w:hAnsi="Verdana" w:hint="default"/>
      </w:rPr>
    </w:lvl>
    <w:lvl w:ilvl="5" w:tplc="D9C054AA" w:tentative="1">
      <w:start w:val="1"/>
      <w:numFmt w:val="bullet"/>
      <w:lvlText w:val="-"/>
      <w:lvlJc w:val="left"/>
      <w:pPr>
        <w:tabs>
          <w:tab w:val="num" w:pos="4320"/>
        </w:tabs>
        <w:ind w:left="4320" w:hanging="360"/>
      </w:pPr>
      <w:rPr>
        <w:rFonts w:ascii="Verdana" w:hAnsi="Verdana" w:hint="default"/>
      </w:rPr>
    </w:lvl>
    <w:lvl w:ilvl="6" w:tplc="718ED60A" w:tentative="1">
      <w:start w:val="1"/>
      <w:numFmt w:val="bullet"/>
      <w:lvlText w:val="-"/>
      <w:lvlJc w:val="left"/>
      <w:pPr>
        <w:tabs>
          <w:tab w:val="num" w:pos="5040"/>
        </w:tabs>
        <w:ind w:left="5040" w:hanging="360"/>
      </w:pPr>
      <w:rPr>
        <w:rFonts w:ascii="Verdana" w:hAnsi="Verdana" w:hint="default"/>
      </w:rPr>
    </w:lvl>
    <w:lvl w:ilvl="7" w:tplc="BF1E903A" w:tentative="1">
      <w:start w:val="1"/>
      <w:numFmt w:val="bullet"/>
      <w:lvlText w:val="-"/>
      <w:lvlJc w:val="left"/>
      <w:pPr>
        <w:tabs>
          <w:tab w:val="num" w:pos="5760"/>
        </w:tabs>
        <w:ind w:left="5760" w:hanging="360"/>
      </w:pPr>
      <w:rPr>
        <w:rFonts w:ascii="Verdana" w:hAnsi="Verdana" w:hint="default"/>
      </w:rPr>
    </w:lvl>
    <w:lvl w:ilvl="8" w:tplc="72FCD0FE" w:tentative="1">
      <w:start w:val="1"/>
      <w:numFmt w:val="bullet"/>
      <w:lvlText w:val="-"/>
      <w:lvlJc w:val="left"/>
      <w:pPr>
        <w:tabs>
          <w:tab w:val="num" w:pos="6480"/>
        </w:tabs>
        <w:ind w:left="6480" w:hanging="360"/>
      </w:pPr>
      <w:rPr>
        <w:rFonts w:ascii="Verdana" w:hAnsi="Verdana" w:hint="default"/>
      </w:rPr>
    </w:lvl>
  </w:abstractNum>
  <w:abstractNum w:abstractNumId="26">
    <w:nsid w:val="756A23D2"/>
    <w:multiLevelType w:val="hybridMultilevel"/>
    <w:tmpl w:val="BF465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39267E"/>
    <w:multiLevelType w:val="hybridMultilevel"/>
    <w:tmpl w:val="FD88E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3B2ED8"/>
    <w:multiLevelType w:val="hybridMultilevel"/>
    <w:tmpl w:val="8972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725C0E"/>
    <w:multiLevelType w:val="multilevel"/>
    <w:tmpl w:val="A750520E"/>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BC86F77"/>
    <w:multiLevelType w:val="hybridMultilevel"/>
    <w:tmpl w:val="F656D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30"/>
  </w:num>
  <w:num w:numId="3">
    <w:abstractNumId w:val="12"/>
  </w:num>
  <w:num w:numId="4">
    <w:abstractNumId w:val="14"/>
  </w:num>
  <w:num w:numId="5">
    <w:abstractNumId w:val="4"/>
  </w:num>
  <w:num w:numId="6">
    <w:abstractNumId w:val="16"/>
  </w:num>
  <w:num w:numId="7">
    <w:abstractNumId w:val="32"/>
  </w:num>
  <w:num w:numId="8">
    <w:abstractNumId w:val="7"/>
  </w:num>
  <w:num w:numId="9">
    <w:abstractNumId w:val="17"/>
  </w:num>
  <w:num w:numId="10">
    <w:abstractNumId w:val="11"/>
  </w:num>
  <w:num w:numId="11">
    <w:abstractNumId w:val="18"/>
  </w:num>
  <w:num w:numId="12">
    <w:abstractNumId w:val="3"/>
  </w:num>
  <w:num w:numId="13">
    <w:abstractNumId w:val="25"/>
  </w:num>
  <w:num w:numId="14">
    <w:abstractNumId w:val="20"/>
  </w:num>
  <w:num w:numId="15">
    <w:abstractNumId w:val="23"/>
  </w:num>
  <w:num w:numId="16">
    <w:abstractNumId w:val="9"/>
  </w:num>
  <w:num w:numId="17">
    <w:abstractNumId w:val="31"/>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28"/>
  </w:num>
  <w:num w:numId="22">
    <w:abstractNumId w:val="8"/>
  </w:num>
  <w:num w:numId="23">
    <w:abstractNumId w:val="2"/>
  </w:num>
  <w:num w:numId="24">
    <w:abstractNumId w:val="6"/>
  </w:num>
  <w:num w:numId="25">
    <w:abstractNumId w:val="13"/>
  </w:num>
  <w:num w:numId="26">
    <w:abstractNumId w:val="15"/>
  </w:num>
  <w:num w:numId="27">
    <w:abstractNumId w:val="5"/>
  </w:num>
  <w:num w:numId="28">
    <w:abstractNumId w:val="22"/>
  </w:num>
  <w:num w:numId="29">
    <w:abstractNumId w:val="24"/>
  </w:num>
  <w:num w:numId="30">
    <w:abstractNumId w:val="27"/>
  </w:num>
  <w:num w:numId="31">
    <w:abstractNumId w:val="19"/>
  </w:num>
  <w:num w:numId="32">
    <w:abstractNumId w:val="29"/>
  </w:num>
  <w:num w:numId="33">
    <w:abstractNumId w:val="26"/>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o:colormenu v:ext="edit" strokecolor="none"/>
    </o:shapedefaults>
  </w:hdrShapeDefaults>
  <w:footnotePr>
    <w:footnote w:id="-1"/>
    <w:footnote w:id="0"/>
  </w:footnotePr>
  <w:endnotePr>
    <w:numFmt w:val="decimal"/>
    <w:endnote w:id="-1"/>
    <w:endnote w:id="0"/>
  </w:endnotePr>
  <w:compat>
    <w:useFELayout/>
  </w:compat>
  <w:rsids>
    <w:rsidRoot w:val="00F22B59"/>
    <w:rsid w:val="00000466"/>
    <w:rsid w:val="000008F7"/>
    <w:rsid w:val="000015C9"/>
    <w:rsid w:val="00002A13"/>
    <w:rsid w:val="00002AED"/>
    <w:rsid w:val="000037AD"/>
    <w:rsid w:val="00006E22"/>
    <w:rsid w:val="0000777C"/>
    <w:rsid w:val="00010E29"/>
    <w:rsid w:val="00010F6E"/>
    <w:rsid w:val="00011FAD"/>
    <w:rsid w:val="0001230D"/>
    <w:rsid w:val="00012C7F"/>
    <w:rsid w:val="00015C14"/>
    <w:rsid w:val="00015D7B"/>
    <w:rsid w:val="000178B0"/>
    <w:rsid w:val="00021B78"/>
    <w:rsid w:val="000224FC"/>
    <w:rsid w:val="00023CD0"/>
    <w:rsid w:val="00025AD2"/>
    <w:rsid w:val="00025D1E"/>
    <w:rsid w:val="00025E34"/>
    <w:rsid w:val="00025ECD"/>
    <w:rsid w:val="00025F55"/>
    <w:rsid w:val="00026020"/>
    <w:rsid w:val="000307F9"/>
    <w:rsid w:val="00030F6E"/>
    <w:rsid w:val="0003169B"/>
    <w:rsid w:val="000328B4"/>
    <w:rsid w:val="00032F05"/>
    <w:rsid w:val="00032F30"/>
    <w:rsid w:val="00033800"/>
    <w:rsid w:val="00033AB6"/>
    <w:rsid w:val="000348D8"/>
    <w:rsid w:val="00034C3D"/>
    <w:rsid w:val="000352DA"/>
    <w:rsid w:val="00036BB2"/>
    <w:rsid w:val="0003789A"/>
    <w:rsid w:val="00040094"/>
    <w:rsid w:val="000409B2"/>
    <w:rsid w:val="00041BCC"/>
    <w:rsid w:val="000428EB"/>
    <w:rsid w:val="00045AE2"/>
    <w:rsid w:val="0004667C"/>
    <w:rsid w:val="0004730B"/>
    <w:rsid w:val="00050720"/>
    <w:rsid w:val="00050FF0"/>
    <w:rsid w:val="000520DF"/>
    <w:rsid w:val="0005248A"/>
    <w:rsid w:val="00054807"/>
    <w:rsid w:val="000572DB"/>
    <w:rsid w:val="0006250B"/>
    <w:rsid w:val="0006464F"/>
    <w:rsid w:val="00067CA8"/>
    <w:rsid w:val="00071DBE"/>
    <w:rsid w:val="00072CE6"/>
    <w:rsid w:val="000751BC"/>
    <w:rsid w:val="000758D6"/>
    <w:rsid w:val="00076B3D"/>
    <w:rsid w:val="000778D6"/>
    <w:rsid w:val="000807DB"/>
    <w:rsid w:val="00084E7B"/>
    <w:rsid w:val="000858D8"/>
    <w:rsid w:val="00087CD7"/>
    <w:rsid w:val="00087DA9"/>
    <w:rsid w:val="00087E35"/>
    <w:rsid w:val="00091F2B"/>
    <w:rsid w:val="00093B5D"/>
    <w:rsid w:val="00096934"/>
    <w:rsid w:val="00097D85"/>
    <w:rsid w:val="000A296C"/>
    <w:rsid w:val="000A3045"/>
    <w:rsid w:val="000A576A"/>
    <w:rsid w:val="000A5A0F"/>
    <w:rsid w:val="000A677F"/>
    <w:rsid w:val="000A7876"/>
    <w:rsid w:val="000B269A"/>
    <w:rsid w:val="000B27EC"/>
    <w:rsid w:val="000B281F"/>
    <w:rsid w:val="000B324D"/>
    <w:rsid w:val="000B5E95"/>
    <w:rsid w:val="000B6389"/>
    <w:rsid w:val="000B71CD"/>
    <w:rsid w:val="000B7457"/>
    <w:rsid w:val="000C04E9"/>
    <w:rsid w:val="000C2A29"/>
    <w:rsid w:val="000C2ECF"/>
    <w:rsid w:val="000C2F2E"/>
    <w:rsid w:val="000C707C"/>
    <w:rsid w:val="000C713D"/>
    <w:rsid w:val="000C793D"/>
    <w:rsid w:val="000D14F2"/>
    <w:rsid w:val="000D2278"/>
    <w:rsid w:val="000D48EB"/>
    <w:rsid w:val="000D660D"/>
    <w:rsid w:val="000D697C"/>
    <w:rsid w:val="000D7D11"/>
    <w:rsid w:val="000D7F7E"/>
    <w:rsid w:val="000E206D"/>
    <w:rsid w:val="000E4947"/>
    <w:rsid w:val="000E76FE"/>
    <w:rsid w:val="000F194F"/>
    <w:rsid w:val="000F2168"/>
    <w:rsid w:val="000F3587"/>
    <w:rsid w:val="000F3C59"/>
    <w:rsid w:val="000F3C67"/>
    <w:rsid w:val="000F441B"/>
    <w:rsid w:val="000F6208"/>
    <w:rsid w:val="000F651D"/>
    <w:rsid w:val="000F7A5A"/>
    <w:rsid w:val="001000AC"/>
    <w:rsid w:val="0010058B"/>
    <w:rsid w:val="001024FA"/>
    <w:rsid w:val="00102578"/>
    <w:rsid w:val="001046CC"/>
    <w:rsid w:val="00105FFE"/>
    <w:rsid w:val="00106D44"/>
    <w:rsid w:val="0011154F"/>
    <w:rsid w:val="0011369D"/>
    <w:rsid w:val="001207AC"/>
    <w:rsid w:val="00120885"/>
    <w:rsid w:val="001213F3"/>
    <w:rsid w:val="00121A6D"/>
    <w:rsid w:val="00121E92"/>
    <w:rsid w:val="00123715"/>
    <w:rsid w:val="00123EDC"/>
    <w:rsid w:val="0012499F"/>
    <w:rsid w:val="0013052A"/>
    <w:rsid w:val="00130F21"/>
    <w:rsid w:val="001327F4"/>
    <w:rsid w:val="00134021"/>
    <w:rsid w:val="0013464B"/>
    <w:rsid w:val="001355BA"/>
    <w:rsid w:val="0013722E"/>
    <w:rsid w:val="00140CC7"/>
    <w:rsid w:val="001424F9"/>
    <w:rsid w:val="00142743"/>
    <w:rsid w:val="00143465"/>
    <w:rsid w:val="00144A94"/>
    <w:rsid w:val="00145A56"/>
    <w:rsid w:val="001473CB"/>
    <w:rsid w:val="001505A8"/>
    <w:rsid w:val="00151F5B"/>
    <w:rsid w:val="001523B4"/>
    <w:rsid w:val="00152896"/>
    <w:rsid w:val="00153499"/>
    <w:rsid w:val="00154627"/>
    <w:rsid w:val="0015530F"/>
    <w:rsid w:val="00155F16"/>
    <w:rsid w:val="00156777"/>
    <w:rsid w:val="0015788F"/>
    <w:rsid w:val="00157D5A"/>
    <w:rsid w:val="0016098D"/>
    <w:rsid w:val="0016132A"/>
    <w:rsid w:val="001630EB"/>
    <w:rsid w:val="001630F1"/>
    <w:rsid w:val="00165C16"/>
    <w:rsid w:val="00167E3D"/>
    <w:rsid w:val="00170E1E"/>
    <w:rsid w:val="00173288"/>
    <w:rsid w:val="00175507"/>
    <w:rsid w:val="00177BC0"/>
    <w:rsid w:val="00177C17"/>
    <w:rsid w:val="00180626"/>
    <w:rsid w:val="00180BA8"/>
    <w:rsid w:val="001828CD"/>
    <w:rsid w:val="00182CFB"/>
    <w:rsid w:val="0018494F"/>
    <w:rsid w:val="00186252"/>
    <w:rsid w:val="00190DEC"/>
    <w:rsid w:val="001919DC"/>
    <w:rsid w:val="00193E3C"/>
    <w:rsid w:val="00193F4A"/>
    <w:rsid w:val="00193FEE"/>
    <w:rsid w:val="00194F89"/>
    <w:rsid w:val="0019741C"/>
    <w:rsid w:val="001A0579"/>
    <w:rsid w:val="001A1A64"/>
    <w:rsid w:val="001A24B2"/>
    <w:rsid w:val="001A2684"/>
    <w:rsid w:val="001A2A52"/>
    <w:rsid w:val="001A46E7"/>
    <w:rsid w:val="001A69B5"/>
    <w:rsid w:val="001A79A7"/>
    <w:rsid w:val="001B0B42"/>
    <w:rsid w:val="001B1457"/>
    <w:rsid w:val="001B26AD"/>
    <w:rsid w:val="001B7C81"/>
    <w:rsid w:val="001C052B"/>
    <w:rsid w:val="001C09AE"/>
    <w:rsid w:val="001C2D8C"/>
    <w:rsid w:val="001C3FF3"/>
    <w:rsid w:val="001C4470"/>
    <w:rsid w:val="001C4831"/>
    <w:rsid w:val="001C4A5C"/>
    <w:rsid w:val="001C5FDC"/>
    <w:rsid w:val="001C62BE"/>
    <w:rsid w:val="001C7901"/>
    <w:rsid w:val="001D0EDD"/>
    <w:rsid w:val="001D1204"/>
    <w:rsid w:val="001D623A"/>
    <w:rsid w:val="001D659E"/>
    <w:rsid w:val="001E20BF"/>
    <w:rsid w:val="001F4D2E"/>
    <w:rsid w:val="001F50BA"/>
    <w:rsid w:val="001F6EEB"/>
    <w:rsid w:val="002005E6"/>
    <w:rsid w:val="00204B74"/>
    <w:rsid w:val="0020526D"/>
    <w:rsid w:val="002057B1"/>
    <w:rsid w:val="00211531"/>
    <w:rsid w:val="002121AC"/>
    <w:rsid w:val="002129A6"/>
    <w:rsid w:val="002134DF"/>
    <w:rsid w:val="00220477"/>
    <w:rsid w:val="00222531"/>
    <w:rsid w:val="002234EF"/>
    <w:rsid w:val="00223D47"/>
    <w:rsid w:val="00226BA0"/>
    <w:rsid w:val="00232540"/>
    <w:rsid w:val="002331EA"/>
    <w:rsid w:val="002332A7"/>
    <w:rsid w:val="00233357"/>
    <w:rsid w:val="002338FD"/>
    <w:rsid w:val="002344A7"/>
    <w:rsid w:val="002369EC"/>
    <w:rsid w:val="00237FD8"/>
    <w:rsid w:val="002404D2"/>
    <w:rsid w:val="0024151C"/>
    <w:rsid w:val="00241C2A"/>
    <w:rsid w:val="00242AE8"/>
    <w:rsid w:val="00243682"/>
    <w:rsid w:val="00243C1A"/>
    <w:rsid w:val="002446CB"/>
    <w:rsid w:val="00247C93"/>
    <w:rsid w:val="00250E52"/>
    <w:rsid w:val="002514A3"/>
    <w:rsid w:val="002515DF"/>
    <w:rsid w:val="002531A3"/>
    <w:rsid w:val="00253449"/>
    <w:rsid w:val="00253829"/>
    <w:rsid w:val="00253E67"/>
    <w:rsid w:val="00257E01"/>
    <w:rsid w:val="00257FC7"/>
    <w:rsid w:val="00260968"/>
    <w:rsid w:val="00260E04"/>
    <w:rsid w:val="0026355C"/>
    <w:rsid w:val="00265E26"/>
    <w:rsid w:val="002673CF"/>
    <w:rsid w:val="00272ADA"/>
    <w:rsid w:val="00273E27"/>
    <w:rsid w:val="00276E3C"/>
    <w:rsid w:val="002808C0"/>
    <w:rsid w:val="002817F7"/>
    <w:rsid w:val="00281D59"/>
    <w:rsid w:val="00282146"/>
    <w:rsid w:val="00282F44"/>
    <w:rsid w:val="00283331"/>
    <w:rsid w:val="00284FA8"/>
    <w:rsid w:val="00286028"/>
    <w:rsid w:val="002860AF"/>
    <w:rsid w:val="00293C32"/>
    <w:rsid w:val="002941AE"/>
    <w:rsid w:val="00297586"/>
    <w:rsid w:val="00297A84"/>
    <w:rsid w:val="002A28A6"/>
    <w:rsid w:val="002A2C9E"/>
    <w:rsid w:val="002A30A8"/>
    <w:rsid w:val="002A35AB"/>
    <w:rsid w:val="002A50DE"/>
    <w:rsid w:val="002A560E"/>
    <w:rsid w:val="002A5BA9"/>
    <w:rsid w:val="002A6C05"/>
    <w:rsid w:val="002A7813"/>
    <w:rsid w:val="002A78FE"/>
    <w:rsid w:val="002B011C"/>
    <w:rsid w:val="002B029A"/>
    <w:rsid w:val="002B2F2F"/>
    <w:rsid w:val="002B4CDB"/>
    <w:rsid w:val="002B7932"/>
    <w:rsid w:val="002B7B45"/>
    <w:rsid w:val="002B7D45"/>
    <w:rsid w:val="002C0785"/>
    <w:rsid w:val="002C1B97"/>
    <w:rsid w:val="002C1E8E"/>
    <w:rsid w:val="002C2BAF"/>
    <w:rsid w:val="002C5963"/>
    <w:rsid w:val="002C5CF6"/>
    <w:rsid w:val="002C623D"/>
    <w:rsid w:val="002C7921"/>
    <w:rsid w:val="002C7CC3"/>
    <w:rsid w:val="002C7D6A"/>
    <w:rsid w:val="002D02E7"/>
    <w:rsid w:val="002D0A98"/>
    <w:rsid w:val="002D0ECE"/>
    <w:rsid w:val="002D10DF"/>
    <w:rsid w:val="002D117E"/>
    <w:rsid w:val="002D4202"/>
    <w:rsid w:val="002D501F"/>
    <w:rsid w:val="002D5A61"/>
    <w:rsid w:val="002E2352"/>
    <w:rsid w:val="002E4212"/>
    <w:rsid w:val="002E4F56"/>
    <w:rsid w:val="002E76CD"/>
    <w:rsid w:val="002F2C15"/>
    <w:rsid w:val="002F34B7"/>
    <w:rsid w:val="002F360B"/>
    <w:rsid w:val="002F4619"/>
    <w:rsid w:val="002F4908"/>
    <w:rsid w:val="002F4EED"/>
    <w:rsid w:val="002F50C5"/>
    <w:rsid w:val="002F572B"/>
    <w:rsid w:val="002F6CE0"/>
    <w:rsid w:val="002F7737"/>
    <w:rsid w:val="00302245"/>
    <w:rsid w:val="0030312E"/>
    <w:rsid w:val="0030509B"/>
    <w:rsid w:val="00305CBD"/>
    <w:rsid w:val="00307B78"/>
    <w:rsid w:val="00310C8D"/>
    <w:rsid w:val="00314D25"/>
    <w:rsid w:val="00315C39"/>
    <w:rsid w:val="00315D7E"/>
    <w:rsid w:val="00323DBC"/>
    <w:rsid w:val="00324D79"/>
    <w:rsid w:val="00334A3F"/>
    <w:rsid w:val="003357B7"/>
    <w:rsid w:val="003357F0"/>
    <w:rsid w:val="00337DA8"/>
    <w:rsid w:val="00340935"/>
    <w:rsid w:val="003423B2"/>
    <w:rsid w:val="003424EF"/>
    <w:rsid w:val="003433EE"/>
    <w:rsid w:val="0034460D"/>
    <w:rsid w:val="0034467E"/>
    <w:rsid w:val="003462B2"/>
    <w:rsid w:val="00346E2D"/>
    <w:rsid w:val="003508CB"/>
    <w:rsid w:val="00352339"/>
    <w:rsid w:val="00352CB0"/>
    <w:rsid w:val="003531E3"/>
    <w:rsid w:val="00353797"/>
    <w:rsid w:val="00354AF1"/>
    <w:rsid w:val="003559B3"/>
    <w:rsid w:val="00356380"/>
    <w:rsid w:val="003621BE"/>
    <w:rsid w:val="003641E2"/>
    <w:rsid w:val="0036422F"/>
    <w:rsid w:val="00364495"/>
    <w:rsid w:val="003652E5"/>
    <w:rsid w:val="00366BB9"/>
    <w:rsid w:val="00370E6F"/>
    <w:rsid w:val="003811AC"/>
    <w:rsid w:val="00382EAD"/>
    <w:rsid w:val="00384167"/>
    <w:rsid w:val="00385585"/>
    <w:rsid w:val="00387576"/>
    <w:rsid w:val="00390066"/>
    <w:rsid w:val="003908C6"/>
    <w:rsid w:val="0039280E"/>
    <w:rsid w:val="0039350F"/>
    <w:rsid w:val="00394884"/>
    <w:rsid w:val="00395655"/>
    <w:rsid w:val="003A388E"/>
    <w:rsid w:val="003A3B88"/>
    <w:rsid w:val="003A6E6B"/>
    <w:rsid w:val="003A6F66"/>
    <w:rsid w:val="003A7886"/>
    <w:rsid w:val="003A7CA8"/>
    <w:rsid w:val="003B01B5"/>
    <w:rsid w:val="003B022E"/>
    <w:rsid w:val="003B1523"/>
    <w:rsid w:val="003B3CA9"/>
    <w:rsid w:val="003B42FF"/>
    <w:rsid w:val="003B4A4F"/>
    <w:rsid w:val="003B4CE8"/>
    <w:rsid w:val="003B5779"/>
    <w:rsid w:val="003B6DAA"/>
    <w:rsid w:val="003C0723"/>
    <w:rsid w:val="003C10BA"/>
    <w:rsid w:val="003C1749"/>
    <w:rsid w:val="003C1A0B"/>
    <w:rsid w:val="003C31A8"/>
    <w:rsid w:val="003D058A"/>
    <w:rsid w:val="003D13DB"/>
    <w:rsid w:val="003D1787"/>
    <w:rsid w:val="003D3073"/>
    <w:rsid w:val="003D5354"/>
    <w:rsid w:val="003D567A"/>
    <w:rsid w:val="003D7D7C"/>
    <w:rsid w:val="003E037D"/>
    <w:rsid w:val="003E05BB"/>
    <w:rsid w:val="003E117A"/>
    <w:rsid w:val="003E28F5"/>
    <w:rsid w:val="003E3233"/>
    <w:rsid w:val="003E50A5"/>
    <w:rsid w:val="003E55CD"/>
    <w:rsid w:val="003F05EE"/>
    <w:rsid w:val="003F183C"/>
    <w:rsid w:val="003F1DE7"/>
    <w:rsid w:val="003F3852"/>
    <w:rsid w:val="003F40D2"/>
    <w:rsid w:val="003F4A9C"/>
    <w:rsid w:val="003F55CD"/>
    <w:rsid w:val="003F607B"/>
    <w:rsid w:val="003F6841"/>
    <w:rsid w:val="003F6CE8"/>
    <w:rsid w:val="003F6EA8"/>
    <w:rsid w:val="0040069D"/>
    <w:rsid w:val="0040090A"/>
    <w:rsid w:val="00402CBB"/>
    <w:rsid w:val="0040374C"/>
    <w:rsid w:val="00403F89"/>
    <w:rsid w:val="00405C82"/>
    <w:rsid w:val="00405E8D"/>
    <w:rsid w:val="0040673E"/>
    <w:rsid w:val="00412ACA"/>
    <w:rsid w:val="004131FF"/>
    <w:rsid w:val="00413FA9"/>
    <w:rsid w:val="00414319"/>
    <w:rsid w:val="00420945"/>
    <w:rsid w:val="004239D7"/>
    <w:rsid w:val="0042510B"/>
    <w:rsid w:val="004270BD"/>
    <w:rsid w:val="00430DB6"/>
    <w:rsid w:val="00431545"/>
    <w:rsid w:val="00432D71"/>
    <w:rsid w:val="004349FB"/>
    <w:rsid w:val="00435C5F"/>
    <w:rsid w:val="00440209"/>
    <w:rsid w:val="00440B06"/>
    <w:rsid w:val="004420EE"/>
    <w:rsid w:val="0044412A"/>
    <w:rsid w:val="00444B7D"/>
    <w:rsid w:val="00445FCC"/>
    <w:rsid w:val="00450451"/>
    <w:rsid w:val="00452F09"/>
    <w:rsid w:val="004531E8"/>
    <w:rsid w:val="00460F4F"/>
    <w:rsid w:val="0046119A"/>
    <w:rsid w:val="00462268"/>
    <w:rsid w:val="0046231A"/>
    <w:rsid w:val="00462766"/>
    <w:rsid w:val="00462C19"/>
    <w:rsid w:val="0046529E"/>
    <w:rsid w:val="00466313"/>
    <w:rsid w:val="00466A25"/>
    <w:rsid w:val="00466D2C"/>
    <w:rsid w:val="00473159"/>
    <w:rsid w:val="004759BC"/>
    <w:rsid w:val="00477040"/>
    <w:rsid w:val="00480663"/>
    <w:rsid w:val="00480FAB"/>
    <w:rsid w:val="004812D4"/>
    <w:rsid w:val="004828CC"/>
    <w:rsid w:val="00482A58"/>
    <w:rsid w:val="00483A5C"/>
    <w:rsid w:val="00486210"/>
    <w:rsid w:val="0048660C"/>
    <w:rsid w:val="00486880"/>
    <w:rsid w:val="004874F1"/>
    <w:rsid w:val="004900B3"/>
    <w:rsid w:val="0049029B"/>
    <w:rsid w:val="00491215"/>
    <w:rsid w:val="00491261"/>
    <w:rsid w:val="004951CD"/>
    <w:rsid w:val="004958FA"/>
    <w:rsid w:val="00497B1E"/>
    <w:rsid w:val="00497F90"/>
    <w:rsid w:val="004A3D07"/>
    <w:rsid w:val="004A4868"/>
    <w:rsid w:val="004A4AAB"/>
    <w:rsid w:val="004A6B3D"/>
    <w:rsid w:val="004A6D14"/>
    <w:rsid w:val="004A7F1A"/>
    <w:rsid w:val="004B0E9B"/>
    <w:rsid w:val="004B1AB0"/>
    <w:rsid w:val="004B5B57"/>
    <w:rsid w:val="004B71A7"/>
    <w:rsid w:val="004C023D"/>
    <w:rsid w:val="004C1594"/>
    <w:rsid w:val="004C4487"/>
    <w:rsid w:val="004C7F66"/>
    <w:rsid w:val="004D0A92"/>
    <w:rsid w:val="004D3580"/>
    <w:rsid w:val="004D36D7"/>
    <w:rsid w:val="004D4763"/>
    <w:rsid w:val="004D5764"/>
    <w:rsid w:val="004D682E"/>
    <w:rsid w:val="004D6B59"/>
    <w:rsid w:val="004D6BDB"/>
    <w:rsid w:val="004D793A"/>
    <w:rsid w:val="004E1636"/>
    <w:rsid w:val="004E1757"/>
    <w:rsid w:val="004E5663"/>
    <w:rsid w:val="004E6E02"/>
    <w:rsid w:val="004F2E45"/>
    <w:rsid w:val="004F3ED7"/>
    <w:rsid w:val="004F6509"/>
    <w:rsid w:val="004F71AC"/>
    <w:rsid w:val="00500007"/>
    <w:rsid w:val="00500C49"/>
    <w:rsid w:val="005024A6"/>
    <w:rsid w:val="00505683"/>
    <w:rsid w:val="00506E8A"/>
    <w:rsid w:val="00507CBF"/>
    <w:rsid w:val="0051166B"/>
    <w:rsid w:val="0051247A"/>
    <w:rsid w:val="005127D4"/>
    <w:rsid w:val="00512BEE"/>
    <w:rsid w:val="0051392F"/>
    <w:rsid w:val="00515C1D"/>
    <w:rsid w:val="00516468"/>
    <w:rsid w:val="00516F28"/>
    <w:rsid w:val="00517742"/>
    <w:rsid w:val="0051783E"/>
    <w:rsid w:val="00517B5F"/>
    <w:rsid w:val="00517D3C"/>
    <w:rsid w:val="005219D8"/>
    <w:rsid w:val="00523059"/>
    <w:rsid w:val="00523CA9"/>
    <w:rsid w:val="00523CD7"/>
    <w:rsid w:val="0052585A"/>
    <w:rsid w:val="00526CA1"/>
    <w:rsid w:val="00527412"/>
    <w:rsid w:val="00527579"/>
    <w:rsid w:val="00530137"/>
    <w:rsid w:val="00531BFA"/>
    <w:rsid w:val="005360D6"/>
    <w:rsid w:val="00536823"/>
    <w:rsid w:val="00540914"/>
    <w:rsid w:val="00542D48"/>
    <w:rsid w:val="00543A06"/>
    <w:rsid w:val="00543F50"/>
    <w:rsid w:val="005448DF"/>
    <w:rsid w:val="005454E1"/>
    <w:rsid w:val="005469A2"/>
    <w:rsid w:val="00551D8C"/>
    <w:rsid w:val="00552CBB"/>
    <w:rsid w:val="005539EA"/>
    <w:rsid w:val="0055510E"/>
    <w:rsid w:val="00556705"/>
    <w:rsid w:val="00557197"/>
    <w:rsid w:val="0055768D"/>
    <w:rsid w:val="00557E36"/>
    <w:rsid w:val="00560489"/>
    <w:rsid w:val="005607C4"/>
    <w:rsid w:val="00565D2F"/>
    <w:rsid w:val="00565EBC"/>
    <w:rsid w:val="005663FE"/>
    <w:rsid w:val="005676E0"/>
    <w:rsid w:val="00567933"/>
    <w:rsid w:val="00570FDF"/>
    <w:rsid w:val="00571ED2"/>
    <w:rsid w:val="005725B0"/>
    <w:rsid w:val="00572C3C"/>
    <w:rsid w:val="0057393B"/>
    <w:rsid w:val="005778A7"/>
    <w:rsid w:val="00580C59"/>
    <w:rsid w:val="005820D3"/>
    <w:rsid w:val="0058363A"/>
    <w:rsid w:val="00584C78"/>
    <w:rsid w:val="005854F1"/>
    <w:rsid w:val="00585661"/>
    <w:rsid w:val="00585828"/>
    <w:rsid w:val="00585AA8"/>
    <w:rsid w:val="0058640B"/>
    <w:rsid w:val="00590E58"/>
    <w:rsid w:val="00593F4A"/>
    <w:rsid w:val="005956EE"/>
    <w:rsid w:val="00595B34"/>
    <w:rsid w:val="00595E71"/>
    <w:rsid w:val="005975C4"/>
    <w:rsid w:val="005A1A39"/>
    <w:rsid w:val="005A204F"/>
    <w:rsid w:val="005A2348"/>
    <w:rsid w:val="005A2C1C"/>
    <w:rsid w:val="005A2ED9"/>
    <w:rsid w:val="005A39AF"/>
    <w:rsid w:val="005A4178"/>
    <w:rsid w:val="005A5507"/>
    <w:rsid w:val="005A6983"/>
    <w:rsid w:val="005A6D14"/>
    <w:rsid w:val="005A7449"/>
    <w:rsid w:val="005B1DC7"/>
    <w:rsid w:val="005B2227"/>
    <w:rsid w:val="005B271A"/>
    <w:rsid w:val="005B3241"/>
    <w:rsid w:val="005B5938"/>
    <w:rsid w:val="005B61BB"/>
    <w:rsid w:val="005B729F"/>
    <w:rsid w:val="005C2B5A"/>
    <w:rsid w:val="005C6174"/>
    <w:rsid w:val="005C6C6A"/>
    <w:rsid w:val="005C7443"/>
    <w:rsid w:val="005D2D49"/>
    <w:rsid w:val="005D3031"/>
    <w:rsid w:val="005D6001"/>
    <w:rsid w:val="005D6758"/>
    <w:rsid w:val="005D6D57"/>
    <w:rsid w:val="005E19E6"/>
    <w:rsid w:val="005E4C33"/>
    <w:rsid w:val="005F0BF8"/>
    <w:rsid w:val="005F3C60"/>
    <w:rsid w:val="005F7784"/>
    <w:rsid w:val="006009DF"/>
    <w:rsid w:val="00601D41"/>
    <w:rsid w:val="00602D0A"/>
    <w:rsid w:val="00602DF3"/>
    <w:rsid w:val="00603703"/>
    <w:rsid w:val="006049DA"/>
    <w:rsid w:val="0060546D"/>
    <w:rsid w:val="006070EE"/>
    <w:rsid w:val="00607231"/>
    <w:rsid w:val="0060740F"/>
    <w:rsid w:val="00611D68"/>
    <w:rsid w:val="0061748C"/>
    <w:rsid w:val="00617694"/>
    <w:rsid w:val="00617F50"/>
    <w:rsid w:val="00620558"/>
    <w:rsid w:val="006216DC"/>
    <w:rsid w:val="00623737"/>
    <w:rsid w:val="00626AF5"/>
    <w:rsid w:val="00627153"/>
    <w:rsid w:val="006276AD"/>
    <w:rsid w:val="00630470"/>
    <w:rsid w:val="0063056F"/>
    <w:rsid w:val="00630C14"/>
    <w:rsid w:val="00631F85"/>
    <w:rsid w:val="00632051"/>
    <w:rsid w:val="00634246"/>
    <w:rsid w:val="00634F01"/>
    <w:rsid w:val="00635E7F"/>
    <w:rsid w:val="00637316"/>
    <w:rsid w:val="00640387"/>
    <w:rsid w:val="00642F7A"/>
    <w:rsid w:val="00645794"/>
    <w:rsid w:val="00650894"/>
    <w:rsid w:val="00652021"/>
    <w:rsid w:val="00652FDC"/>
    <w:rsid w:val="00653FC5"/>
    <w:rsid w:val="00655D90"/>
    <w:rsid w:val="006562B1"/>
    <w:rsid w:val="006565A0"/>
    <w:rsid w:val="00656B07"/>
    <w:rsid w:val="00656DB4"/>
    <w:rsid w:val="006615F1"/>
    <w:rsid w:val="00664B4B"/>
    <w:rsid w:val="006655F2"/>
    <w:rsid w:val="00666221"/>
    <w:rsid w:val="006672DE"/>
    <w:rsid w:val="006676EE"/>
    <w:rsid w:val="006679C2"/>
    <w:rsid w:val="00667FB4"/>
    <w:rsid w:val="00670246"/>
    <w:rsid w:val="00672A73"/>
    <w:rsid w:val="0067388C"/>
    <w:rsid w:val="00675A05"/>
    <w:rsid w:val="00676F12"/>
    <w:rsid w:val="00681895"/>
    <w:rsid w:val="00682082"/>
    <w:rsid w:val="006843B4"/>
    <w:rsid w:val="006846FD"/>
    <w:rsid w:val="00686C8F"/>
    <w:rsid w:val="0068711A"/>
    <w:rsid w:val="00687179"/>
    <w:rsid w:val="0069117B"/>
    <w:rsid w:val="00692B2D"/>
    <w:rsid w:val="0069450F"/>
    <w:rsid w:val="0069517D"/>
    <w:rsid w:val="006964D3"/>
    <w:rsid w:val="006A0C50"/>
    <w:rsid w:val="006A114C"/>
    <w:rsid w:val="006A1FF8"/>
    <w:rsid w:val="006A25F1"/>
    <w:rsid w:val="006A3888"/>
    <w:rsid w:val="006A5CBB"/>
    <w:rsid w:val="006A62EC"/>
    <w:rsid w:val="006A645A"/>
    <w:rsid w:val="006A6972"/>
    <w:rsid w:val="006B2B2B"/>
    <w:rsid w:val="006B333B"/>
    <w:rsid w:val="006B5F59"/>
    <w:rsid w:val="006B7324"/>
    <w:rsid w:val="006C14E2"/>
    <w:rsid w:val="006C27E1"/>
    <w:rsid w:val="006C2AB1"/>
    <w:rsid w:val="006C4E0E"/>
    <w:rsid w:val="006C5638"/>
    <w:rsid w:val="006C6054"/>
    <w:rsid w:val="006D1238"/>
    <w:rsid w:val="006D1665"/>
    <w:rsid w:val="006D35D4"/>
    <w:rsid w:val="006D46ED"/>
    <w:rsid w:val="006D4B39"/>
    <w:rsid w:val="006D6748"/>
    <w:rsid w:val="006E07DA"/>
    <w:rsid w:val="006E110E"/>
    <w:rsid w:val="006E22D6"/>
    <w:rsid w:val="006E24F1"/>
    <w:rsid w:val="006E351B"/>
    <w:rsid w:val="006E4E13"/>
    <w:rsid w:val="006E79EC"/>
    <w:rsid w:val="006F0D19"/>
    <w:rsid w:val="006F10CE"/>
    <w:rsid w:val="006F2CAD"/>
    <w:rsid w:val="006F48BF"/>
    <w:rsid w:val="006F528D"/>
    <w:rsid w:val="006F633E"/>
    <w:rsid w:val="006F6FB5"/>
    <w:rsid w:val="006F706B"/>
    <w:rsid w:val="00701171"/>
    <w:rsid w:val="00701365"/>
    <w:rsid w:val="0070141D"/>
    <w:rsid w:val="007023D1"/>
    <w:rsid w:val="00703989"/>
    <w:rsid w:val="00705161"/>
    <w:rsid w:val="00705544"/>
    <w:rsid w:val="0070555C"/>
    <w:rsid w:val="00706055"/>
    <w:rsid w:val="00706D02"/>
    <w:rsid w:val="00707672"/>
    <w:rsid w:val="00707838"/>
    <w:rsid w:val="00711274"/>
    <w:rsid w:val="00712E53"/>
    <w:rsid w:val="00713EE2"/>
    <w:rsid w:val="007152E3"/>
    <w:rsid w:val="00715A9C"/>
    <w:rsid w:val="00716234"/>
    <w:rsid w:val="0071786D"/>
    <w:rsid w:val="007229F2"/>
    <w:rsid w:val="00724006"/>
    <w:rsid w:val="0072481E"/>
    <w:rsid w:val="00724BE6"/>
    <w:rsid w:val="00725339"/>
    <w:rsid w:val="007258E2"/>
    <w:rsid w:val="00725B4C"/>
    <w:rsid w:val="00727C1F"/>
    <w:rsid w:val="007311E5"/>
    <w:rsid w:val="0073157D"/>
    <w:rsid w:val="00731888"/>
    <w:rsid w:val="00732DCA"/>
    <w:rsid w:val="0073656A"/>
    <w:rsid w:val="00742F33"/>
    <w:rsid w:val="00743954"/>
    <w:rsid w:val="00745589"/>
    <w:rsid w:val="00746B67"/>
    <w:rsid w:val="00750A07"/>
    <w:rsid w:val="0075198F"/>
    <w:rsid w:val="00751FA9"/>
    <w:rsid w:val="00754154"/>
    <w:rsid w:val="007550AE"/>
    <w:rsid w:val="00755702"/>
    <w:rsid w:val="00755BCF"/>
    <w:rsid w:val="00756951"/>
    <w:rsid w:val="00760A0D"/>
    <w:rsid w:val="0076115C"/>
    <w:rsid w:val="00763739"/>
    <w:rsid w:val="00764140"/>
    <w:rsid w:val="0076785C"/>
    <w:rsid w:val="00772009"/>
    <w:rsid w:val="0077393F"/>
    <w:rsid w:val="00775421"/>
    <w:rsid w:val="00775994"/>
    <w:rsid w:val="00780124"/>
    <w:rsid w:val="007829B9"/>
    <w:rsid w:val="00786239"/>
    <w:rsid w:val="007873ED"/>
    <w:rsid w:val="007875B5"/>
    <w:rsid w:val="00790D5A"/>
    <w:rsid w:val="0079163A"/>
    <w:rsid w:val="00791EAC"/>
    <w:rsid w:val="00795249"/>
    <w:rsid w:val="007953E6"/>
    <w:rsid w:val="007957C6"/>
    <w:rsid w:val="007961CC"/>
    <w:rsid w:val="00797500"/>
    <w:rsid w:val="00797ABC"/>
    <w:rsid w:val="00797EAD"/>
    <w:rsid w:val="007A0C72"/>
    <w:rsid w:val="007A10AD"/>
    <w:rsid w:val="007A1DF8"/>
    <w:rsid w:val="007A29E0"/>
    <w:rsid w:val="007A4057"/>
    <w:rsid w:val="007A60C7"/>
    <w:rsid w:val="007B233B"/>
    <w:rsid w:val="007B2642"/>
    <w:rsid w:val="007B2E1F"/>
    <w:rsid w:val="007B4334"/>
    <w:rsid w:val="007B4483"/>
    <w:rsid w:val="007B4E98"/>
    <w:rsid w:val="007B76D6"/>
    <w:rsid w:val="007B7B1B"/>
    <w:rsid w:val="007C0BB9"/>
    <w:rsid w:val="007C0C01"/>
    <w:rsid w:val="007C45BA"/>
    <w:rsid w:val="007C575D"/>
    <w:rsid w:val="007C64ED"/>
    <w:rsid w:val="007C6627"/>
    <w:rsid w:val="007C6EA4"/>
    <w:rsid w:val="007C76FF"/>
    <w:rsid w:val="007D07A4"/>
    <w:rsid w:val="007D09F0"/>
    <w:rsid w:val="007D10DE"/>
    <w:rsid w:val="007D272F"/>
    <w:rsid w:val="007D3505"/>
    <w:rsid w:val="007D356F"/>
    <w:rsid w:val="007D4337"/>
    <w:rsid w:val="007D4445"/>
    <w:rsid w:val="007D513F"/>
    <w:rsid w:val="007E00E2"/>
    <w:rsid w:val="007E368E"/>
    <w:rsid w:val="007E3BC2"/>
    <w:rsid w:val="007E3D1E"/>
    <w:rsid w:val="007E51CB"/>
    <w:rsid w:val="007E5867"/>
    <w:rsid w:val="007E5C04"/>
    <w:rsid w:val="007F1A6C"/>
    <w:rsid w:val="007F1D93"/>
    <w:rsid w:val="007F3B1D"/>
    <w:rsid w:val="007F3F67"/>
    <w:rsid w:val="007F6DB0"/>
    <w:rsid w:val="007F7E2F"/>
    <w:rsid w:val="008001C8"/>
    <w:rsid w:val="0080053E"/>
    <w:rsid w:val="0080076E"/>
    <w:rsid w:val="00801FA6"/>
    <w:rsid w:val="00802AAA"/>
    <w:rsid w:val="00802DA4"/>
    <w:rsid w:val="00803D48"/>
    <w:rsid w:val="00804382"/>
    <w:rsid w:val="00805FF7"/>
    <w:rsid w:val="008076EB"/>
    <w:rsid w:val="008131BD"/>
    <w:rsid w:val="00816828"/>
    <w:rsid w:val="0082123E"/>
    <w:rsid w:val="0082156C"/>
    <w:rsid w:val="0082320F"/>
    <w:rsid w:val="008234F1"/>
    <w:rsid w:val="00823CEA"/>
    <w:rsid w:val="00823D52"/>
    <w:rsid w:val="0082467F"/>
    <w:rsid w:val="0082722C"/>
    <w:rsid w:val="0082776C"/>
    <w:rsid w:val="00832E04"/>
    <w:rsid w:val="008360BA"/>
    <w:rsid w:val="00837CE0"/>
    <w:rsid w:val="00840071"/>
    <w:rsid w:val="008404D2"/>
    <w:rsid w:val="0084058B"/>
    <w:rsid w:val="008411B7"/>
    <w:rsid w:val="0084158E"/>
    <w:rsid w:val="00842BF2"/>
    <w:rsid w:val="0084446E"/>
    <w:rsid w:val="00845914"/>
    <w:rsid w:val="00846BDF"/>
    <w:rsid w:val="00852ED0"/>
    <w:rsid w:val="00855FCC"/>
    <w:rsid w:val="00856274"/>
    <w:rsid w:val="00857E27"/>
    <w:rsid w:val="008601FA"/>
    <w:rsid w:val="008630DC"/>
    <w:rsid w:val="0086371F"/>
    <w:rsid w:val="00864169"/>
    <w:rsid w:val="008651C5"/>
    <w:rsid w:val="008671EF"/>
    <w:rsid w:val="00867FDD"/>
    <w:rsid w:val="0087017F"/>
    <w:rsid w:val="00871202"/>
    <w:rsid w:val="008745E2"/>
    <w:rsid w:val="00874AFC"/>
    <w:rsid w:val="008757FC"/>
    <w:rsid w:val="00875C22"/>
    <w:rsid w:val="0087610C"/>
    <w:rsid w:val="00876E04"/>
    <w:rsid w:val="00877277"/>
    <w:rsid w:val="00877511"/>
    <w:rsid w:val="008822AD"/>
    <w:rsid w:val="0088235C"/>
    <w:rsid w:val="00882B75"/>
    <w:rsid w:val="008854B9"/>
    <w:rsid w:val="00886860"/>
    <w:rsid w:val="00887ABE"/>
    <w:rsid w:val="00887C86"/>
    <w:rsid w:val="00891817"/>
    <w:rsid w:val="00891FC0"/>
    <w:rsid w:val="0089456F"/>
    <w:rsid w:val="00894B1E"/>
    <w:rsid w:val="00896343"/>
    <w:rsid w:val="00896C7A"/>
    <w:rsid w:val="00896E88"/>
    <w:rsid w:val="008970B2"/>
    <w:rsid w:val="008976F8"/>
    <w:rsid w:val="008A2800"/>
    <w:rsid w:val="008A309C"/>
    <w:rsid w:val="008A35D9"/>
    <w:rsid w:val="008A6E2B"/>
    <w:rsid w:val="008B065D"/>
    <w:rsid w:val="008B0DC3"/>
    <w:rsid w:val="008B1692"/>
    <w:rsid w:val="008B2358"/>
    <w:rsid w:val="008B555B"/>
    <w:rsid w:val="008B62E9"/>
    <w:rsid w:val="008B650F"/>
    <w:rsid w:val="008C05E2"/>
    <w:rsid w:val="008D3032"/>
    <w:rsid w:val="008D31EA"/>
    <w:rsid w:val="008D3EBC"/>
    <w:rsid w:val="008D6B7F"/>
    <w:rsid w:val="008D6FFD"/>
    <w:rsid w:val="008E02E5"/>
    <w:rsid w:val="008E0875"/>
    <w:rsid w:val="008E091D"/>
    <w:rsid w:val="008E1029"/>
    <w:rsid w:val="008E5420"/>
    <w:rsid w:val="008E5826"/>
    <w:rsid w:val="008E6866"/>
    <w:rsid w:val="008E797D"/>
    <w:rsid w:val="008F05F5"/>
    <w:rsid w:val="008F450E"/>
    <w:rsid w:val="008F55A8"/>
    <w:rsid w:val="008F62E3"/>
    <w:rsid w:val="009045CB"/>
    <w:rsid w:val="00906C19"/>
    <w:rsid w:val="00906E60"/>
    <w:rsid w:val="0091010E"/>
    <w:rsid w:val="00910F4A"/>
    <w:rsid w:val="00911057"/>
    <w:rsid w:val="00913A38"/>
    <w:rsid w:val="00915817"/>
    <w:rsid w:val="0092101C"/>
    <w:rsid w:val="00921759"/>
    <w:rsid w:val="00922495"/>
    <w:rsid w:val="009230EC"/>
    <w:rsid w:val="00925227"/>
    <w:rsid w:val="00926A74"/>
    <w:rsid w:val="00927B70"/>
    <w:rsid w:val="0093199C"/>
    <w:rsid w:val="009345C1"/>
    <w:rsid w:val="00934EF4"/>
    <w:rsid w:val="00936BB6"/>
    <w:rsid w:val="00940ABC"/>
    <w:rsid w:val="00941AD4"/>
    <w:rsid w:val="00942542"/>
    <w:rsid w:val="00942548"/>
    <w:rsid w:val="00942D29"/>
    <w:rsid w:val="00943276"/>
    <w:rsid w:val="00944F1A"/>
    <w:rsid w:val="00945E1F"/>
    <w:rsid w:val="00947011"/>
    <w:rsid w:val="009474EF"/>
    <w:rsid w:val="00950A06"/>
    <w:rsid w:val="00952407"/>
    <w:rsid w:val="0095291A"/>
    <w:rsid w:val="00955AF4"/>
    <w:rsid w:val="009565E5"/>
    <w:rsid w:val="00957656"/>
    <w:rsid w:val="00960389"/>
    <w:rsid w:val="009603D4"/>
    <w:rsid w:val="00960F3E"/>
    <w:rsid w:val="0096240A"/>
    <w:rsid w:val="00962C17"/>
    <w:rsid w:val="0096460C"/>
    <w:rsid w:val="00964B8B"/>
    <w:rsid w:val="00967C6E"/>
    <w:rsid w:val="009715D0"/>
    <w:rsid w:val="00971E56"/>
    <w:rsid w:val="00973870"/>
    <w:rsid w:val="00975700"/>
    <w:rsid w:val="009760A5"/>
    <w:rsid w:val="00977226"/>
    <w:rsid w:val="00977F25"/>
    <w:rsid w:val="00982E98"/>
    <w:rsid w:val="00983756"/>
    <w:rsid w:val="00983ED1"/>
    <w:rsid w:val="009841E3"/>
    <w:rsid w:val="009843DC"/>
    <w:rsid w:val="009858A6"/>
    <w:rsid w:val="00986736"/>
    <w:rsid w:val="00990CA7"/>
    <w:rsid w:val="0099160C"/>
    <w:rsid w:val="00991C2E"/>
    <w:rsid w:val="00991EF5"/>
    <w:rsid w:val="009946BF"/>
    <w:rsid w:val="009961FF"/>
    <w:rsid w:val="009A1A67"/>
    <w:rsid w:val="009A1D7D"/>
    <w:rsid w:val="009A2314"/>
    <w:rsid w:val="009A2DAD"/>
    <w:rsid w:val="009A3606"/>
    <w:rsid w:val="009A6444"/>
    <w:rsid w:val="009A7378"/>
    <w:rsid w:val="009B1669"/>
    <w:rsid w:val="009B23C0"/>
    <w:rsid w:val="009B28B3"/>
    <w:rsid w:val="009B318E"/>
    <w:rsid w:val="009B3A60"/>
    <w:rsid w:val="009B4824"/>
    <w:rsid w:val="009B5577"/>
    <w:rsid w:val="009B649F"/>
    <w:rsid w:val="009C09C7"/>
    <w:rsid w:val="009C3AE2"/>
    <w:rsid w:val="009C48EE"/>
    <w:rsid w:val="009D3128"/>
    <w:rsid w:val="009D4454"/>
    <w:rsid w:val="009D48A2"/>
    <w:rsid w:val="009D5AEC"/>
    <w:rsid w:val="009E0304"/>
    <w:rsid w:val="009E0A18"/>
    <w:rsid w:val="009E0C0D"/>
    <w:rsid w:val="009E164B"/>
    <w:rsid w:val="009E188B"/>
    <w:rsid w:val="009E5BDB"/>
    <w:rsid w:val="009E6909"/>
    <w:rsid w:val="009E77BC"/>
    <w:rsid w:val="009E7C61"/>
    <w:rsid w:val="009F0539"/>
    <w:rsid w:val="009F10F2"/>
    <w:rsid w:val="009F2AD8"/>
    <w:rsid w:val="009F66AB"/>
    <w:rsid w:val="00A00A92"/>
    <w:rsid w:val="00A01135"/>
    <w:rsid w:val="00A01CBF"/>
    <w:rsid w:val="00A05053"/>
    <w:rsid w:val="00A0642B"/>
    <w:rsid w:val="00A115F4"/>
    <w:rsid w:val="00A11904"/>
    <w:rsid w:val="00A156B8"/>
    <w:rsid w:val="00A15B33"/>
    <w:rsid w:val="00A16466"/>
    <w:rsid w:val="00A1733C"/>
    <w:rsid w:val="00A23ECD"/>
    <w:rsid w:val="00A24E94"/>
    <w:rsid w:val="00A26071"/>
    <w:rsid w:val="00A26534"/>
    <w:rsid w:val="00A269BF"/>
    <w:rsid w:val="00A26BEC"/>
    <w:rsid w:val="00A311C6"/>
    <w:rsid w:val="00A327C3"/>
    <w:rsid w:val="00A3584E"/>
    <w:rsid w:val="00A36DD6"/>
    <w:rsid w:val="00A4314E"/>
    <w:rsid w:val="00A44043"/>
    <w:rsid w:val="00A4499A"/>
    <w:rsid w:val="00A44E7F"/>
    <w:rsid w:val="00A45EF6"/>
    <w:rsid w:val="00A51437"/>
    <w:rsid w:val="00A54C8E"/>
    <w:rsid w:val="00A6132F"/>
    <w:rsid w:val="00A63212"/>
    <w:rsid w:val="00A63AD1"/>
    <w:rsid w:val="00A65489"/>
    <w:rsid w:val="00A67FBA"/>
    <w:rsid w:val="00A71BC4"/>
    <w:rsid w:val="00A736BF"/>
    <w:rsid w:val="00A75273"/>
    <w:rsid w:val="00A7559C"/>
    <w:rsid w:val="00A7735F"/>
    <w:rsid w:val="00A80112"/>
    <w:rsid w:val="00A8052E"/>
    <w:rsid w:val="00A80D92"/>
    <w:rsid w:val="00A80E08"/>
    <w:rsid w:val="00A81AB2"/>
    <w:rsid w:val="00A82C1D"/>
    <w:rsid w:val="00A8488B"/>
    <w:rsid w:val="00A84DC9"/>
    <w:rsid w:val="00A84FD0"/>
    <w:rsid w:val="00A91877"/>
    <w:rsid w:val="00A9603F"/>
    <w:rsid w:val="00A96A59"/>
    <w:rsid w:val="00A96BD7"/>
    <w:rsid w:val="00AA346F"/>
    <w:rsid w:val="00AA4225"/>
    <w:rsid w:val="00AA519E"/>
    <w:rsid w:val="00AA6532"/>
    <w:rsid w:val="00AA777A"/>
    <w:rsid w:val="00AB0082"/>
    <w:rsid w:val="00AB08D5"/>
    <w:rsid w:val="00AB2A26"/>
    <w:rsid w:val="00AB417E"/>
    <w:rsid w:val="00AB44EF"/>
    <w:rsid w:val="00AB4F6F"/>
    <w:rsid w:val="00AB5CA7"/>
    <w:rsid w:val="00AB7A09"/>
    <w:rsid w:val="00AC027E"/>
    <w:rsid w:val="00AC0F3A"/>
    <w:rsid w:val="00AC1923"/>
    <w:rsid w:val="00AC3621"/>
    <w:rsid w:val="00AC774D"/>
    <w:rsid w:val="00AC7AA0"/>
    <w:rsid w:val="00AD07CA"/>
    <w:rsid w:val="00AD1804"/>
    <w:rsid w:val="00AD4166"/>
    <w:rsid w:val="00AD44D5"/>
    <w:rsid w:val="00AD47EB"/>
    <w:rsid w:val="00AD4BAB"/>
    <w:rsid w:val="00AD59E8"/>
    <w:rsid w:val="00AD6CBE"/>
    <w:rsid w:val="00AD75D3"/>
    <w:rsid w:val="00AE0809"/>
    <w:rsid w:val="00AE085F"/>
    <w:rsid w:val="00AE216D"/>
    <w:rsid w:val="00AE40A6"/>
    <w:rsid w:val="00AE7994"/>
    <w:rsid w:val="00AE7C20"/>
    <w:rsid w:val="00AE7FEF"/>
    <w:rsid w:val="00AF0ABF"/>
    <w:rsid w:val="00AF0E23"/>
    <w:rsid w:val="00AF2551"/>
    <w:rsid w:val="00AF2995"/>
    <w:rsid w:val="00AF5198"/>
    <w:rsid w:val="00AF5654"/>
    <w:rsid w:val="00AF5731"/>
    <w:rsid w:val="00AF5A7D"/>
    <w:rsid w:val="00B0381F"/>
    <w:rsid w:val="00B040ED"/>
    <w:rsid w:val="00B04491"/>
    <w:rsid w:val="00B10110"/>
    <w:rsid w:val="00B10878"/>
    <w:rsid w:val="00B109D4"/>
    <w:rsid w:val="00B12048"/>
    <w:rsid w:val="00B12060"/>
    <w:rsid w:val="00B1223F"/>
    <w:rsid w:val="00B14324"/>
    <w:rsid w:val="00B14CFC"/>
    <w:rsid w:val="00B16C4D"/>
    <w:rsid w:val="00B1708A"/>
    <w:rsid w:val="00B1742F"/>
    <w:rsid w:val="00B21640"/>
    <w:rsid w:val="00B23E22"/>
    <w:rsid w:val="00B24896"/>
    <w:rsid w:val="00B24A9D"/>
    <w:rsid w:val="00B26206"/>
    <w:rsid w:val="00B267E2"/>
    <w:rsid w:val="00B26A1A"/>
    <w:rsid w:val="00B3167D"/>
    <w:rsid w:val="00B33B83"/>
    <w:rsid w:val="00B33BA3"/>
    <w:rsid w:val="00B361A6"/>
    <w:rsid w:val="00B37C31"/>
    <w:rsid w:val="00B37D0A"/>
    <w:rsid w:val="00B4087F"/>
    <w:rsid w:val="00B41E5B"/>
    <w:rsid w:val="00B422E2"/>
    <w:rsid w:val="00B42AFD"/>
    <w:rsid w:val="00B430B6"/>
    <w:rsid w:val="00B437C7"/>
    <w:rsid w:val="00B44F0C"/>
    <w:rsid w:val="00B46974"/>
    <w:rsid w:val="00B53226"/>
    <w:rsid w:val="00B55ABB"/>
    <w:rsid w:val="00B562CF"/>
    <w:rsid w:val="00B573C6"/>
    <w:rsid w:val="00B57B4B"/>
    <w:rsid w:val="00B60E2F"/>
    <w:rsid w:val="00B61915"/>
    <w:rsid w:val="00B635D2"/>
    <w:rsid w:val="00B66D36"/>
    <w:rsid w:val="00B66F8B"/>
    <w:rsid w:val="00B674BB"/>
    <w:rsid w:val="00B67B6E"/>
    <w:rsid w:val="00B71C9B"/>
    <w:rsid w:val="00B7353A"/>
    <w:rsid w:val="00B75A49"/>
    <w:rsid w:val="00B80C64"/>
    <w:rsid w:val="00B80D49"/>
    <w:rsid w:val="00B83B1F"/>
    <w:rsid w:val="00B84D57"/>
    <w:rsid w:val="00B85439"/>
    <w:rsid w:val="00B86B8C"/>
    <w:rsid w:val="00B90B2B"/>
    <w:rsid w:val="00B92CEC"/>
    <w:rsid w:val="00B92D6B"/>
    <w:rsid w:val="00B93727"/>
    <w:rsid w:val="00B93732"/>
    <w:rsid w:val="00B93AAC"/>
    <w:rsid w:val="00B95E14"/>
    <w:rsid w:val="00B95F56"/>
    <w:rsid w:val="00B97042"/>
    <w:rsid w:val="00BA0349"/>
    <w:rsid w:val="00BA0951"/>
    <w:rsid w:val="00BA393A"/>
    <w:rsid w:val="00BA56C3"/>
    <w:rsid w:val="00BA6F33"/>
    <w:rsid w:val="00BA7A83"/>
    <w:rsid w:val="00BB3ADC"/>
    <w:rsid w:val="00BB4693"/>
    <w:rsid w:val="00BB79B4"/>
    <w:rsid w:val="00BB7B11"/>
    <w:rsid w:val="00BB7C2A"/>
    <w:rsid w:val="00BC5005"/>
    <w:rsid w:val="00BC68AC"/>
    <w:rsid w:val="00BD06A1"/>
    <w:rsid w:val="00BD0C46"/>
    <w:rsid w:val="00BD254C"/>
    <w:rsid w:val="00BD2590"/>
    <w:rsid w:val="00BD2B99"/>
    <w:rsid w:val="00BD4E80"/>
    <w:rsid w:val="00BD5E26"/>
    <w:rsid w:val="00BD7A26"/>
    <w:rsid w:val="00BE0D71"/>
    <w:rsid w:val="00BE2219"/>
    <w:rsid w:val="00BE2690"/>
    <w:rsid w:val="00BE336C"/>
    <w:rsid w:val="00BE3A3D"/>
    <w:rsid w:val="00BE3E7B"/>
    <w:rsid w:val="00BE60ED"/>
    <w:rsid w:val="00BE6379"/>
    <w:rsid w:val="00BE6CE1"/>
    <w:rsid w:val="00BF17F9"/>
    <w:rsid w:val="00BF29D3"/>
    <w:rsid w:val="00BF3102"/>
    <w:rsid w:val="00BF3EC0"/>
    <w:rsid w:val="00BF4A90"/>
    <w:rsid w:val="00BF5073"/>
    <w:rsid w:val="00BF68C0"/>
    <w:rsid w:val="00BF6E3D"/>
    <w:rsid w:val="00BF7660"/>
    <w:rsid w:val="00C01CA3"/>
    <w:rsid w:val="00C01EE6"/>
    <w:rsid w:val="00C02179"/>
    <w:rsid w:val="00C02D55"/>
    <w:rsid w:val="00C043F9"/>
    <w:rsid w:val="00C04418"/>
    <w:rsid w:val="00C04988"/>
    <w:rsid w:val="00C04F28"/>
    <w:rsid w:val="00C053DF"/>
    <w:rsid w:val="00C05944"/>
    <w:rsid w:val="00C05BD8"/>
    <w:rsid w:val="00C061BA"/>
    <w:rsid w:val="00C06CA0"/>
    <w:rsid w:val="00C07C1B"/>
    <w:rsid w:val="00C10A67"/>
    <w:rsid w:val="00C11EE8"/>
    <w:rsid w:val="00C13632"/>
    <w:rsid w:val="00C14114"/>
    <w:rsid w:val="00C153C0"/>
    <w:rsid w:val="00C1559A"/>
    <w:rsid w:val="00C15C07"/>
    <w:rsid w:val="00C208C4"/>
    <w:rsid w:val="00C217DE"/>
    <w:rsid w:val="00C22D1A"/>
    <w:rsid w:val="00C2334E"/>
    <w:rsid w:val="00C24FEB"/>
    <w:rsid w:val="00C252C7"/>
    <w:rsid w:val="00C25801"/>
    <w:rsid w:val="00C27E4E"/>
    <w:rsid w:val="00C3037B"/>
    <w:rsid w:val="00C30E89"/>
    <w:rsid w:val="00C32666"/>
    <w:rsid w:val="00C35AB2"/>
    <w:rsid w:val="00C36DC9"/>
    <w:rsid w:val="00C410AF"/>
    <w:rsid w:val="00C41B05"/>
    <w:rsid w:val="00C42445"/>
    <w:rsid w:val="00C42676"/>
    <w:rsid w:val="00C436FA"/>
    <w:rsid w:val="00C44F1B"/>
    <w:rsid w:val="00C4516D"/>
    <w:rsid w:val="00C45DCF"/>
    <w:rsid w:val="00C463D5"/>
    <w:rsid w:val="00C4766A"/>
    <w:rsid w:val="00C51C14"/>
    <w:rsid w:val="00C52DAC"/>
    <w:rsid w:val="00C53F0F"/>
    <w:rsid w:val="00C55E23"/>
    <w:rsid w:val="00C6262D"/>
    <w:rsid w:val="00C638BB"/>
    <w:rsid w:val="00C64D39"/>
    <w:rsid w:val="00C65E49"/>
    <w:rsid w:val="00C67453"/>
    <w:rsid w:val="00C70D92"/>
    <w:rsid w:val="00C74313"/>
    <w:rsid w:val="00C76A59"/>
    <w:rsid w:val="00C77D2F"/>
    <w:rsid w:val="00C84884"/>
    <w:rsid w:val="00C86154"/>
    <w:rsid w:val="00C909C8"/>
    <w:rsid w:val="00C90A00"/>
    <w:rsid w:val="00C9222E"/>
    <w:rsid w:val="00C937FF"/>
    <w:rsid w:val="00C93DBB"/>
    <w:rsid w:val="00C954DD"/>
    <w:rsid w:val="00C95506"/>
    <w:rsid w:val="00C96065"/>
    <w:rsid w:val="00C96D93"/>
    <w:rsid w:val="00CA1094"/>
    <w:rsid w:val="00CA1452"/>
    <w:rsid w:val="00CA20EE"/>
    <w:rsid w:val="00CA2803"/>
    <w:rsid w:val="00CA47BE"/>
    <w:rsid w:val="00CA4E41"/>
    <w:rsid w:val="00CA50F5"/>
    <w:rsid w:val="00CA5506"/>
    <w:rsid w:val="00CA619A"/>
    <w:rsid w:val="00CA6257"/>
    <w:rsid w:val="00CA7E7D"/>
    <w:rsid w:val="00CB08C9"/>
    <w:rsid w:val="00CB1BEF"/>
    <w:rsid w:val="00CB312C"/>
    <w:rsid w:val="00CB3657"/>
    <w:rsid w:val="00CB47CA"/>
    <w:rsid w:val="00CB5E9A"/>
    <w:rsid w:val="00CB64BB"/>
    <w:rsid w:val="00CC112C"/>
    <w:rsid w:val="00CC16DA"/>
    <w:rsid w:val="00CC266F"/>
    <w:rsid w:val="00CC48FD"/>
    <w:rsid w:val="00CC4E1C"/>
    <w:rsid w:val="00CC4F42"/>
    <w:rsid w:val="00CC4FC9"/>
    <w:rsid w:val="00CC5CEE"/>
    <w:rsid w:val="00CC620B"/>
    <w:rsid w:val="00CC648B"/>
    <w:rsid w:val="00CC7DF5"/>
    <w:rsid w:val="00CD11E2"/>
    <w:rsid w:val="00CD1395"/>
    <w:rsid w:val="00CD1521"/>
    <w:rsid w:val="00CD194D"/>
    <w:rsid w:val="00CD2750"/>
    <w:rsid w:val="00CD2E2F"/>
    <w:rsid w:val="00CD4A5D"/>
    <w:rsid w:val="00CD54F1"/>
    <w:rsid w:val="00CD7FFA"/>
    <w:rsid w:val="00CE2FC3"/>
    <w:rsid w:val="00CE30C0"/>
    <w:rsid w:val="00CE415A"/>
    <w:rsid w:val="00CE4A17"/>
    <w:rsid w:val="00CE63BF"/>
    <w:rsid w:val="00CE704D"/>
    <w:rsid w:val="00CF0584"/>
    <w:rsid w:val="00CF4621"/>
    <w:rsid w:val="00CF71D3"/>
    <w:rsid w:val="00CF7932"/>
    <w:rsid w:val="00CF79F3"/>
    <w:rsid w:val="00CF7A12"/>
    <w:rsid w:val="00D001D2"/>
    <w:rsid w:val="00D06260"/>
    <w:rsid w:val="00D1020B"/>
    <w:rsid w:val="00D126F1"/>
    <w:rsid w:val="00D14EBD"/>
    <w:rsid w:val="00D155D2"/>
    <w:rsid w:val="00D171B9"/>
    <w:rsid w:val="00D216C1"/>
    <w:rsid w:val="00D22828"/>
    <w:rsid w:val="00D252FC"/>
    <w:rsid w:val="00D25D2B"/>
    <w:rsid w:val="00D25D58"/>
    <w:rsid w:val="00D27A73"/>
    <w:rsid w:val="00D27FE4"/>
    <w:rsid w:val="00D3282E"/>
    <w:rsid w:val="00D3415E"/>
    <w:rsid w:val="00D353A0"/>
    <w:rsid w:val="00D363CB"/>
    <w:rsid w:val="00D37E96"/>
    <w:rsid w:val="00D400BE"/>
    <w:rsid w:val="00D41DCD"/>
    <w:rsid w:val="00D4220E"/>
    <w:rsid w:val="00D4417B"/>
    <w:rsid w:val="00D45B1E"/>
    <w:rsid w:val="00D45B3C"/>
    <w:rsid w:val="00D50287"/>
    <w:rsid w:val="00D50B0C"/>
    <w:rsid w:val="00D51B04"/>
    <w:rsid w:val="00D52595"/>
    <w:rsid w:val="00D53B53"/>
    <w:rsid w:val="00D54CF3"/>
    <w:rsid w:val="00D54E12"/>
    <w:rsid w:val="00D60F30"/>
    <w:rsid w:val="00D616DA"/>
    <w:rsid w:val="00D629C5"/>
    <w:rsid w:val="00D62CDF"/>
    <w:rsid w:val="00D64BBE"/>
    <w:rsid w:val="00D65BAA"/>
    <w:rsid w:val="00D65F79"/>
    <w:rsid w:val="00D6689A"/>
    <w:rsid w:val="00D66BD1"/>
    <w:rsid w:val="00D7067F"/>
    <w:rsid w:val="00D735D0"/>
    <w:rsid w:val="00D739F6"/>
    <w:rsid w:val="00D73A30"/>
    <w:rsid w:val="00D7478C"/>
    <w:rsid w:val="00D75C2F"/>
    <w:rsid w:val="00D75EE5"/>
    <w:rsid w:val="00D76A4C"/>
    <w:rsid w:val="00D77689"/>
    <w:rsid w:val="00D8387F"/>
    <w:rsid w:val="00D84250"/>
    <w:rsid w:val="00D85894"/>
    <w:rsid w:val="00D86223"/>
    <w:rsid w:val="00D863CE"/>
    <w:rsid w:val="00D87B16"/>
    <w:rsid w:val="00D87F2F"/>
    <w:rsid w:val="00D9026E"/>
    <w:rsid w:val="00D91245"/>
    <w:rsid w:val="00D91903"/>
    <w:rsid w:val="00D942C2"/>
    <w:rsid w:val="00D945C8"/>
    <w:rsid w:val="00D94D6E"/>
    <w:rsid w:val="00D97921"/>
    <w:rsid w:val="00DA14C6"/>
    <w:rsid w:val="00DA2EBB"/>
    <w:rsid w:val="00DA34CC"/>
    <w:rsid w:val="00DA481D"/>
    <w:rsid w:val="00DA50EF"/>
    <w:rsid w:val="00DA5B82"/>
    <w:rsid w:val="00DB03A6"/>
    <w:rsid w:val="00DB094C"/>
    <w:rsid w:val="00DB3712"/>
    <w:rsid w:val="00DB4FB0"/>
    <w:rsid w:val="00DB5648"/>
    <w:rsid w:val="00DB57CE"/>
    <w:rsid w:val="00DB750E"/>
    <w:rsid w:val="00DC036B"/>
    <w:rsid w:val="00DC1295"/>
    <w:rsid w:val="00DC3DF3"/>
    <w:rsid w:val="00DC4224"/>
    <w:rsid w:val="00DC577D"/>
    <w:rsid w:val="00DC7B37"/>
    <w:rsid w:val="00DD17C5"/>
    <w:rsid w:val="00DD213E"/>
    <w:rsid w:val="00DD2717"/>
    <w:rsid w:val="00DD2CB4"/>
    <w:rsid w:val="00DD2E67"/>
    <w:rsid w:val="00DD46AC"/>
    <w:rsid w:val="00DD5022"/>
    <w:rsid w:val="00DD5FBD"/>
    <w:rsid w:val="00DD6023"/>
    <w:rsid w:val="00DD669F"/>
    <w:rsid w:val="00DD6F3F"/>
    <w:rsid w:val="00DD7851"/>
    <w:rsid w:val="00DE117C"/>
    <w:rsid w:val="00DE2BAE"/>
    <w:rsid w:val="00DE3117"/>
    <w:rsid w:val="00DE35A2"/>
    <w:rsid w:val="00DE3EC6"/>
    <w:rsid w:val="00DE414E"/>
    <w:rsid w:val="00DF1328"/>
    <w:rsid w:val="00DF1C72"/>
    <w:rsid w:val="00DF1FDF"/>
    <w:rsid w:val="00DF2425"/>
    <w:rsid w:val="00DF358F"/>
    <w:rsid w:val="00DF5F3F"/>
    <w:rsid w:val="00DF7318"/>
    <w:rsid w:val="00DF7773"/>
    <w:rsid w:val="00E013D9"/>
    <w:rsid w:val="00E0206F"/>
    <w:rsid w:val="00E02325"/>
    <w:rsid w:val="00E02E2A"/>
    <w:rsid w:val="00E04B16"/>
    <w:rsid w:val="00E05391"/>
    <w:rsid w:val="00E100FC"/>
    <w:rsid w:val="00E12BF5"/>
    <w:rsid w:val="00E1476A"/>
    <w:rsid w:val="00E154CD"/>
    <w:rsid w:val="00E16B22"/>
    <w:rsid w:val="00E172E5"/>
    <w:rsid w:val="00E221D7"/>
    <w:rsid w:val="00E256DB"/>
    <w:rsid w:val="00E25EE3"/>
    <w:rsid w:val="00E26CE8"/>
    <w:rsid w:val="00E271F1"/>
    <w:rsid w:val="00E305B9"/>
    <w:rsid w:val="00E33530"/>
    <w:rsid w:val="00E35318"/>
    <w:rsid w:val="00E363FA"/>
    <w:rsid w:val="00E36645"/>
    <w:rsid w:val="00E40BF1"/>
    <w:rsid w:val="00E41836"/>
    <w:rsid w:val="00E42C81"/>
    <w:rsid w:val="00E42ECC"/>
    <w:rsid w:val="00E435AB"/>
    <w:rsid w:val="00E43C90"/>
    <w:rsid w:val="00E4708E"/>
    <w:rsid w:val="00E47AB0"/>
    <w:rsid w:val="00E50B33"/>
    <w:rsid w:val="00E5153D"/>
    <w:rsid w:val="00E53B3E"/>
    <w:rsid w:val="00E55186"/>
    <w:rsid w:val="00E57094"/>
    <w:rsid w:val="00E602D8"/>
    <w:rsid w:val="00E61097"/>
    <w:rsid w:val="00E62B1D"/>
    <w:rsid w:val="00E63E45"/>
    <w:rsid w:val="00E6446C"/>
    <w:rsid w:val="00E64ACA"/>
    <w:rsid w:val="00E70333"/>
    <w:rsid w:val="00E71D35"/>
    <w:rsid w:val="00E7256E"/>
    <w:rsid w:val="00E72BCD"/>
    <w:rsid w:val="00E7382A"/>
    <w:rsid w:val="00E74EBD"/>
    <w:rsid w:val="00E7599F"/>
    <w:rsid w:val="00E77828"/>
    <w:rsid w:val="00E821D1"/>
    <w:rsid w:val="00E82C00"/>
    <w:rsid w:val="00E837CE"/>
    <w:rsid w:val="00E83D85"/>
    <w:rsid w:val="00E856C4"/>
    <w:rsid w:val="00E86882"/>
    <w:rsid w:val="00E8706A"/>
    <w:rsid w:val="00E90ECD"/>
    <w:rsid w:val="00E91658"/>
    <w:rsid w:val="00E93D3A"/>
    <w:rsid w:val="00E94359"/>
    <w:rsid w:val="00E961AC"/>
    <w:rsid w:val="00E97DA8"/>
    <w:rsid w:val="00EA3EE3"/>
    <w:rsid w:val="00EA3F89"/>
    <w:rsid w:val="00EA4142"/>
    <w:rsid w:val="00EA58DE"/>
    <w:rsid w:val="00EB5742"/>
    <w:rsid w:val="00EB5859"/>
    <w:rsid w:val="00EB723C"/>
    <w:rsid w:val="00EC0262"/>
    <w:rsid w:val="00EC2D03"/>
    <w:rsid w:val="00EC343D"/>
    <w:rsid w:val="00EC460D"/>
    <w:rsid w:val="00EC6726"/>
    <w:rsid w:val="00EC6AC2"/>
    <w:rsid w:val="00EC7EF7"/>
    <w:rsid w:val="00ED1C1D"/>
    <w:rsid w:val="00ED47B7"/>
    <w:rsid w:val="00ED47D0"/>
    <w:rsid w:val="00EE04B8"/>
    <w:rsid w:val="00EE0DAE"/>
    <w:rsid w:val="00EE2384"/>
    <w:rsid w:val="00EE58EE"/>
    <w:rsid w:val="00EE5A33"/>
    <w:rsid w:val="00EE5E01"/>
    <w:rsid w:val="00EE6B10"/>
    <w:rsid w:val="00EF0C3E"/>
    <w:rsid w:val="00EF38AD"/>
    <w:rsid w:val="00EF7624"/>
    <w:rsid w:val="00EF7E35"/>
    <w:rsid w:val="00F023DB"/>
    <w:rsid w:val="00F05FD0"/>
    <w:rsid w:val="00F05FF5"/>
    <w:rsid w:val="00F10F7A"/>
    <w:rsid w:val="00F117E0"/>
    <w:rsid w:val="00F12C29"/>
    <w:rsid w:val="00F204C7"/>
    <w:rsid w:val="00F22B59"/>
    <w:rsid w:val="00F23664"/>
    <w:rsid w:val="00F245BC"/>
    <w:rsid w:val="00F263ED"/>
    <w:rsid w:val="00F26BFF"/>
    <w:rsid w:val="00F30154"/>
    <w:rsid w:val="00F329FA"/>
    <w:rsid w:val="00F335FB"/>
    <w:rsid w:val="00F34A61"/>
    <w:rsid w:val="00F359E7"/>
    <w:rsid w:val="00F36C4B"/>
    <w:rsid w:val="00F36F3C"/>
    <w:rsid w:val="00F40B7C"/>
    <w:rsid w:val="00F42621"/>
    <w:rsid w:val="00F42D3F"/>
    <w:rsid w:val="00F44982"/>
    <w:rsid w:val="00F45F55"/>
    <w:rsid w:val="00F46239"/>
    <w:rsid w:val="00F504AE"/>
    <w:rsid w:val="00F517B8"/>
    <w:rsid w:val="00F51937"/>
    <w:rsid w:val="00F52A7E"/>
    <w:rsid w:val="00F52B9E"/>
    <w:rsid w:val="00F53676"/>
    <w:rsid w:val="00F601FC"/>
    <w:rsid w:val="00F61020"/>
    <w:rsid w:val="00F6128C"/>
    <w:rsid w:val="00F6371A"/>
    <w:rsid w:val="00F6472A"/>
    <w:rsid w:val="00F67036"/>
    <w:rsid w:val="00F70769"/>
    <w:rsid w:val="00F70E20"/>
    <w:rsid w:val="00F72164"/>
    <w:rsid w:val="00F7274A"/>
    <w:rsid w:val="00F73657"/>
    <w:rsid w:val="00F73FD6"/>
    <w:rsid w:val="00F7603E"/>
    <w:rsid w:val="00F769FE"/>
    <w:rsid w:val="00F770A3"/>
    <w:rsid w:val="00F80B6F"/>
    <w:rsid w:val="00F810BA"/>
    <w:rsid w:val="00F819FC"/>
    <w:rsid w:val="00F8232A"/>
    <w:rsid w:val="00F826D0"/>
    <w:rsid w:val="00F82BC0"/>
    <w:rsid w:val="00F83503"/>
    <w:rsid w:val="00F83DAD"/>
    <w:rsid w:val="00F83FD5"/>
    <w:rsid w:val="00F87322"/>
    <w:rsid w:val="00F87E8D"/>
    <w:rsid w:val="00F912BB"/>
    <w:rsid w:val="00F9189A"/>
    <w:rsid w:val="00F91DF0"/>
    <w:rsid w:val="00F92414"/>
    <w:rsid w:val="00F92445"/>
    <w:rsid w:val="00F924C6"/>
    <w:rsid w:val="00F93902"/>
    <w:rsid w:val="00F953B7"/>
    <w:rsid w:val="00F96227"/>
    <w:rsid w:val="00F975A8"/>
    <w:rsid w:val="00FA0768"/>
    <w:rsid w:val="00FA076C"/>
    <w:rsid w:val="00FA1495"/>
    <w:rsid w:val="00FA2991"/>
    <w:rsid w:val="00FA3ADA"/>
    <w:rsid w:val="00FA57E7"/>
    <w:rsid w:val="00FA7B7F"/>
    <w:rsid w:val="00FB20BA"/>
    <w:rsid w:val="00FB21D2"/>
    <w:rsid w:val="00FB3D54"/>
    <w:rsid w:val="00FB4F3E"/>
    <w:rsid w:val="00FB5CF9"/>
    <w:rsid w:val="00FB6CF3"/>
    <w:rsid w:val="00FB705F"/>
    <w:rsid w:val="00FC1C75"/>
    <w:rsid w:val="00FC1ECD"/>
    <w:rsid w:val="00FC2356"/>
    <w:rsid w:val="00FC288A"/>
    <w:rsid w:val="00FC3BFB"/>
    <w:rsid w:val="00FC457F"/>
    <w:rsid w:val="00FC5805"/>
    <w:rsid w:val="00FC6496"/>
    <w:rsid w:val="00FC6BD0"/>
    <w:rsid w:val="00FD0057"/>
    <w:rsid w:val="00FD345E"/>
    <w:rsid w:val="00FD3CEB"/>
    <w:rsid w:val="00FD5B3B"/>
    <w:rsid w:val="00FD76E3"/>
    <w:rsid w:val="00FD7CAB"/>
    <w:rsid w:val="00FD7DC6"/>
    <w:rsid w:val="00FE0FE3"/>
    <w:rsid w:val="00FE215A"/>
    <w:rsid w:val="00FE313B"/>
    <w:rsid w:val="00FE3391"/>
    <w:rsid w:val="00FE4B71"/>
    <w:rsid w:val="00FE64B6"/>
    <w:rsid w:val="00FE66CF"/>
    <w:rsid w:val="00FE70AC"/>
    <w:rsid w:val="00FE71F5"/>
    <w:rsid w:val="00FE7D66"/>
    <w:rsid w:val="00FF2703"/>
    <w:rsid w:val="00FF462A"/>
    <w:rsid w:val="00FF6EEF"/>
    <w:rsid w:val="00FF70C9"/>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enu v:ext="edit"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12C"/>
    <w:pPr>
      <w:widowControl w:val="0"/>
      <w:spacing w:after="120" w:line="240" w:lineRule="atLeast"/>
    </w:pPr>
    <w:rPr>
      <w:rFonts w:ascii="Arial" w:hAnsi="Arial"/>
      <w:sz w:val="22"/>
      <w:lang w:val="en-GB"/>
    </w:rPr>
  </w:style>
  <w:style w:type="paragraph" w:styleId="Heading1">
    <w:name w:val="heading 1"/>
    <w:basedOn w:val="Normal"/>
    <w:next w:val="Normal"/>
    <w:qFormat/>
    <w:rsid w:val="00CB312C"/>
    <w:pPr>
      <w:keepNext/>
      <w:outlineLvl w:val="0"/>
    </w:pPr>
    <w:rPr>
      <w:sz w:val="24"/>
    </w:rPr>
  </w:style>
  <w:style w:type="paragraph" w:styleId="Heading2">
    <w:name w:val="heading 2"/>
    <w:basedOn w:val="Normal"/>
    <w:next w:val="Normal"/>
    <w:qFormat/>
    <w:rsid w:val="00CB312C"/>
    <w:pPr>
      <w:keepNext/>
      <w:tabs>
        <w:tab w:val="left" w:pos="2127"/>
      </w:tabs>
      <w:ind w:left="2131" w:hanging="2131"/>
      <w:outlineLvl w:val="1"/>
    </w:pPr>
    <w:rPr>
      <w:b/>
      <w:sz w:val="24"/>
      <w:lang w:val="en-US"/>
    </w:rPr>
  </w:style>
  <w:style w:type="paragraph" w:styleId="Heading3">
    <w:name w:val="heading 3"/>
    <w:basedOn w:val="Normal"/>
    <w:next w:val="Normal"/>
    <w:qFormat/>
    <w:rsid w:val="00CB312C"/>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CB312C"/>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CB312C"/>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CB312C"/>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CB312C"/>
    <w:pPr>
      <w:widowControl/>
      <w:tabs>
        <w:tab w:val="center" w:pos="4819"/>
        <w:tab w:val="right" w:pos="9071"/>
      </w:tabs>
      <w:jc w:val="both"/>
    </w:pPr>
  </w:style>
  <w:style w:type="paragraph" w:styleId="Footer">
    <w:name w:val="footer"/>
    <w:basedOn w:val="Normal"/>
    <w:rsid w:val="00CB312C"/>
    <w:pPr>
      <w:tabs>
        <w:tab w:val="center" w:pos="4320"/>
        <w:tab w:val="right" w:pos="8640"/>
      </w:tabs>
    </w:pPr>
  </w:style>
  <w:style w:type="character" w:styleId="PageNumber">
    <w:name w:val="page number"/>
    <w:basedOn w:val="DefaultParagraphFont"/>
    <w:rsid w:val="00CB312C"/>
  </w:style>
  <w:style w:type="paragraph" w:styleId="FootnoteText">
    <w:name w:val="footnote text"/>
    <w:basedOn w:val="Normal"/>
    <w:semiHidden/>
    <w:rsid w:val="00CB312C"/>
    <w:rPr>
      <w:sz w:val="20"/>
    </w:rPr>
  </w:style>
  <w:style w:type="character" w:styleId="FootnoteReference">
    <w:name w:val="footnote reference"/>
    <w:basedOn w:val="DefaultParagraphFont"/>
    <w:semiHidden/>
    <w:rsid w:val="00CB312C"/>
    <w:rPr>
      <w:vertAlign w:val="superscript"/>
    </w:rPr>
  </w:style>
  <w:style w:type="paragraph" w:customStyle="1" w:styleId="Heading">
    <w:name w:val="Heading"/>
    <w:aliases w:val="1_"/>
    <w:basedOn w:val="Normal"/>
    <w:rsid w:val="00CB312C"/>
    <w:pPr>
      <w:ind w:left="1260" w:hanging="551"/>
    </w:pPr>
    <w:rPr>
      <w:b/>
    </w:rPr>
  </w:style>
  <w:style w:type="paragraph" w:styleId="BodyTextIndent">
    <w:name w:val="Body Text Indent"/>
    <w:basedOn w:val="Normal"/>
    <w:rsid w:val="00CB312C"/>
    <w:pPr>
      <w:tabs>
        <w:tab w:val="left" w:pos="6379"/>
      </w:tabs>
      <w:spacing w:after="0"/>
      <w:ind w:left="1454" w:hanging="461"/>
    </w:pPr>
    <w:rPr>
      <w:color w:val="000000"/>
      <w:sz w:val="16"/>
      <w:lang w:val="en-US"/>
    </w:rPr>
  </w:style>
  <w:style w:type="paragraph" w:customStyle="1" w:styleId="IndentText">
    <w:name w:val="Indent Text"/>
    <w:basedOn w:val="Normal"/>
    <w:rsid w:val="00CB312C"/>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CB312C"/>
    <w:rPr>
      <w:sz w:val="20"/>
    </w:rPr>
  </w:style>
  <w:style w:type="character" w:styleId="EndnoteReference">
    <w:name w:val="endnote reference"/>
    <w:basedOn w:val="DefaultParagraphFont"/>
    <w:semiHidden/>
    <w:rsid w:val="00CB312C"/>
    <w:rPr>
      <w:vertAlign w:val="superscript"/>
    </w:rPr>
  </w:style>
  <w:style w:type="paragraph" w:styleId="BodyTextIndent2">
    <w:name w:val="Body Text Indent 2"/>
    <w:basedOn w:val="Normal"/>
    <w:rsid w:val="00CB312C"/>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CB312C"/>
    <w:pPr>
      <w:tabs>
        <w:tab w:val="left" w:pos="1560"/>
        <w:tab w:val="left" w:pos="6379"/>
      </w:tabs>
      <w:spacing w:after="0"/>
      <w:ind w:left="6379" w:hanging="4820"/>
    </w:pPr>
    <w:rPr>
      <w:bCs/>
      <w:color w:val="FF0000"/>
      <w:sz w:val="18"/>
      <w:lang w:val="en-US"/>
    </w:rPr>
  </w:style>
  <w:style w:type="paragraph" w:customStyle="1" w:styleId="PL">
    <w:name w:val="PL"/>
    <w:rsid w:val="00CB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CB312C"/>
    <w:pPr>
      <w:jc w:val="both"/>
    </w:pPr>
    <w:rPr>
      <w:sz w:val="20"/>
      <w:lang w:val="en-US"/>
    </w:rPr>
  </w:style>
  <w:style w:type="paragraph" w:customStyle="1" w:styleId="HE">
    <w:name w:val="HE"/>
    <w:basedOn w:val="Normal"/>
    <w:rsid w:val="00CB312C"/>
    <w:pPr>
      <w:widowControl/>
      <w:spacing w:after="0" w:line="240" w:lineRule="auto"/>
    </w:pPr>
    <w:rPr>
      <w:b/>
      <w:sz w:val="20"/>
    </w:rPr>
  </w:style>
  <w:style w:type="paragraph" w:customStyle="1" w:styleId="TAH">
    <w:name w:val="TAH"/>
    <w:basedOn w:val="Normal"/>
    <w:rsid w:val="00CB312C"/>
    <w:pPr>
      <w:keepNext/>
      <w:keepLines/>
      <w:widowControl/>
      <w:spacing w:after="0" w:line="240" w:lineRule="auto"/>
      <w:jc w:val="center"/>
    </w:pPr>
    <w:rPr>
      <w:b/>
      <w:sz w:val="18"/>
    </w:rPr>
  </w:style>
  <w:style w:type="paragraph" w:customStyle="1" w:styleId="NormalIndent">
    <w:name w:val="NormalIndent"/>
    <w:basedOn w:val="Normal"/>
    <w:rsid w:val="00CB312C"/>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basedOn w:val="DefaultParagraphFont"/>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qFormat/>
    <w:rsid w:val="00F91DF0"/>
    <w:rPr>
      <w:b/>
      <w:bCs/>
    </w:rPr>
  </w:style>
  <w:style w:type="paragraph" w:styleId="ListParagraph">
    <w:name w:val="List Paragraph"/>
    <w:basedOn w:val="Normal"/>
    <w:uiPriority w:val="34"/>
    <w:qFormat/>
    <w:rsid w:val="00B4087F"/>
    <w:pPr>
      <w:widowControl/>
      <w:spacing w:after="0" w:line="240" w:lineRule="auto"/>
      <w:ind w:left="720"/>
      <w:contextualSpacing/>
    </w:pPr>
    <w:rPr>
      <w:rFonts w:ascii="Times New Roman" w:eastAsia="Times New Roman" w:hAnsi="Times New Roman"/>
      <w:sz w:val="24"/>
      <w:szCs w:val="24"/>
      <w:lang w:val="en-US"/>
    </w:rPr>
  </w:style>
  <w:style w:type="table" w:styleId="TableGrid">
    <w:name w:val="Table Grid"/>
    <w:basedOn w:val="TableNormal"/>
    <w:rsid w:val="006C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51247A"/>
  </w:style>
  <w:style w:type="character" w:styleId="CommentReference">
    <w:name w:val="annotation reference"/>
    <w:basedOn w:val="DefaultParagraphFont"/>
    <w:rsid w:val="006C27E1"/>
    <w:rPr>
      <w:sz w:val="16"/>
      <w:szCs w:val="16"/>
    </w:rPr>
  </w:style>
  <w:style w:type="paragraph" w:styleId="CommentText">
    <w:name w:val="annotation text"/>
    <w:basedOn w:val="Normal"/>
    <w:link w:val="CommentTextChar"/>
    <w:uiPriority w:val="99"/>
    <w:rsid w:val="006C27E1"/>
    <w:rPr>
      <w:sz w:val="20"/>
    </w:rPr>
  </w:style>
  <w:style w:type="character" w:customStyle="1" w:styleId="CommentTextChar">
    <w:name w:val="Comment Text Char"/>
    <w:basedOn w:val="DefaultParagraphFont"/>
    <w:link w:val="CommentText"/>
    <w:uiPriority w:val="99"/>
    <w:rsid w:val="006C27E1"/>
    <w:rPr>
      <w:rFonts w:ascii="Arial" w:hAnsi="Arial"/>
      <w:lang w:val="en-GB"/>
    </w:rPr>
  </w:style>
  <w:style w:type="paragraph" w:styleId="CommentSubject">
    <w:name w:val="annotation subject"/>
    <w:basedOn w:val="CommentText"/>
    <w:next w:val="CommentText"/>
    <w:link w:val="CommentSubjectChar"/>
    <w:rsid w:val="006C27E1"/>
    <w:rPr>
      <w:b/>
      <w:bCs/>
    </w:rPr>
  </w:style>
  <w:style w:type="character" w:customStyle="1" w:styleId="CommentSubjectChar">
    <w:name w:val="Comment Subject Char"/>
    <w:basedOn w:val="CommentTextChar"/>
    <w:link w:val="CommentSubject"/>
    <w:rsid w:val="006C27E1"/>
    <w:rPr>
      <w:b/>
      <w:bCs/>
    </w:rPr>
  </w:style>
  <w:style w:type="paragraph" w:styleId="PlainText">
    <w:name w:val="Plain Text"/>
    <w:basedOn w:val="Normal"/>
    <w:link w:val="PlainTextChar"/>
    <w:uiPriority w:val="99"/>
    <w:unhideWhenUsed/>
    <w:rsid w:val="00C436FA"/>
    <w:pPr>
      <w:widowControl/>
      <w:spacing w:after="0" w:line="240" w:lineRule="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C436FA"/>
    <w:rPr>
      <w:rFonts w:ascii="Consolas" w:eastAsia="Calibri" w:hAnsi="Consolas" w:cs="Times New Roman"/>
      <w:sz w:val="21"/>
      <w:szCs w:val="21"/>
    </w:rPr>
  </w:style>
  <w:style w:type="paragraph" w:styleId="Caption">
    <w:name w:val="caption"/>
    <w:basedOn w:val="Normal"/>
    <w:next w:val="Normal"/>
    <w:uiPriority w:val="35"/>
    <w:qFormat/>
    <w:rsid w:val="0051166B"/>
    <w:pPr>
      <w:widowControl/>
      <w:spacing w:after="200" w:line="240" w:lineRule="auto"/>
    </w:pPr>
    <w:rPr>
      <w:rFonts w:eastAsia="Calibri"/>
      <w:b/>
      <w:bCs/>
      <w:color w:val="4F81BD"/>
      <w:sz w:val="18"/>
      <w:szCs w:val="18"/>
      <w:lang w:val="en-US"/>
    </w:r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134571709">
      <w:bodyDiv w:val="1"/>
      <w:marLeft w:val="0"/>
      <w:marRight w:val="0"/>
      <w:marTop w:val="0"/>
      <w:marBottom w:val="0"/>
      <w:divBdr>
        <w:top w:val="none" w:sz="0" w:space="0" w:color="auto"/>
        <w:left w:val="none" w:sz="0" w:space="0" w:color="auto"/>
        <w:bottom w:val="none" w:sz="0" w:space="0" w:color="auto"/>
        <w:right w:val="none" w:sz="0" w:space="0" w:color="auto"/>
      </w:divBdr>
    </w:div>
    <w:div w:id="337269398">
      <w:bodyDiv w:val="1"/>
      <w:marLeft w:val="0"/>
      <w:marRight w:val="0"/>
      <w:marTop w:val="0"/>
      <w:marBottom w:val="0"/>
      <w:divBdr>
        <w:top w:val="none" w:sz="0" w:space="0" w:color="auto"/>
        <w:left w:val="none" w:sz="0" w:space="0" w:color="auto"/>
        <w:bottom w:val="none" w:sz="0" w:space="0" w:color="auto"/>
        <w:right w:val="none" w:sz="0" w:space="0" w:color="auto"/>
      </w:divBdr>
    </w:div>
    <w:div w:id="357774613">
      <w:bodyDiv w:val="1"/>
      <w:marLeft w:val="0"/>
      <w:marRight w:val="0"/>
      <w:marTop w:val="0"/>
      <w:marBottom w:val="0"/>
      <w:divBdr>
        <w:top w:val="none" w:sz="0" w:space="0" w:color="auto"/>
        <w:left w:val="none" w:sz="0" w:space="0" w:color="auto"/>
        <w:bottom w:val="none" w:sz="0" w:space="0" w:color="auto"/>
        <w:right w:val="none" w:sz="0" w:space="0" w:color="auto"/>
      </w:divBdr>
      <w:divsChild>
        <w:div w:id="331614176">
          <w:marLeft w:val="1166"/>
          <w:marRight w:val="0"/>
          <w:marTop w:val="77"/>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5041">
      <w:bodyDiv w:val="1"/>
      <w:marLeft w:val="0"/>
      <w:marRight w:val="0"/>
      <w:marTop w:val="0"/>
      <w:marBottom w:val="0"/>
      <w:divBdr>
        <w:top w:val="none" w:sz="0" w:space="0" w:color="auto"/>
        <w:left w:val="none" w:sz="0" w:space="0" w:color="auto"/>
        <w:bottom w:val="none" w:sz="0" w:space="0" w:color="auto"/>
        <w:right w:val="none" w:sz="0" w:space="0" w:color="auto"/>
      </w:divBdr>
    </w:div>
    <w:div w:id="552692856">
      <w:bodyDiv w:val="1"/>
      <w:marLeft w:val="0"/>
      <w:marRight w:val="0"/>
      <w:marTop w:val="0"/>
      <w:marBottom w:val="0"/>
      <w:divBdr>
        <w:top w:val="none" w:sz="0" w:space="0" w:color="auto"/>
        <w:left w:val="none" w:sz="0" w:space="0" w:color="auto"/>
        <w:bottom w:val="none" w:sz="0" w:space="0" w:color="auto"/>
        <w:right w:val="none" w:sz="0" w:space="0" w:color="auto"/>
      </w:divBdr>
    </w:div>
    <w:div w:id="1002508677">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8611245">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527670190">
      <w:bodyDiv w:val="1"/>
      <w:marLeft w:val="0"/>
      <w:marRight w:val="0"/>
      <w:marTop w:val="0"/>
      <w:marBottom w:val="0"/>
      <w:divBdr>
        <w:top w:val="none" w:sz="0" w:space="0" w:color="auto"/>
        <w:left w:val="none" w:sz="0" w:space="0" w:color="auto"/>
        <w:bottom w:val="none" w:sz="0" w:space="0" w:color="auto"/>
        <w:right w:val="none" w:sz="0" w:space="0" w:color="auto"/>
      </w:divBdr>
    </w:div>
    <w:div w:id="1655185951">
      <w:bodyDiv w:val="1"/>
      <w:marLeft w:val="0"/>
      <w:marRight w:val="0"/>
      <w:marTop w:val="0"/>
      <w:marBottom w:val="0"/>
      <w:divBdr>
        <w:top w:val="none" w:sz="0" w:space="0" w:color="auto"/>
        <w:left w:val="none" w:sz="0" w:space="0" w:color="auto"/>
        <w:bottom w:val="none" w:sz="0" w:space="0" w:color="auto"/>
        <w:right w:val="none" w:sz="0" w:space="0" w:color="auto"/>
      </w:divBdr>
    </w:div>
    <w:div w:id="1657222204">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99908226">
      <w:bodyDiv w:val="1"/>
      <w:marLeft w:val="0"/>
      <w:marRight w:val="0"/>
      <w:marTop w:val="0"/>
      <w:marBottom w:val="0"/>
      <w:divBdr>
        <w:top w:val="none" w:sz="0" w:space="0" w:color="auto"/>
        <w:left w:val="none" w:sz="0" w:space="0" w:color="auto"/>
        <w:bottom w:val="none" w:sz="0" w:space="0" w:color="auto"/>
        <w:right w:val="none" w:sz="0" w:space="0" w:color="auto"/>
      </w:divBdr>
    </w:div>
    <w:div w:id="181305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sisabelle\My%20Documents\0_Current\08_Aug\SA4\CrestFactor_3GPPRoundRobin_Updated.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sisabelle\My%20Documents\0_Current\08_Aug\SA4\CrestFactor_3GPPRoundRobin_Updat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9.1729469816273182E-2"/>
          <c:y val="6.1228501228501243E-2"/>
          <c:w val="0.79799315485564259"/>
          <c:h val="0.77870546279995179"/>
        </c:manualLayout>
      </c:layout>
      <c:lineChart>
        <c:grouping val="standard"/>
        <c:ser>
          <c:idx val="0"/>
          <c:order val="0"/>
          <c:tx>
            <c:v>CF (Q)</c:v>
          </c:tx>
          <c:spPr>
            <a:ln w="12700"/>
          </c:spPr>
          <c:marker>
            <c:symbol val="square"/>
            <c:size val="5"/>
          </c:marker>
          <c:cat>
            <c:numRef>
              <c:f>Comparison!$C$4:$C$12</c:f>
              <c:numCache>
                <c:formatCode>General</c:formatCode>
                <c:ptCount val="9"/>
                <c:pt idx="0">
                  <c:v>25</c:v>
                </c:pt>
                <c:pt idx="1">
                  <c:v>18</c:v>
                </c:pt>
                <c:pt idx="2">
                  <c:v>104</c:v>
                </c:pt>
                <c:pt idx="3">
                  <c:v>103</c:v>
                </c:pt>
                <c:pt idx="4">
                  <c:v>105</c:v>
                </c:pt>
                <c:pt idx="5">
                  <c:v>102</c:v>
                </c:pt>
                <c:pt idx="6">
                  <c:v>101</c:v>
                </c:pt>
                <c:pt idx="7">
                  <c:v>27</c:v>
                </c:pt>
                <c:pt idx="8">
                  <c:v>100</c:v>
                </c:pt>
              </c:numCache>
            </c:numRef>
          </c:cat>
          <c:val>
            <c:numRef>
              <c:f>Comparison!$D$4:$D$12</c:f>
              <c:numCache>
                <c:formatCode>0.0</c:formatCode>
                <c:ptCount val="9"/>
                <c:pt idx="0">
                  <c:v>16.911943999999995</c:v>
                </c:pt>
                <c:pt idx="1">
                  <c:v>20.651327500000001</c:v>
                </c:pt>
                <c:pt idx="2">
                  <c:v>15.775606500000002</c:v>
                </c:pt>
                <c:pt idx="3">
                  <c:v>18.199128999999999</c:v>
                </c:pt>
                <c:pt idx="4">
                  <c:v>17.371900000000004</c:v>
                </c:pt>
                <c:pt idx="5">
                  <c:v>20.345653499999997</c:v>
                </c:pt>
                <c:pt idx="6">
                  <c:v>18.465661499999996</c:v>
                </c:pt>
                <c:pt idx="7">
                  <c:v>19.293624499999996</c:v>
                </c:pt>
                <c:pt idx="8">
                  <c:v>17.181156000000001</c:v>
                </c:pt>
              </c:numCache>
            </c:numRef>
          </c:val>
        </c:ser>
        <c:ser>
          <c:idx val="1"/>
          <c:order val="1"/>
          <c:tx>
            <c:v>CF (A)</c:v>
          </c:tx>
          <c:spPr>
            <a:ln w="12700"/>
          </c:spPr>
          <c:marker>
            <c:symbol val="square"/>
            <c:size val="5"/>
          </c:marker>
          <c:cat>
            <c:numRef>
              <c:f>Comparison!$C$4:$C$12</c:f>
              <c:numCache>
                <c:formatCode>General</c:formatCode>
                <c:ptCount val="9"/>
                <c:pt idx="0">
                  <c:v>25</c:v>
                </c:pt>
                <c:pt idx="1">
                  <c:v>18</c:v>
                </c:pt>
                <c:pt idx="2">
                  <c:v>104</c:v>
                </c:pt>
                <c:pt idx="3">
                  <c:v>103</c:v>
                </c:pt>
                <c:pt idx="4">
                  <c:v>105</c:v>
                </c:pt>
                <c:pt idx="5">
                  <c:v>102</c:v>
                </c:pt>
                <c:pt idx="6">
                  <c:v>101</c:v>
                </c:pt>
                <c:pt idx="7">
                  <c:v>27</c:v>
                </c:pt>
                <c:pt idx="8">
                  <c:v>100</c:v>
                </c:pt>
              </c:numCache>
            </c:numRef>
          </c:cat>
          <c:val>
            <c:numRef>
              <c:f>Comparison!$E$4:$E$12</c:f>
              <c:numCache>
                <c:formatCode>0.0</c:formatCode>
                <c:ptCount val="9"/>
                <c:pt idx="0">
                  <c:v>12.226347333333331</c:v>
                </c:pt>
                <c:pt idx="1">
                  <c:v>15.278673666666668</c:v>
                </c:pt>
                <c:pt idx="2">
                  <c:v>12.823141666666666</c:v>
                </c:pt>
                <c:pt idx="3">
                  <c:v>16.418932000000002</c:v>
                </c:pt>
                <c:pt idx="4">
                  <c:v>15.591124999999998</c:v>
                </c:pt>
                <c:pt idx="5">
                  <c:v>19.253140333333324</c:v>
                </c:pt>
                <c:pt idx="6">
                  <c:v>14.582201333333336</c:v>
                </c:pt>
                <c:pt idx="7">
                  <c:v>18.533472</c:v>
                </c:pt>
                <c:pt idx="8">
                  <c:v>17.941329999999997</c:v>
                </c:pt>
              </c:numCache>
            </c:numRef>
          </c:val>
        </c:ser>
        <c:marker val="1"/>
        <c:axId val="119662080"/>
        <c:axId val="131084672"/>
      </c:lineChart>
      <c:lineChart>
        <c:grouping val="standard"/>
        <c:ser>
          <c:idx val="2"/>
          <c:order val="2"/>
          <c:tx>
            <c:strRef>
              <c:f>Comparison!$H$3</c:f>
              <c:strCache>
                <c:ptCount val="1"/>
                <c:pt idx="0">
                  <c:v>A-Q</c:v>
                </c:pt>
              </c:strCache>
            </c:strRef>
          </c:tx>
          <c:spPr>
            <a:ln w="19050">
              <a:solidFill>
                <a:schemeClr val="tx1"/>
              </a:solidFill>
              <a:prstDash val="dash"/>
            </a:ln>
          </c:spPr>
          <c:marker>
            <c:symbol val="x"/>
            <c:size val="6"/>
            <c:spPr>
              <a:ln w="19050">
                <a:solidFill>
                  <a:prstClr val="black"/>
                </a:solidFill>
              </a:ln>
            </c:spPr>
          </c:marker>
          <c:val>
            <c:numRef>
              <c:f>Comparison!$H$4:$H$12</c:f>
              <c:numCache>
                <c:formatCode>General</c:formatCode>
                <c:ptCount val="9"/>
                <c:pt idx="0">
                  <c:v>6.000000000000001E-3</c:v>
                </c:pt>
                <c:pt idx="1">
                  <c:v>0.22</c:v>
                </c:pt>
                <c:pt idx="2" formatCode="0.00">
                  <c:v>0.51900000000000002</c:v>
                </c:pt>
                <c:pt idx="3" formatCode="0.00">
                  <c:v>0.68</c:v>
                </c:pt>
                <c:pt idx="4" formatCode="0.00">
                  <c:v>0.75700000000000012</c:v>
                </c:pt>
                <c:pt idx="5" formatCode="0.00">
                  <c:v>0.76200000000000012</c:v>
                </c:pt>
                <c:pt idx="6">
                  <c:v>0.79</c:v>
                </c:pt>
                <c:pt idx="7" formatCode="0.00">
                  <c:v>0.83600000000000008</c:v>
                </c:pt>
                <c:pt idx="8" formatCode="0.00">
                  <c:v>0.97000000000000008</c:v>
                </c:pt>
              </c:numCache>
            </c:numRef>
          </c:val>
        </c:ser>
        <c:marker val="1"/>
        <c:axId val="136129152"/>
        <c:axId val="135373184"/>
      </c:lineChart>
      <c:catAx>
        <c:axId val="119662080"/>
        <c:scaling>
          <c:orientation val="minMax"/>
        </c:scaling>
        <c:axPos val="b"/>
        <c:title>
          <c:tx>
            <c:rich>
              <a:bodyPr/>
              <a:lstStyle/>
              <a:p>
                <a:pPr>
                  <a:defRPr/>
                </a:pPr>
                <a:r>
                  <a:rPr lang="en-US"/>
                  <a:t>Device ID</a:t>
                </a:r>
              </a:p>
            </c:rich>
          </c:tx>
          <c:layout>
            <c:manualLayout>
              <c:xMode val="edge"/>
              <c:yMode val="edge"/>
              <c:x val="0.42455298687664123"/>
              <c:y val="0.92300257308131317"/>
            </c:manualLayout>
          </c:layout>
        </c:title>
        <c:numFmt formatCode="General" sourceLinked="1"/>
        <c:tickLblPos val="nextTo"/>
        <c:crossAx val="131084672"/>
        <c:crosses val="autoZero"/>
        <c:auto val="1"/>
        <c:lblAlgn val="ctr"/>
        <c:lblOffset val="100"/>
      </c:catAx>
      <c:valAx>
        <c:axId val="131084672"/>
        <c:scaling>
          <c:orientation val="minMax"/>
          <c:max val="22"/>
          <c:min val="12"/>
        </c:scaling>
        <c:axPos val="l"/>
        <c:majorGridlines/>
        <c:title>
          <c:tx>
            <c:rich>
              <a:bodyPr rot="-5400000" vert="horz"/>
              <a:lstStyle/>
              <a:p>
                <a:pPr>
                  <a:defRPr/>
                </a:pPr>
                <a:r>
                  <a:rPr lang="en-US"/>
                  <a:t>crest factor [dB]</a:t>
                </a:r>
              </a:p>
            </c:rich>
          </c:tx>
          <c:layout>
            <c:manualLayout>
              <c:xMode val="edge"/>
              <c:yMode val="edge"/>
              <c:x val="8.486803149606318E-3"/>
              <c:y val="0.34979744239586774"/>
            </c:manualLayout>
          </c:layout>
        </c:title>
        <c:numFmt formatCode="0" sourceLinked="0"/>
        <c:tickLblPos val="nextTo"/>
        <c:crossAx val="119662080"/>
        <c:crosses val="autoZero"/>
        <c:crossBetween val="between"/>
        <c:majorUnit val="2"/>
      </c:valAx>
      <c:valAx>
        <c:axId val="135373184"/>
        <c:scaling>
          <c:orientation val="minMax"/>
          <c:max val="1"/>
        </c:scaling>
        <c:axPos val="r"/>
        <c:title>
          <c:tx>
            <c:rich>
              <a:bodyPr rot="-5400000" vert="horz"/>
              <a:lstStyle/>
              <a:p>
                <a:pPr>
                  <a:defRPr/>
                </a:pPr>
                <a:r>
                  <a:rPr lang="en-US"/>
                  <a:t>R</a:t>
                </a:r>
                <a:r>
                  <a:rPr lang="en-US" baseline="30000"/>
                  <a:t>2</a:t>
                </a:r>
              </a:p>
            </c:rich>
          </c:tx>
        </c:title>
        <c:numFmt formatCode="#,##0.0" sourceLinked="0"/>
        <c:tickLblPos val="nextTo"/>
        <c:crossAx val="136129152"/>
        <c:crosses val="max"/>
        <c:crossBetween val="between"/>
      </c:valAx>
      <c:catAx>
        <c:axId val="136129152"/>
        <c:scaling>
          <c:orientation val="minMax"/>
        </c:scaling>
        <c:delete val="1"/>
        <c:axPos val="b"/>
        <c:tickLblPos val="none"/>
        <c:crossAx val="135373184"/>
        <c:crosses val="autoZero"/>
        <c:auto val="1"/>
        <c:lblAlgn val="ctr"/>
        <c:lblOffset val="100"/>
      </c:catAx>
    </c:plotArea>
    <c:legend>
      <c:legendPos val="r"/>
      <c:layout>
        <c:manualLayout>
          <c:xMode val="edge"/>
          <c:yMode val="edge"/>
          <c:x val="0.70724237595300588"/>
          <c:y val="0.6515534575377101"/>
          <c:w val="0.16512744046529096"/>
          <c:h val="0.15820645269464184"/>
        </c:manualLayout>
      </c:layout>
      <c:spPr>
        <a:solidFill>
          <a:sysClr val="window" lastClr="FFFFFF"/>
        </a:solidFill>
        <a:ln>
          <a:solidFill>
            <a:prstClr val="black"/>
          </a:solidFill>
        </a:ln>
      </c:sp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chart>
    <c:autoTitleDeleted val="1"/>
    <c:plotArea>
      <c:layout>
        <c:manualLayout>
          <c:layoutTarget val="inner"/>
          <c:xMode val="edge"/>
          <c:yMode val="edge"/>
          <c:x val="0.15478915881783462"/>
          <c:y val="0.12091249866220956"/>
          <c:w val="0.73789589734119221"/>
          <c:h val="0.72481769281887842"/>
        </c:manualLayout>
      </c:layout>
      <c:scatterChart>
        <c:scatterStyle val="lineMarker"/>
        <c:ser>
          <c:idx val="0"/>
          <c:order val="0"/>
          <c:tx>
            <c:strRef>
              <c:f>Comparison!$H$3</c:f>
              <c:strCache>
                <c:ptCount val="1"/>
                <c:pt idx="0">
                  <c:v>A-Q</c:v>
                </c:pt>
              </c:strCache>
            </c:strRef>
          </c:tx>
          <c:spPr>
            <a:ln w="28575">
              <a:noFill/>
            </a:ln>
          </c:spPr>
          <c:marker>
            <c:symbol val="diamond"/>
            <c:size val="9"/>
          </c:marker>
          <c:dPt>
            <c:idx val="0"/>
            <c:marker>
              <c:symbol val="circle"/>
              <c:size val="9"/>
              <c:spPr>
                <a:solidFill>
                  <a:srgbClr val="FF0000"/>
                </a:solidFill>
                <a:ln w="25400">
                  <a:solidFill>
                    <a:srgbClr val="00B050"/>
                  </a:solidFill>
                </a:ln>
              </c:spPr>
            </c:marker>
          </c:dPt>
          <c:dPt>
            <c:idx val="2"/>
            <c:marker>
              <c:spPr>
                <a:solidFill>
                  <a:srgbClr val="FF0000"/>
                </a:solidFill>
                <a:ln>
                  <a:solidFill>
                    <a:prstClr val="black"/>
                  </a:solidFill>
                </a:ln>
              </c:spPr>
            </c:marker>
          </c:dPt>
          <c:dPt>
            <c:idx val="4"/>
            <c:marker>
              <c:spPr>
                <a:solidFill>
                  <a:srgbClr val="FF0000"/>
                </a:solidFill>
              </c:spPr>
            </c:marker>
          </c:dPt>
          <c:dPt>
            <c:idx val="5"/>
            <c:marker>
              <c:symbol val="circle"/>
              <c:size val="9"/>
              <c:spPr>
                <a:ln>
                  <a:solidFill>
                    <a:srgbClr val="00B050"/>
                  </a:solidFill>
                </a:ln>
              </c:spPr>
            </c:marker>
          </c:dPt>
          <c:dPt>
            <c:idx val="6"/>
            <c:marker>
              <c:symbol val="circle"/>
              <c:size val="9"/>
              <c:spPr>
                <a:ln w="25400">
                  <a:solidFill>
                    <a:srgbClr val="00B050"/>
                  </a:solidFill>
                </a:ln>
              </c:spPr>
            </c:marker>
          </c:dPt>
          <c:dPt>
            <c:idx val="7"/>
            <c:marker>
              <c:symbol val="circle"/>
              <c:size val="9"/>
              <c:spPr>
                <a:solidFill>
                  <a:srgbClr val="FF0000"/>
                </a:solidFill>
                <a:ln w="25400">
                  <a:solidFill>
                    <a:srgbClr val="00B050"/>
                  </a:solidFill>
                </a:ln>
              </c:spPr>
            </c:marker>
          </c:dPt>
          <c:dPt>
            <c:idx val="8"/>
            <c:marker>
              <c:symbol val="circle"/>
              <c:size val="9"/>
              <c:spPr>
                <a:ln w="25400">
                  <a:solidFill>
                    <a:srgbClr val="00B050"/>
                  </a:solidFill>
                </a:ln>
              </c:spPr>
            </c:marker>
          </c:dPt>
          <c:dLbls>
            <c:dLbl>
              <c:idx val="0"/>
              <c:layout>
                <c:manualLayout>
                  <c:x val="1.24031007751938E-2"/>
                  <c:y val="-1.2317167051578136E-2"/>
                </c:manualLayout>
              </c:layout>
              <c:tx>
                <c:rich>
                  <a:bodyPr/>
                  <a:lstStyle/>
                  <a:p>
                    <a:r>
                      <a:rPr lang="en-US"/>
                      <a:t>D</a:t>
                    </a:r>
                    <a:r>
                      <a:rPr lang="en-US" baseline="0"/>
                      <a:t> 25</a:t>
                    </a:r>
                    <a:endParaRPr lang="en-US"/>
                  </a:p>
                </c:rich>
              </c:tx>
              <c:showVal val="1"/>
            </c:dLbl>
            <c:dLbl>
              <c:idx val="1"/>
              <c:layout>
                <c:manualLayout>
                  <c:x val="-2.4806290694393447E-2"/>
                  <c:y val="-5.1007919931257882E-2"/>
                </c:manualLayout>
              </c:layout>
              <c:tx>
                <c:rich>
                  <a:bodyPr/>
                  <a:lstStyle/>
                  <a:p>
                    <a:r>
                      <a:rPr lang="en-US"/>
                      <a:t>D</a:t>
                    </a:r>
                    <a:r>
                      <a:rPr lang="en-US" baseline="0"/>
                      <a:t> 18</a:t>
                    </a:r>
                    <a:endParaRPr lang="en-US"/>
                  </a:p>
                </c:rich>
              </c:tx>
              <c:showVal val="1"/>
            </c:dLbl>
            <c:dLbl>
              <c:idx val="2"/>
              <c:layout>
                <c:manualLayout>
                  <c:x val="-9.3023255813953504E-3"/>
                  <c:y val="-1.8475750577367205E-2"/>
                </c:manualLayout>
              </c:layout>
              <c:tx>
                <c:rich>
                  <a:bodyPr/>
                  <a:lstStyle/>
                  <a:p>
                    <a:r>
                      <a:rPr lang="en-US"/>
                      <a:t>D</a:t>
                    </a:r>
                    <a:r>
                      <a:rPr lang="en-US" baseline="0"/>
                      <a:t> 104</a:t>
                    </a:r>
                    <a:endParaRPr lang="en-US"/>
                  </a:p>
                </c:rich>
              </c:tx>
              <c:showVal val="1"/>
            </c:dLbl>
            <c:dLbl>
              <c:idx val="3"/>
              <c:layout>
                <c:manualLayout>
                  <c:x val="-0.10852713178294573"/>
                  <c:y val="4.3110084680523512E-2"/>
                </c:manualLayout>
              </c:layout>
              <c:tx>
                <c:rich>
                  <a:bodyPr/>
                  <a:lstStyle/>
                  <a:p>
                    <a:r>
                      <a:rPr lang="en-US" baseline="0"/>
                      <a:t> D 103</a:t>
                    </a:r>
                    <a:endParaRPr lang="en-US"/>
                  </a:p>
                </c:rich>
              </c:tx>
              <c:showVal val="1"/>
            </c:dLbl>
            <c:dLbl>
              <c:idx val="4"/>
              <c:layout>
                <c:manualLayout>
                  <c:x val="-1.24031007751938E-2"/>
                  <c:y val="-6.1585835257890725E-3"/>
                </c:manualLayout>
              </c:layout>
              <c:tx>
                <c:rich>
                  <a:bodyPr/>
                  <a:lstStyle/>
                  <a:p>
                    <a:r>
                      <a:rPr lang="en-US"/>
                      <a:t>D</a:t>
                    </a:r>
                    <a:r>
                      <a:rPr lang="en-US" baseline="0"/>
                      <a:t> 105</a:t>
                    </a:r>
                    <a:endParaRPr lang="en-US"/>
                  </a:p>
                </c:rich>
              </c:tx>
              <c:showVal val="1"/>
            </c:dLbl>
            <c:dLbl>
              <c:idx val="5"/>
              <c:layout>
                <c:manualLayout>
                  <c:x val="-0.11782945736434101"/>
                  <c:y val="2.771362586605083E-2"/>
                </c:manualLayout>
              </c:layout>
              <c:tx>
                <c:rich>
                  <a:bodyPr/>
                  <a:lstStyle/>
                  <a:p>
                    <a:r>
                      <a:rPr lang="en-US"/>
                      <a:t>D</a:t>
                    </a:r>
                    <a:r>
                      <a:rPr lang="en-US" baseline="0"/>
                      <a:t> 102</a:t>
                    </a:r>
                    <a:endParaRPr lang="en-US"/>
                  </a:p>
                </c:rich>
              </c:tx>
              <c:showVal val="1"/>
            </c:dLbl>
            <c:dLbl>
              <c:idx val="6"/>
              <c:layout>
                <c:manualLayout>
                  <c:x val="-9.3023255813953504E-3"/>
                  <c:y val="1.8475750577367205E-2"/>
                </c:manualLayout>
              </c:layout>
              <c:tx>
                <c:rich>
                  <a:bodyPr/>
                  <a:lstStyle/>
                  <a:p>
                    <a:r>
                      <a:rPr lang="en-US"/>
                      <a:t>D</a:t>
                    </a:r>
                    <a:r>
                      <a:rPr lang="en-US" baseline="0"/>
                      <a:t> 101</a:t>
                    </a:r>
                    <a:endParaRPr lang="en-US"/>
                  </a:p>
                </c:rich>
              </c:tx>
              <c:showVal val="1"/>
            </c:dLbl>
            <c:dLbl>
              <c:idx val="7"/>
              <c:layout>
                <c:manualLayout>
                  <c:x val="-6.2015503875969035E-3"/>
                  <c:y val="-1.8475750577367181E-2"/>
                </c:manualLayout>
              </c:layout>
              <c:tx>
                <c:rich>
                  <a:bodyPr/>
                  <a:lstStyle/>
                  <a:p>
                    <a:r>
                      <a:rPr lang="en-US"/>
                      <a:t>D</a:t>
                    </a:r>
                    <a:r>
                      <a:rPr lang="en-US" baseline="0"/>
                      <a:t> 27</a:t>
                    </a:r>
                    <a:endParaRPr lang="en-US"/>
                  </a:p>
                </c:rich>
              </c:tx>
              <c:showVal val="1"/>
            </c:dLbl>
            <c:dLbl>
              <c:idx val="8"/>
              <c:layout>
                <c:manualLayout>
                  <c:x val="-3.4108527131782973E-2"/>
                  <c:y val="3.695150115473441E-2"/>
                </c:manualLayout>
              </c:layout>
              <c:tx>
                <c:rich>
                  <a:bodyPr/>
                  <a:lstStyle/>
                  <a:p>
                    <a:r>
                      <a:rPr lang="en-US"/>
                      <a:t>D</a:t>
                    </a:r>
                    <a:r>
                      <a:rPr lang="en-US" baseline="0"/>
                      <a:t> 100</a:t>
                    </a:r>
                    <a:endParaRPr lang="en-US"/>
                  </a:p>
                </c:rich>
              </c:tx>
              <c:showVal val="1"/>
            </c:dLbl>
            <c:spPr>
              <a:solidFill>
                <a:schemeClr val="bg1"/>
              </a:solidFill>
              <a:ln>
                <a:solidFill>
                  <a:sysClr val="window" lastClr="FFFFFF">
                    <a:lumMod val="75000"/>
                    <a:alpha val="48000"/>
                  </a:sysClr>
                </a:solidFill>
              </a:ln>
            </c:spPr>
            <c:showVal val="1"/>
          </c:dLbls>
          <c:trendline>
            <c:spPr>
              <a:ln>
                <a:prstDash val="sysDash"/>
              </a:ln>
            </c:spPr>
            <c:trendlineType val="linear"/>
            <c:dispRSqr val="1"/>
            <c:dispEq val="1"/>
            <c:trendlineLbl>
              <c:layout>
                <c:manualLayout>
                  <c:x val="-0.3821136841289674"/>
                  <c:y val="5.1679143565713452E-2"/>
                </c:manualLayout>
              </c:layout>
              <c:numFmt formatCode="General" sourceLinked="0"/>
              <c:spPr>
                <a:solidFill>
                  <a:schemeClr val="bg1"/>
                </a:solidFill>
                <a:ln>
                  <a:solidFill>
                    <a:schemeClr val="accent1"/>
                  </a:solidFill>
                </a:ln>
              </c:spPr>
            </c:trendlineLbl>
          </c:trendline>
          <c:xVal>
            <c:numRef>
              <c:f>Comparison!$G$4:$G$12</c:f>
              <c:numCache>
                <c:formatCode>0.00</c:formatCode>
                <c:ptCount val="9"/>
                <c:pt idx="0">
                  <c:v>4.6855966666666662</c:v>
                </c:pt>
                <c:pt idx="1">
                  <c:v>5.3726538333333336</c:v>
                </c:pt>
                <c:pt idx="2">
                  <c:v>2.9524648333333334</c:v>
                </c:pt>
                <c:pt idx="3">
                  <c:v>1.7801969999999976</c:v>
                </c:pt>
                <c:pt idx="4">
                  <c:v>1.7807750000000002</c:v>
                </c:pt>
                <c:pt idx="5">
                  <c:v>1.0925131666666668</c:v>
                </c:pt>
                <c:pt idx="6">
                  <c:v>3.8834601666666639</c:v>
                </c:pt>
                <c:pt idx="7">
                  <c:v>0.76015250000000023</c:v>
                </c:pt>
                <c:pt idx="8">
                  <c:v>-0.76017399999999924</c:v>
                </c:pt>
              </c:numCache>
            </c:numRef>
          </c:xVal>
          <c:yVal>
            <c:numRef>
              <c:f>Comparison!$H$4:$H$12</c:f>
              <c:numCache>
                <c:formatCode>General</c:formatCode>
                <c:ptCount val="9"/>
                <c:pt idx="0">
                  <c:v>6.000000000000001E-3</c:v>
                </c:pt>
                <c:pt idx="1">
                  <c:v>0.22</c:v>
                </c:pt>
                <c:pt idx="2" formatCode="0.00">
                  <c:v>0.51900000000000002</c:v>
                </c:pt>
                <c:pt idx="3" formatCode="0.00">
                  <c:v>0.68</c:v>
                </c:pt>
                <c:pt idx="4" formatCode="0.00">
                  <c:v>0.75700000000000012</c:v>
                </c:pt>
                <c:pt idx="5" formatCode="0.00">
                  <c:v>0.76200000000000012</c:v>
                </c:pt>
                <c:pt idx="6">
                  <c:v>0.79</c:v>
                </c:pt>
                <c:pt idx="7" formatCode="0.00">
                  <c:v>0.83600000000000008</c:v>
                </c:pt>
                <c:pt idx="8" formatCode="0.00">
                  <c:v>0.97000000000000008</c:v>
                </c:pt>
              </c:numCache>
            </c:numRef>
          </c:yVal>
        </c:ser>
        <c:axId val="136300032"/>
        <c:axId val="136301952"/>
      </c:scatterChart>
      <c:valAx>
        <c:axId val="136300032"/>
        <c:scaling>
          <c:orientation val="minMax"/>
          <c:min val="-1"/>
        </c:scaling>
        <c:axPos val="b"/>
        <c:majorGridlines/>
        <c:title>
          <c:tx>
            <c:rich>
              <a:bodyPr/>
              <a:lstStyle/>
              <a:p>
                <a:pPr>
                  <a:defRPr/>
                </a:pPr>
                <a:r>
                  <a:rPr lang="en-US"/>
                  <a:t>Diff CF (Q-A) [dB]</a:t>
                </a:r>
              </a:p>
            </c:rich>
          </c:tx>
        </c:title>
        <c:numFmt formatCode="0" sourceLinked="0"/>
        <c:tickLblPos val="nextTo"/>
        <c:crossAx val="136301952"/>
        <c:crosses val="autoZero"/>
        <c:crossBetween val="midCat"/>
        <c:majorUnit val="1"/>
      </c:valAx>
      <c:valAx>
        <c:axId val="136301952"/>
        <c:scaling>
          <c:orientation val="minMax"/>
          <c:max val="1"/>
        </c:scaling>
        <c:axPos val="l"/>
        <c:majorGridlines/>
        <c:title>
          <c:tx>
            <c:rich>
              <a:bodyPr rot="-5400000" vert="horz"/>
              <a:lstStyle/>
              <a:p>
                <a:pPr>
                  <a:defRPr/>
                </a:pPr>
                <a:r>
                  <a:rPr lang="en-US"/>
                  <a:t>R</a:t>
                </a:r>
                <a:r>
                  <a:rPr lang="en-US" baseline="30000"/>
                  <a:t>2</a:t>
                </a:r>
              </a:p>
            </c:rich>
          </c:tx>
        </c:title>
        <c:numFmt formatCode="General" sourceLinked="1"/>
        <c:tickLblPos val="nextTo"/>
        <c:crossAx val="136300032"/>
        <c:crossesAt val="-1"/>
        <c:crossBetween val="midCat"/>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C0F01-5481-463F-8048-663A257A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SA4#62</vt:lpstr>
      <vt:lpstr>Agenda SA4#62</vt:lpstr>
    </vt:vector>
  </TitlesOfParts>
  <Company>Audience</Company>
  <LinksUpToDate>false</LinksUpToDate>
  <CharactersWithSpaces>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dc:description/>
  <cp:lastModifiedBy>Scott Isabelle</cp:lastModifiedBy>
  <cp:revision>19</cp:revision>
  <cp:lastPrinted>2011-03-16T16:56:00Z</cp:lastPrinted>
  <dcterms:created xsi:type="dcterms:W3CDTF">2011-08-08T17:25:00Z</dcterms:created>
  <dcterms:modified xsi:type="dcterms:W3CDTF">2011-08-08T18:45:00Z</dcterms:modified>
</cp:coreProperties>
</file>