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70" w:rsidRPr="00762570" w:rsidRDefault="00674CB2" w:rsidP="00762570">
      <w:pPr>
        <w:tabs>
          <w:tab w:val="right" w:pos="9355"/>
        </w:tabs>
        <w:spacing w:after="0"/>
        <w:rPr>
          <w:rFonts w:ascii="Arial" w:hAnsi="Arial" w:cs="Arial"/>
          <w:i/>
          <w:szCs w:val="24"/>
        </w:rPr>
      </w:pPr>
      <w:r>
        <w:rPr>
          <w:rFonts w:ascii="Arial" w:hAnsi="Arial" w:cs="Arial"/>
          <w:szCs w:val="24"/>
        </w:rPr>
        <w:t>3GPP TSG-SA4</w:t>
      </w:r>
      <w:r w:rsidR="00762570" w:rsidRPr="00762570">
        <w:rPr>
          <w:rFonts w:ascii="Arial" w:hAnsi="Arial" w:cs="Arial"/>
          <w:szCs w:val="24"/>
        </w:rPr>
        <w:t xml:space="preserve"> #</w:t>
      </w:r>
      <w:r w:rsidR="001B5C30">
        <w:rPr>
          <w:rFonts w:ascii="Arial" w:hAnsi="Arial" w:cs="Arial"/>
          <w:szCs w:val="24"/>
        </w:rPr>
        <w:t>60</w:t>
      </w:r>
      <w:r w:rsidR="00762570" w:rsidRPr="00762570">
        <w:rPr>
          <w:rFonts w:ascii="Arial" w:hAnsi="Arial" w:cs="Arial"/>
          <w:szCs w:val="24"/>
        </w:rPr>
        <w:tab/>
      </w:r>
      <w:r w:rsidR="008C3F48">
        <w:rPr>
          <w:rFonts w:ascii="Arial" w:hAnsi="Arial" w:cs="Arial"/>
          <w:iCs/>
          <w:szCs w:val="24"/>
        </w:rPr>
        <w:t>S4-</w:t>
      </w:r>
      <w:r w:rsidR="00CA3EBB">
        <w:rPr>
          <w:rFonts w:ascii="Arial" w:hAnsi="Arial" w:cs="Arial"/>
          <w:iCs/>
          <w:szCs w:val="24"/>
        </w:rPr>
        <w:t>1</w:t>
      </w:r>
      <w:r w:rsidR="008C3F48">
        <w:rPr>
          <w:rFonts w:ascii="Arial" w:hAnsi="Arial" w:cs="Arial"/>
          <w:iCs/>
          <w:szCs w:val="24"/>
        </w:rPr>
        <w:t>0</w:t>
      </w:r>
      <w:r w:rsidR="00556B19">
        <w:rPr>
          <w:rFonts w:ascii="Arial" w:hAnsi="Arial" w:cs="Arial"/>
          <w:iCs/>
          <w:szCs w:val="24"/>
        </w:rPr>
        <w:t>0</w:t>
      </w:r>
      <w:r w:rsidR="001B5C30">
        <w:rPr>
          <w:rFonts w:ascii="Arial" w:hAnsi="Arial" w:cs="Arial"/>
          <w:iCs/>
          <w:szCs w:val="24"/>
        </w:rPr>
        <w:t>617</w:t>
      </w:r>
    </w:p>
    <w:p w:rsidR="00762570" w:rsidRDefault="0091368B" w:rsidP="00762570">
      <w:pPr>
        <w:spacing w:after="0"/>
        <w:rPr>
          <w:rFonts w:ascii="Arial" w:hAnsi="Arial" w:cs="Arial"/>
          <w:szCs w:val="24"/>
        </w:rPr>
      </w:pPr>
      <w:r>
        <w:rPr>
          <w:rFonts w:ascii="Arial" w:hAnsi="Arial" w:cs="Arial"/>
          <w:szCs w:val="24"/>
        </w:rPr>
        <w:t>August</w:t>
      </w:r>
      <w:r w:rsidR="004F557D">
        <w:rPr>
          <w:rFonts w:ascii="Arial" w:hAnsi="Arial" w:cs="Arial"/>
          <w:szCs w:val="24"/>
        </w:rPr>
        <w:t xml:space="preserve">, </w:t>
      </w:r>
      <w:r w:rsidR="00396AD9">
        <w:rPr>
          <w:rFonts w:ascii="Arial" w:hAnsi="Arial" w:cs="Arial"/>
          <w:szCs w:val="24"/>
        </w:rPr>
        <w:t>1</w:t>
      </w:r>
      <w:r w:rsidR="001B5C30">
        <w:rPr>
          <w:rFonts w:ascii="Arial" w:hAnsi="Arial" w:cs="Arial"/>
          <w:szCs w:val="24"/>
        </w:rPr>
        <w:t>6</w:t>
      </w:r>
      <w:r w:rsidR="001B5C30">
        <w:rPr>
          <w:rFonts w:ascii="Arial" w:hAnsi="Arial" w:cs="Arial"/>
          <w:szCs w:val="24"/>
          <w:vertAlign w:val="superscript"/>
        </w:rPr>
        <w:t>th</w:t>
      </w:r>
      <w:r w:rsidR="004F557D">
        <w:rPr>
          <w:rFonts w:ascii="Arial" w:hAnsi="Arial" w:cs="Arial"/>
          <w:szCs w:val="24"/>
        </w:rPr>
        <w:t>-</w:t>
      </w:r>
      <w:r w:rsidR="00166D1F">
        <w:rPr>
          <w:rFonts w:ascii="Arial" w:hAnsi="Arial" w:cs="Arial"/>
          <w:szCs w:val="24"/>
        </w:rPr>
        <w:t xml:space="preserve"> 2</w:t>
      </w:r>
      <w:r w:rsidR="001B5C30">
        <w:rPr>
          <w:rFonts w:ascii="Arial" w:hAnsi="Arial" w:cs="Arial"/>
          <w:szCs w:val="24"/>
        </w:rPr>
        <w:t>0</w:t>
      </w:r>
      <w:r w:rsidR="004F557D" w:rsidRPr="004F557D">
        <w:rPr>
          <w:rFonts w:ascii="Arial" w:hAnsi="Arial" w:cs="Arial"/>
          <w:szCs w:val="24"/>
          <w:vertAlign w:val="superscript"/>
        </w:rPr>
        <w:t>th</w:t>
      </w:r>
      <w:r w:rsidR="00396AD9">
        <w:rPr>
          <w:rFonts w:ascii="Arial" w:hAnsi="Arial" w:cs="Arial"/>
          <w:szCs w:val="24"/>
        </w:rPr>
        <w:t>, 20</w:t>
      </w:r>
      <w:r w:rsidR="00CA3EBB">
        <w:rPr>
          <w:rFonts w:ascii="Arial" w:hAnsi="Arial" w:cs="Arial"/>
          <w:szCs w:val="24"/>
        </w:rPr>
        <w:t>1</w:t>
      </w:r>
      <w:r w:rsidR="00396AD9">
        <w:rPr>
          <w:rFonts w:ascii="Arial" w:hAnsi="Arial" w:cs="Arial"/>
          <w:szCs w:val="24"/>
        </w:rPr>
        <w:t>0</w:t>
      </w:r>
    </w:p>
    <w:p w:rsidR="00A4727E" w:rsidRPr="004F557D" w:rsidRDefault="001B5C30" w:rsidP="004F557D">
      <w:pPr>
        <w:spacing w:after="0"/>
        <w:rPr>
          <w:rFonts w:ascii="Arial" w:hAnsi="Arial" w:cs="Arial"/>
          <w:szCs w:val="24"/>
          <w:lang w:val="en-US"/>
        </w:rPr>
      </w:pPr>
      <w:r>
        <w:rPr>
          <w:rFonts w:ascii="Arial" w:hAnsi="Arial" w:cs="Arial"/>
          <w:szCs w:val="24"/>
          <w:lang w:val="en-US"/>
        </w:rPr>
        <w:t>Erlangen</w:t>
      </w:r>
      <w:r w:rsidR="00674CB2" w:rsidRPr="004F557D">
        <w:rPr>
          <w:rFonts w:ascii="Arial" w:hAnsi="Arial" w:cs="Arial"/>
          <w:szCs w:val="24"/>
          <w:lang w:val="en-US"/>
        </w:rPr>
        <w:t>,</w:t>
      </w:r>
      <w:r w:rsidR="00166D1F">
        <w:rPr>
          <w:rFonts w:ascii="Arial" w:hAnsi="Arial" w:cs="Arial"/>
          <w:szCs w:val="24"/>
          <w:lang w:val="en-US"/>
        </w:rPr>
        <w:t xml:space="preserve"> </w:t>
      </w:r>
      <w:r>
        <w:rPr>
          <w:rFonts w:ascii="Arial" w:hAnsi="Arial" w:cs="Arial"/>
          <w:szCs w:val="24"/>
          <w:lang w:val="en-US"/>
        </w:rPr>
        <w:t>Germany</w:t>
      </w:r>
      <w:r w:rsidR="00CA3EBB">
        <w:rPr>
          <w:rFonts w:ascii="Arial" w:hAnsi="Arial" w:cs="Arial"/>
          <w:szCs w:val="24"/>
          <w:lang w:val="en-US"/>
        </w:rPr>
        <w:t xml:space="preserve"> </w:t>
      </w:r>
    </w:p>
    <w:p w:rsidR="00AE4305" w:rsidRPr="004F557D" w:rsidRDefault="00AE4305" w:rsidP="00762570">
      <w:pPr>
        <w:spacing w:after="0"/>
        <w:rPr>
          <w:rFonts w:ascii="Arial" w:hAnsi="Arial" w:cs="Arial"/>
          <w:szCs w:val="24"/>
          <w:lang w:val="en-US"/>
        </w:rPr>
      </w:pPr>
    </w:p>
    <w:p w:rsidR="00762570" w:rsidRPr="004F557D" w:rsidRDefault="0076257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sidR="00536AB7">
        <w:rPr>
          <w:rFonts w:ascii="Arial" w:hAnsi="Arial" w:cs="Arial"/>
          <w:szCs w:val="24"/>
          <w:lang w:val="en-US"/>
        </w:rPr>
        <w:t>10</w:t>
      </w:r>
    </w:p>
    <w:p w:rsidR="00762570" w:rsidRPr="004F557D" w:rsidRDefault="0076257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001A045B">
        <w:rPr>
          <w:rFonts w:ascii="Arial" w:hAnsi="Arial" w:cs="Arial"/>
          <w:szCs w:val="24"/>
          <w:lang w:val="en-US"/>
        </w:rPr>
        <w:t>NOKIA Corporation</w:t>
      </w:r>
    </w:p>
    <w:p w:rsidR="00762570" w:rsidRPr="008217E2" w:rsidRDefault="00762570" w:rsidP="00E5169D">
      <w:pPr>
        <w:tabs>
          <w:tab w:val="left" w:pos="2268"/>
        </w:tabs>
        <w:ind w:left="2268" w:hanging="2268"/>
        <w:rPr>
          <w:rFonts w:ascii="Arial" w:hAnsi="Arial" w:cs="Arial"/>
          <w:szCs w:val="24"/>
        </w:rPr>
      </w:pPr>
      <w:r w:rsidRPr="00762570">
        <w:rPr>
          <w:rFonts w:ascii="Arial" w:hAnsi="Arial" w:cs="Arial"/>
          <w:b/>
          <w:szCs w:val="24"/>
        </w:rPr>
        <w:t xml:space="preserve">Title: </w:t>
      </w:r>
      <w:r w:rsidRPr="00762570">
        <w:rPr>
          <w:rFonts w:ascii="Arial" w:hAnsi="Arial" w:cs="Arial"/>
          <w:b/>
          <w:szCs w:val="24"/>
        </w:rPr>
        <w:tab/>
      </w:r>
      <w:r w:rsidR="008217E2" w:rsidRPr="008217E2">
        <w:rPr>
          <w:rFonts w:ascii="Arial" w:hAnsi="Arial" w:cs="Arial"/>
          <w:szCs w:val="24"/>
        </w:rPr>
        <w:t xml:space="preserve">3D </w:t>
      </w:r>
      <w:r w:rsidR="001B5C30">
        <w:rPr>
          <w:rFonts w:ascii="Arial" w:hAnsi="Arial" w:cs="Arial"/>
          <w:szCs w:val="24"/>
        </w:rPr>
        <w:t xml:space="preserve">Stereoscopic </w:t>
      </w:r>
      <w:r w:rsidR="008217E2" w:rsidRPr="008217E2">
        <w:rPr>
          <w:rFonts w:ascii="Arial" w:hAnsi="Arial" w:cs="Arial"/>
          <w:szCs w:val="24"/>
        </w:rPr>
        <w:t>Video</w:t>
      </w:r>
      <w:r w:rsidR="001B5C30">
        <w:rPr>
          <w:rFonts w:ascii="Arial" w:hAnsi="Arial" w:cs="Arial"/>
          <w:szCs w:val="24"/>
        </w:rPr>
        <w:t xml:space="preserve"> Formats</w:t>
      </w:r>
    </w:p>
    <w:p w:rsidR="00762570" w:rsidRPr="00762570" w:rsidRDefault="00762570" w:rsidP="008C3F48">
      <w:pPr>
        <w:tabs>
          <w:tab w:val="left" w:pos="2268"/>
        </w:tabs>
        <w:rPr>
          <w:rFonts w:ascii="Arial" w:hAnsi="Arial" w:cs="Arial"/>
          <w:szCs w:val="24"/>
        </w:rPr>
      </w:pPr>
      <w:r w:rsidRPr="00762570">
        <w:rPr>
          <w:rFonts w:ascii="Arial" w:hAnsi="Arial" w:cs="Arial"/>
          <w:b/>
          <w:szCs w:val="24"/>
        </w:rPr>
        <w:t>Document f</w:t>
      </w:r>
      <w:r w:rsidR="008C3F48">
        <w:rPr>
          <w:rFonts w:ascii="Arial" w:hAnsi="Arial" w:cs="Arial"/>
          <w:b/>
          <w:szCs w:val="24"/>
        </w:rPr>
        <w:t>or</w:t>
      </w:r>
      <w:r w:rsidR="008C3F48">
        <w:rPr>
          <w:rFonts w:ascii="Arial" w:hAnsi="Arial" w:cs="Arial"/>
          <w:b/>
          <w:szCs w:val="24"/>
        </w:rPr>
        <w:tab/>
      </w:r>
      <w:r w:rsidR="008C3F48">
        <w:rPr>
          <w:rFonts w:ascii="Arial" w:hAnsi="Arial" w:cs="Arial"/>
          <w:szCs w:val="24"/>
        </w:rPr>
        <w:t>Discussion</w:t>
      </w:r>
      <w:r w:rsidR="00794109">
        <w:rPr>
          <w:rFonts w:ascii="Arial" w:hAnsi="Arial" w:cs="Arial"/>
          <w:szCs w:val="24"/>
        </w:rPr>
        <w:t xml:space="preserve"> and Approval</w:t>
      </w:r>
    </w:p>
    <w:p w:rsidR="00762570" w:rsidRDefault="00762570" w:rsidP="0054640D">
      <w:pPr>
        <w:pStyle w:val="Heading1"/>
        <w:rPr>
          <w:lang w:val="en-US"/>
        </w:rPr>
      </w:pPr>
      <w:r>
        <w:rPr>
          <w:lang w:val="en-US"/>
        </w:rPr>
        <w:t>Introduction</w:t>
      </w:r>
    </w:p>
    <w:p w:rsidR="008217E2" w:rsidRPr="008217E2" w:rsidRDefault="00F203C2" w:rsidP="008217E2">
      <w:pPr>
        <w:rPr>
          <w:lang w:val="en-US"/>
        </w:rPr>
      </w:pPr>
      <w:r>
        <w:rPr>
          <w:lang w:val="en-US"/>
        </w:rPr>
        <w:t xml:space="preserve">The IVCS </w:t>
      </w:r>
      <w:r w:rsidR="009F38CC">
        <w:rPr>
          <w:lang w:val="en-US"/>
        </w:rPr>
        <w:t>study item is expected to study 3D stereoscopic video for 3GPP streaming services. In this contribution, we present the most relevant video formats for representing stereoscopic video.</w:t>
      </w:r>
    </w:p>
    <w:p w:rsidR="00396AD9" w:rsidRDefault="00B9332A" w:rsidP="00396AD9">
      <w:pPr>
        <w:pStyle w:val="Heading1"/>
        <w:pBdr>
          <w:top w:val="none" w:sz="0" w:space="0" w:color="auto"/>
        </w:pBdr>
        <w:rPr>
          <w:lang w:val="en-US"/>
        </w:rPr>
      </w:pPr>
      <w:r>
        <w:rPr>
          <w:lang w:val="en-US"/>
        </w:rPr>
        <w:t>3D Stereoscopic Video Formats</w:t>
      </w:r>
    </w:p>
    <w:p w:rsidR="00B23585" w:rsidRDefault="00216164" w:rsidP="00216164">
      <w:pPr>
        <w:rPr>
          <w:lang w:val="en-US"/>
        </w:rPr>
      </w:pPr>
      <w:r>
        <w:rPr>
          <w:lang w:val="en-US"/>
        </w:rPr>
        <w:t xml:space="preserve">There are 2 major ways of </w:t>
      </w:r>
      <w:r w:rsidR="009F38CC">
        <w:rPr>
          <w:lang w:val="en-US"/>
        </w:rPr>
        <w:t>formatting</w:t>
      </w:r>
      <w:r>
        <w:rPr>
          <w:lang w:val="en-US"/>
        </w:rPr>
        <w:t xml:space="preserve"> the views of a stereoscopic video: spatial compression and t</w:t>
      </w:r>
      <w:r w:rsidR="00B23585">
        <w:rPr>
          <w:lang w:val="en-US"/>
        </w:rPr>
        <w:t>emporal</w:t>
      </w:r>
      <w:r>
        <w:rPr>
          <w:lang w:val="en-US"/>
        </w:rPr>
        <w:t xml:space="preserve"> interleaving. </w:t>
      </w:r>
      <w:r w:rsidR="00700E26">
        <w:rPr>
          <w:lang w:val="en-US"/>
        </w:rPr>
        <w:t xml:space="preserve">Other </w:t>
      </w:r>
      <w:r w:rsidR="00B23585">
        <w:rPr>
          <w:lang w:val="en-US"/>
        </w:rPr>
        <w:t xml:space="preserve">formats such color shifting and 2D+Depth are possible but are either outdated or still subject to research and development. </w:t>
      </w:r>
    </w:p>
    <w:p w:rsidR="00216164" w:rsidRDefault="00B23585" w:rsidP="00216164">
      <w:pPr>
        <w:rPr>
          <w:lang w:val="en-US"/>
        </w:rPr>
      </w:pPr>
      <w:r>
        <w:rPr>
          <w:lang w:val="en-US"/>
        </w:rPr>
        <w:t xml:space="preserve">Finally, the left and right views may also be encoded as separate views, possibly exploiting redundancies between the two views to enhance the compression efficiency. </w:t>
      </w:r>
      <w:r w:rsidR="00743252">
        <w:rPr>
          <w:lang w:val="en-US"/>
        </w:rPr>
        <w:t>This technique is standardized by MPEG as part of the H.264/AVC standard.</w:t>
      </w:r>
    </w:p>
    <w:p w:rsidR="00743252" w:rsidRPr="00216164" w:rsidRDefault="00743252" w:rsidP="00216164">
      <w:pPr>
        <w:rPr>
          <w:lang w:val="en-US"/>
        </w:rPr>
      </w:pPr>
      <w:r>
        <w:rPr>
          <w:lang w:val="en-US"/>
        </w:rPr>
        <w:t>In the following, the most relevant formats are described.</w:t>
      </w:r>
    </w:p>
    <w:p w:rsidR="00222814" w:rsidRDefault="00B9332A" w:rsidP="00743252">
      <w:pPr>
        <w:pStyle w:val="Heading2"/>
        <w:rPr>
          <w:lang w:val="en-US"/>
        </w:rPr>
      </w:pPr>
      <w:r>
        <w:rPr>
          <w:lang w:val="en-US"/>
        </w:rPr>
        <w:t>Frame Compatible Video</w:t>
      </w:r>
    </w:p>
    <w:p w:rsidR="00B9332A" w:rsidRDefault="009C593B" w:rsidP="00CA3EBB">
      <w:pPr>
        <w:rPr>
          <w:lang w:val="en-US"/>
        </w:rPr>
      </w:pPr>
      <w:r>
        <w:rPr>
          <w:lang w:val="en-US"/>
        </w:rPr>
        <w:t xml:space="preserve">This technique uses spatial compression to pack the two views of the stereoscopic video into a single frame (thus the name frame compatible). This allows the usage of deployed encoding and transport infrastructure and keeping similar bandwidth requirements at the cost of information loss. The two views are first down-sampled and then packed. The down-sampling may be performed horizontally, vertically, or diagonally. </w:t>
      </w:r>
      <w:r w:rsidR="00187C29">
        <w:rPr>
          <w:lang w:val="en-US"/>
        </w:rPr>
        <w:t>The packing may use a side-by-side, top-bottom, interleaved, or checkerboard format. The different alternatives are illustrated in the following figures.</w:t>
      </w:r>
    </w:p>
    <w:p w:rsidR="00AD0B26" w:rsidRDefault="00AD0B26" w:rsidP="00AD0B26">
      <w:pPr>
        <w:jc w:val="center"/>
      </w:pPr>
      <w:r>
        <w:object w:dxaOrig="6005" w:dyaOrig="8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443.25pt" o:ole="">
            <v:imagedata r:id="rId8" o:title=""/>
          </v:shape>
          <o:OLEObject Type="Embed" ProgID="Visio.Drawing.11" ShapeID="_x0000_i1025" DrawAspect="Content" ObjectID="_1342998029" r:id="rId9"/>
        </w:object>
      </w:r>
    </w:p>
    <w:p w:rsidR="00187C29" w:rsidRPr="00215318" w:rsidRDefault="00AD0B26" w:rsidP="00AD0B26">
      <w:pPr>
        <w:pStyle w:val="Caption"/>
        <w:jc w:val="center"/>
        <w:rPr>
          <w:color w:val="auto"/>
        </w:rPr>
      </w:pPr>
      <w:r w:rsidRPr="00215318">
        <w:rPr>
          <w:color w:val="auto"/>
        </w:rPr>
        <w:t xml:space="preserve">Figure </w:t>
      </w:r>
      <w:r w:rsidR="00B279C2" w:rsidRPr="00215318">
        <w:rPr>
          <w:color w:val="auto"/>
        </w:rPr>
        <w:fldChar w:fldCharType="begin"/>
      </w:r>
      <w:r w:rsidRPr="00215318">
        <w:rPr>
          <w:color w:val="auto"/>
        </w:rPr>
        <w:instrText xml:space="preserve"> SEQ Figure \* ARABIC </w:instrText>
      </w:r>
      <w:r w:rsidR="00B279C2" w:rsidRPr="00215318">
        <w:rPr>
          <w:color w:val="auto"/>
        </w:rPr>
        <w:fldChar w:fldCharType="separate"/>
      </w:r>
      <w:r w:rsidR="00C85F8F" w:rsidRPr="00215318">
        <w:rPr>
          <w:noProof/>
          <w:color w:val="auto"/>
        </w:rPr>
        <w:t>1</w:t>
      </w:r>
      <w:r w:rsidR="00B279C2" w:rsidRPr="00215318">
        <w:rPr>
          <w:color w:val="auto"/>
        </w:rPr>
        <w:fldChar w:fldCharType="end"/>
      </w:r>
      <w:r w:rsidRPr="00215318">
        <w:rPr>
          <w:color w:val="auto"/>
        </w:rPr>
        <w:t xml:space="preserve"> Spatial Packing Formats</w:t>
      </w:r>
    </w:p>
    <w:p w:rsidR="00743252" w:rsidRDefault="00743252" w:rsidP="00743252">
      <w:pPr>
        <w:pStyle w:val="Heading2"/>
        <w:rPr>
          <w:lang w:val="en-US"/>
        </w:rPr>
      </w:pPr>
      <w:r>
        <w:rPr>
          <w:lang w:val="en-US"/>
        </w:rPr>
        <w:t>Temporal Interleaving</w:t>
      </w:r>
    </w:p>
    <w:p w:rsidR="00AD0B26" w:rsidRPr="00AD0B26" w:rsidRDefault="00AD0B26" w:rsidP="00AD0B26">
      <w:pPr>
        <w:rPr>
          <w:lang w:val="en-US"/>
        </w:rPr>
      </w:pPr>
      <w:r>
        <w:rPr>
          <w:lang w:val="en-US"/>
        </w:rPr>
        <w:t xml:space="preserve">In temporal interleaving, the video is encoded at double the frame rate of the original video. Each </w:t>
      </w:r>
      <w:r w:rsidR="00C85F8F">
        <w:rPr>
          <w:lang w:val="en-US"/>
        </w:rPr>
        <w:t>pair of</w:t>
      </w:r>
      <w:r>
        <w:rPr>
          <w:lang w:val="en-US"/>
        </w:rPr>
        <w:t xml:space="preserve"> subsequent pictures constitute</w:t>
      </w:r>
      <w:r w:rsidR="00C85F8F">
        <w:rPr>
          <w:lang w:val="en-US"/>
        </w:rPr>
        <w:t>s</w:t>
      </w:r>
      <w:r>
        <w:rPr>
          <w:lang w:val="en-US"/>
        </w:rPr>
        <w:t xml:space="preserve"> a stereo pair (left and right view). The rendering </w:t>
      </w:r>
      <w:r w:rsidR="00C85F8F">
        <w:rPr>
          <w:lang w:val="en-US"/>
        </w:rPr>
        <w:t>of the time interleaved stereoscopic video is typically performed at the high frame rate, where active (shutter) glasses are used to blend the incorrect view at each eye. This requires accurate synchronization between the glasses and the screen.</w:t>
      </w:r>
    </w:p>
    <w:p w:rsidR="00743252" w:rsidRDefault="00187C29" w:rsidP="00AD0B26">
      <w:pPr>
        <w:jc w:val="center"/>
      </w:pPr>
      <w:r>
        <w:object w:dxaOrig="4775" w:dyaOrig="3255">
          <v:shape id="_x0000_i1026" type="#_x0000_t75" style="width:238.5pt;height:162.75pt" o:ole="">
            <v:imagedata r:id="rId10" o:title=""/>
          </v:shape>
          <o:OLEObject Type="Embed" ProgID="Visio.Drawing.11" ShapeID="_x0000_i1026" DrawAspect="Content" ObjectID="_1342998030" r:id="rId11"/>
        </w:object>
      </w:r>
    </w:p>
    <w:p w:rsidR="00AD0B26" w:rsidRPr="00215318" w:rsidRDefault="00AD0B26" w:rsidP="00AD0B26">
      <w:pPr>
        <w:pStyle w:val="Caption"/>
        <w:jc w:val="center"/>
        <w:rPr>
          <w:color w:val="auto"/>
          <w:lang w:val="en-US"/>
        </w:rPr>
      </w:pPr>
      <w:r w:rsidRPr="00215318">
        <w:rPr>
          <w:color w:val="auto"/>
        </w:rPr>
        <w:t xml:space="preserve">Figure </w:t>
      </w:r>
      <w:r w:rsidR="00B279C2" w:rsidRPr="00215318">
        <w:rPr>
          <w:color w:val="auto"/>
        </w:rPr>
        <w:fldChar w:fldCharType="begin"/>
      </w:r>
      <w:r w:rsidRPr="00215318">
        <w:rPr>
          <w:color w:val="auto"/>
        </w:rPr>
        <w:instrText xml:space="preserve"> SEQ Figure \* ARABIC </w:instrText>
      </w:r>
      <w:r w:rsidR="00B279C2" w:rsidRPr="00215318">
        <w:rPr>
          <w:color w:val="auto"/>
        </w:rPr>
        <w:fldChar w:fldCharType="separate"/>
      </w:r>
      <w:r w:rsidR="00C85F8F" w:rsidRPr="00215318">
        <w:rPr>
          <w:noProof/>
          <w:color w:val="auto"/>
        </w:rPr>
        <w:t>2</w:t>
      </w:r>
      <w:r w:rsidR="00B279C2" w:rsidRPr="00215318">
        <w:rPr>
          <w:color w:val="auto"/>
        </w:rPr>
        <w:fldChar w:fldCharType="end"/>
      </w:r>
      <w:r w:rsidRPr="00215318">
        <w:rPr>
          <w:color w:val="auto"/>
        </w:rPr>
        <w:t xml:space="preserve"> Temporal Interleaving</w:t>
      </w:r>
    </w:p>
    <w:p w:rsidR="00B9332A" w:rsidRDefault="00B9332A" w:rsidP="00743252">
      <w:pPr>
        <w:pStyle w:val="Heading2"/>
        <w:rPr>
          <w:lang w:val="en-US"/>
        </w:rPr>
      </w:pPr>
      <w:r>
        <w:rPr>
          <w:lang w:val="en-US"/>
        </w:rPr>
        <w:t>Multi-view Video</w:t>
      </w:r>
    </w:p>
    <w:p w:rsidR="00BB2BDE" w:rsidRDefault="00F03017" w:rsidP="00CA3EBB">
      <w:pPr>
        <w:rPr>
          <w:lang w:val="en-US"/>
        </w:rPr>
      </w:pPr>
      <w:r>
        <w:rPr>
          <w:lang w:val="en-US"/>
        </w:rPr>
        <w:t xml:space="preserve">MVC </w:t>
      </w:r>
      <w:r w:rsidR="009F38CC">
        <w:rPr>
          <w:lang w:val="en-US"/>
        </w:rPr>
        <w:t xml:space="preserve">[1] </w:t>
      </w:r>
      <w:r>
        <w:rPr>
          <w:lang w:val="en-US"/>
        </w:rPr>
        <w:t xml:space="preserve">has recently been standardized for the compression of multiple view video as an addition to the H.264/AVC standard family. </w:t>
      </w:r>
      <w:r w:rsidR="00BB2BDE">
        <w:rPr>
          <w:lang w:val="en-US"/>
        </w:rPr>
        <w:t xml:space="preserve">In MVC, the views from different cameras are encoded into a single bit-stream that is backwards compatible with single view H.264/AVC. MVC introduces new coding tools to exhibit the spatial redundancy among the different views. </w:t>
      </w:r>
    </w:p>
    <w:p w:rsidR="00C85F8F" w:rsidRDefault="00BB2BDE" w:rsidP="00CA3EBB">
      <w:pPr>
        <w:rPr>
          <w:lang w:val="en-US"/>
        </w:rPr>
      </w:pPr>
      <w:r>
        <w:rPr>
          <w:lang w:val="en-US"/>
        </w:rPr>
        <w:t xml:space="preserve">MVC is able to efficiently compress stereoscopic video in a backwards compatible manner and without compromising the view resolutions. The </w:t>
      </w:r>
      <w:r w:rsidR="00AD0B26">
        <w:rPr>
          <w:lang w:val="en-US"/>
        </w:rPr>
        <w:t xml:space="preserve">NAL units from the secondary view are ignored by legacy decoders as the NAL unit type will not be recognized. </w:t>
      </w:r>
    </w:p>
    <w:p w:rsidR="00DF360D" w:rsidRDefault="00DF360D" w:rsidP="00CA3EBB">
      <w:pPr>
        <w:rPr>
          <w:lang w:val="en-US"/>
        </w:rPr>
      </w:pPr>
      <w:r>
        <w:rPr>
          <w:lang w:val="en-US"/>
        </w:rPr>
        <w:t>The following figure depicts a possible prediction chain for a stereoscopic video.</w:t>
      </w:r>
    </w:p>
    <w:p w:rsidR="00743252" w:rsidRDefault="00C85F8F" w:rsidP="00C85F8F">
      <w:pPr>
        <w:jc w:val="center"/>
        <w:rPr>
          <w:lang w:val="en-US"/>
        </w:rPr>
      </w:pPr>
      <w:r w:rsidRPr="00C85F8F">
        <w:rPr>
          <w:noProof/>
          <w:lang w:val="fi-FI" w:eastAsia="fi-FI"/>
        </w:rPr>
        <w:drawing>
          <wp:inline distT="0" distB="0" distL="0" distR="0">
            <wp:extent cx="5940425" cy="792057"/>
            <wp:effectExtent l="19050" t="0" r="3175"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239250" cy="1231900"/>
                      <a:chOff x="336550" y="3717925"/>
                      <a:chExt cx="9239250" cy="1231900"/>
                    </a:xfrm>
                  </a:grpSpPr>
                  <a:grpSp>
                    <a:nvGrpSpPr>
                      <a:cNvPr id="297012" name="Group 52"/>
                      <a:cNvGrpSpPr>
                        <a:grpSpLocks/>
                      </a:cNvGrpSpPr>
                    </a:nvGrpSpPr>
                    <a:grpSpPr bwMode="auto">
                      <a:xfrm>
                        <a:off x="336550" y="3717925"/>
                        <a:ext cx="9239250" cy="1231900"/>
                        <a:chOff x="212" y="2342"/>
                        <a:chExt cx="5820" cy="776"/>
                      </a:xfrm>
                    </a:grpSpPr>
                    <a:sp>
                      <a:nvSpPr>
                        <a:cNvPr id="296964" name="Rectangle 4"/>
                        <a:cNvSpPr>
                          <a:spLocks noChangeArrowheads="1"/>
                        </a:cNvSpPr>
                      </a:nvSpPr>
                      <a:spPr bwMode="auto">
                        <a:xfrm>
                          <a:off x="212" y="2350"/>
                          <a:ext cx="385" cy="241"/>
                        </a:xfrm>
                        <a:prstGeom prst="rect">
                          <a:avLst/>
                        </a:prstGeom>
                        <a:solidFill>
                          <a:schemeClr val="accent2"/>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I</a:t>
                            </a:r>
                          </a:p>
                        </a:txBody>
                        <a:useSpRect/>
                      </a:txSp>
                    </a:sp>
                    <a:sp>
                      <a:nvSpPr>
                        <a:cNvPr id="296965" name="Rectangle 5"/>
                        <a:cNvSpPr>
                          <a:spLocks noChangeArrowheads="1"/>
                        </a:cNvSpPr>
                      </a:nvSpPr>
                      <a:spPr bwMode="auto">
                        <a:xfrm>
                          <a:off x="782" y="2351"/>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66" name="Line 6"/>
                        <a:cNvSpPr>
                          <a:spLocks noChangeShapeType="1"/>
                        </a:cNvSpPr>
                      </a:nvSpPr>
                      <a:spPr bwMode="auto">
                        <a:xfrm>
                          <a:off x="594" y="2474"/>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67" name="Rectangle 7"/>
                        <a:cNvSpPr>
                          <a:spLocks noChangeArrowheads="1"/>
                        </a:cNvSpPr>
                      </a:nvSpPr>
                      <a:spPr bwMode="auto">
                        <a:xfrm>
                          <a:off x="1350" y="2349"/>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68" name="Line 8"/>
                        <a:cNvSpPr>
                          <a:spLocks noChangeShapeType="1"/>
                        </a:cNvSpPr>
                      </a:nvSpPr>
                      <a:spPr bwMode="auto">
                        <a:xfrm>
                          <a:off x="1162" y="2472"/>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69" name="Rectangle 9"/>
                        <a:cNvSpPr>
                          <a:spLocks noChangeArrowheads="1"/>
                        </a:cNvSpPr>
                      </a:nvSpPr>
                      <a:spPr bwMode="auto">
                        <a:xfrm>
                          <a:off x="1920" y="2349"/>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70" name="Line 10"/>
                        <a:cNvSpPr>
                          <a:spLocks noChangeShapeType="1"/>
                        </a:cNvSpPr>
                      </a:nvSpPr>
                      <a:spPr bwMode="auto">
                        <a:xfrm>
                          <a:off x="1732" y="2472"/>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71" name="Rectangle 11"/>
                        <a:cNvSpPr>
                          <a:spLocks noChangeArrowheads="1"/>
                        </a:cNvSpPr>
                      </a:nvSpPr>
                      <a:spPr bwMode="auto">
                        <a:xfrm>
                          <a:off x="2488" y="2347"/>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72" name="Line 12"/>
                        <a:cNvSpPr>
                          <a:spLocks noChangeShapeType="1"/>
                        </a:cNvSpPr>
                      </a:nvSpPr>
                      <a:spPr bwMode="auto">
                        <a:xfrm>
                          <a:off x="2300" y="2470"/>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73" name="Rectangle 13"/>
                        <a:cNvSpPr>
                          <a:spLocks noChangeArrowheads="1"/>
                        </a:cNvSpPr>
                      </a:nvSpPr>
                      <a:spPr bwMode="auto">
                        <a:xfrm>
                          <a:off x="3046" y="2345"/>
                          <a:ext cx="385" cy="241"/>
                        </a:xfrm>
                        <a:prstGeom prst="rect">
                          <a:avLst/>
                        </a:prstGeom>
                        <a:solidFill>
                          <a:schemeClr val="accent2"/>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I</a:t>
                            </a:r>
                          </a:p>
                        </a:txBody>
                        <a:useSpRect/>
                      </a:txSp>
                    </a:sp>
                    <a:sp>
                      <a:nvSpPr>
                        <a:cNvPr id="296974" name="Rectangle 14"/>
                        <a:cNvSpPr>
                          <a:spLocks noChangeArrowheads="1"/>
                        </a:cNvSpPr>
                      </a:nvSpPr>
                      <a:spPr bwMode="auto">
                        <a:xfrm>
                          <a:off x="3616" y="2346"/>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75" name="Line 15"/>
                        <a:cNvSpPr>
                          <a:spLocks noChangeShapeType="1"/>
                        </a:cNvSpPr>
                      </a:nvSpPr>
                      <a:spPr bwMode="auto">
                        <a:xfrm>
                          <a:off x="3428" y="2469"/>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76" name="Rectangle 16"/>
                        <a:cNvSpPr>
                          <a:spLocks noChangeArrowheads="1"/>
                        </a:cNvSpPr>
                      </a:nvSpPr>
                      <a:spPr bwMode="auto">
                        <a:xfrm>
                          <a:off x="4184" y="2344"/>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77" name="Line 17"/>
                        <a:cNvSpPr>
                          <a:spLocks noChangeShapeType="1"/>
                        </a:cNvSpPr>
                      </a:nvSpPr>
                      <a:spPr bwMode="auto">
                        <a:xfrm>
                          <a:off x="3996" y="2467"/>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78" name="Rectangle 18"/>
                        <a:cNvSpPr>
                          <a:spLocks noChangeArrowheads="1"/>
                        </a:cNvSpPr>
                      </a:nvSpPr>
                      <a:spPr bwMode="auto">
                        <a:xfrm>
                          <a:off x="4754" y="2344"/>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79" name="Line 19"/>
                        <a:cNvSpPr>
                          <a:spLocks noChangeShapeType="1"/>
                        </a:cNvSpPr>
                      </a:nvSpPr>
                      <a:spPr bwMode="auto">
                        <a:xfrm>
                          <a:off x="4566" y="2467"/>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80" name="Rectangle 20"/>
                        <a:cNvSpPr>
                          <a:spLocks noChangeArrowheads="1"/>
                        </a:cNvSpPr>
                      </a:nvSpPr>
                      <a:spPr bwMode="auto">
                        <a:xfrm>
                          <a:off x="5322" y="2342"/>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81" name="Line 21"/>
                        <a:cNvSpPr>
                          <a:spLocks noChangeShapeType="1"/>
                        </a:cNvSpPr>
                      </a:nvSpPr>
                      <a:spPr bwMode="auto">
                        <a:xfrm>
                          <a:off x="5134" y="2465"/>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82" name="Line 22"/>
                        <a:cNvSpPr>
                          <a:spLocks noChangeShapeType="1"/>
                        </a:cNvSpPr>
                      </a:nvSpPr>
                      <a:spPr bwMode="auto">
                        <a:xfrm>
                          <a:off x="5766" y="2463"/>
                          <a:ext cx="265" cy="0"/>
                        </a:xfrm>
                        <a:prstGeom prst="line">
                          <a:avLst/>
                        </a:prstGeom>
                        <a:noFill/>
                        <a:ln w="57150">
                          <a:solidFill>
                            <a:schemeClr val="tx1"/>
                          </a:solidFill>
                          <a:prstDash val="sysDot"/>
                          <a:round/>
                          <a:headEnd/>
                          <a:tailEn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83" name="Rectangle 23"/>
                        <a:cNvSpPr>
                          <a:spLocks noChangeArrowheads="1"/>
                        </a:cNvSpPr>
                      </a:nvSpPr>
                      <a:spPr bwMode="auto">
                        <a:xfrm>
                          <a:off x="213" y="2876"/>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84" name="Rectangle 24"/>
                        <a:cNvSpPr>
                          <a:spLocks noChangeArrowheads="1"/>
                        </a:cNvSpPr>
                      </a:nvSpPr>
                      <a:spPr bwMode="auto">
                        <a:xfrm>
                          <a:off x="783" y="2877"/>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85" name="Line 25"/>
                        <a:cNvSpPr>
                          <a:spLocks noChangeShapeType="1"/>
                        </a:cNvSpPr>
                      </a:nvSpPr>
                      <a:spPr bwMode="auto">
                        <a:xfrm>
                          <a:off x="595" y="3000"/>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86" name="Rectangle 26"/>
                        <a:cNvSpPr>
                          <a:spLocks noChangeArrowheads="1"/>
                        </a:cNvSpPr>
                      </a:nvSpPr>
                      <a:spPr bwMode="auto">
                        <a:xfrm>
                          <a:off x="1351" y="2875"/>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87" name="Line 27"/>
                        <a:cNvSpPr>
                          <a:spLocks noChangeShapeType="1"/>
                        </a:cNvSpPr>
                      </a:nvSpPr>
                      <a:spPr bwMode="auto">
                        <a:xfrm>
                          <a:off x="1163" y="2998"/>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88" name="Rectangle 28"/>
                        <a:cNvSpPr>
                          <a:spLocks noChangeArrowheads="1"/>
                        </a:cNvSpPr>
                      </a:nvSpPr>
                      <a:spPr bwMode="auto">
                        <a:xfrm>
                          <a:off x="1921" y="2875"/>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89" name="Line 29"/>
                        <a:cNvSpPr>
                          <a:spLocks noChangeShapeType="1"/>
                        </a:cNvSpPr>
                      </a:nvSpPr>
                      <a:spPr bwMode="auto">
                        <a:xfrm>
                          <a:off x="1733" y="2998"/>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90" name="Rectangle 30"/>
                        <a:cNvSpPr>
                          <a:spLocks noChangeArrowheads="1"/>
                        </a:cNvSpPr>
                      </a:nvSpPr>
                      <a:spPr bwMode="auto">
                        <a:xfrm>
                          <a:off x="2489" y="2873"/>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91" name="Line 31"/>
                        <a:cNvSpPr>
                          <a:spLocks noChangeShapeType="1"/>
                        </a:cNvSpPr>
                      </a:nvSpPr>
                      <a:spPr bwMode="auto">
                        <a:xfrm>
                          <a:off x="2301" y="2996"/>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92" name="Rectangle 32"/>
                        <a:cNvSpPr>
                          <a:spLocks noChangeArrowheads="1"/>
                        </a:cNvSpPr>
                      </a:nvSpPr>
                      <a:spPr bwMode="auto">
                        <a:xfrm>
                          <a:off x="3047" y="2871"/>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93" name="Rectangle 33"/>
                        <a:cNvSpPr>
                          <a:spLocks noChangeArrowheads="1"/>
                        </a:cNvSpPr>
                      </a:nvSpPr>
                      <a:spPr bwMode="auto">
                        <a:xfrm>
                          <a:off x="3617" y="2872"/>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94" name="Line 34"/>
                        <a:cNvSpPr>
                          <a:spLocks noChangeShapeType="1"/>
                        </a:cNvSpPr>
                      </a:nvSpPr>
                      <a:spPr bwMode="auto">
                        <a:xfrm>
                          <a:off x="3429" y="2995"/>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95" name="Rectangle 35"/>
                        <a:cNvSpPr>
                          <a:spLocks noChangeArrowheads="1"/>
                        </a:cNvSpPr>
                      </a:nvSpPr>
                      <a:spPr bwMode="auto">
                        <a:xfrm>
                          <a:off x="4185" y="2870"/>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96" name="Line 36"/>
                        <a:cNvSpPr>
                          <a:spLocks noChangeShapeType="1"/>
                        </a:cNvSpPr>
                      </a:nvSpPr>
                      <a:spPr bwMode="auto">
                        <a:xfrm>
                          <a:off x="3997" y="2993"/>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97" name="Rectangle 37"/>
                        <a:cNvSpPr>
                          <a:spLocks noChangeArrowheads="1"/>
                        </a:cNvSpPr>
                      </a:nvSpPr>
                      <a:spPr bwMode="auto">
                        <a:xfrm>
                          <a:off x="4755" y="2870"/>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6998" name="Line 38"/>
                        <a:cNvSpPr>
                          <a:spLocks noChangeShapeType="1"/>
                        </a:cNvSpPr>
                      </a:nvSpPr>
                      <a:spPr bwMode="auto">
                        <a:xfrm>
                          <a:off x="4567" y="2993"/>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6999" name="Rectangle 39"/>
                        <a:cNvSpPr>
                          <a:spLocks noChangeArrowheads="1"/>
                        </a:cNvSpPr>
                      </a:nvSpPr>
                      <a:spPr bwMode="auto">
                        <a:xfrm>
                          <a:off x="5323" y="2868"/>
                          <a:ext cx="385" cy="241"/>
                        </a:xfrm>
                        <a:prstGeom prst="rect">
                          <a:avLst/>
                        </a:prstGeom>
                        <a:solidFill>
                          <a:srgbClr val="CCFF99"/>
                        </a:solidFill>
                        <a:ln w="19050" algn="ctr">
                          <a:solidFill>
                            <a:schemeClr val="tx1"/>
                          </a:solidFill>
                          <a:miter lim="800000"/>
                          <a:headEnd/>
                          <a:tailEn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pPr algn="ctr" defTabSz="762000"/>
                            <a:r>
                              <a:rPr lang="en-US"/>
                              <a:t>P</a:t>
                            </a:r>
                          </a:p>
                        </a:txBody>
                        <a:useSpRect/>
                      </a:txSp>
                    </a:sp>
                    <a:sp>
                      <a:nvSpPr>
                        <a:cNvPr id="297000" name="Line 40"/>
                        <a:cNvSpPr>
                          <a:spLocks noChangeShapeType="1"/>
                        </a:cNvSpPr>
                      </a:nvSpPr>
                      <a:spPr bwMode="auto">
                        <a:xfrm>
                          <a:off x="5135" y="2991"/>
                          <a:ext cx="180" cy="0"/>
                        </a:xfrm>
                        <a:prstGeom prst="line">
                          <a:avLst/>
                        </a:prstGeom>
                        <a:noFill/>
                        <a:ln w="38100">
                          <a:solidFill>
                            <a:schemeClr val="tx1"/>
                          </a:solidFill>
                          <a:round/>
                          <a:headEnd/>
                          <a:tailEnd type="triangle" w="med" len="me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1" name="Line 41"/>
                        <a:cNvSpPr>
                          <a:spLocks noChangeShapeType="1"/>
                        </a:cNvSpPr>
                      </a:nvSpPr>
                      <a:spPr bwMode="auto">
                        <a:xfrm>
                          <a:off x="5767" y="2989"/>
                          <a:ext cx="265" cy="0"/>
                        </a:xfrm>
                        <a:prstGeom prst="line">
                          <a:avLst/>
                        </a:prstGeom>
                        <a:noFill/>
                        <a:ln w="57150">
                          <a:solidFill>
                            <a:schemeClr val="tx1"/>
                          </a:solidFill>
                          <a:prstDash val="sysDot"/>
                          <a:round/>
                          <a:headEnd/>
                          <a:tailEnd/>
                        </a:ln>
                        <a:effectLst/>
                      </a:spPr>
                      <a:txSp>
                        <a:txBody>
                          <a:bodyPr wrap="none"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2" name="Line 42"/>
                        <a:cNvSpPr>
                          <a:spLocks noChangeShapeType="1"/>
                        </a:cNvSpPr>
                      </a:nvSpPr>
                      <a:spPr bwMode="auto">
                        <a:xfrm flipH="1">
                          <a:off x="402" y="2593"/>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3" name="Line 43"/>
                        <a:cNvSpPr>
                          <a:spLocks noChangeShapeType="1"/>
                        </a:cNvSpPr>
                      </a:nvSpPr>
                      <a:spPr bwMode="auto">
                        <a:xfrm flipH="1">
                          <a:off x="3237" y="2587"/>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4" name="Line 44"/>
                        <a:cNvSpPr>
                          <a:spLocks noChangeShapeType="1"/>
                        </a:cNvSpPr>
                      </a:nvSpPr>
                      <a:spPr bwMode="auto">
                        <a:xfrm flipH="1">
                          <a:off x="973" y="2599"/>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5" name="Line 45"/>
                        <a:cNvSpPr>
                          <a:spLocks noChangeShapeType="1"/>
                        </a:cNvSpPr>
                      </a:nvSpPr>
                      <a:spPr bwMode="auto">
                        <a:xfrm flipH="1">
                          <a:off x="1527" y="2594"/>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6" name="Line 46"/>
                        <a:cNvSpPr>
                          <a:spLocks noChangeShapeType="1"/>
                        </a:cNvSpPr>
                      </a:nvSpPr>
                      <a:spPr bwMode="auto">
                        <a:xfrm flipH="1">
                          <a:off x="2107" y="2588"/>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7" name="Line 47"/>
                        <a:cNvSpPr>
                          <a:spLocks noChangeShapeType="1"/>
                        </a:cNvSpPr>
                      </a:nvSpPr>
                      <a:spPr bwMode="auto">
                        <a:xfrm flipH="1">
                          <a:off x="2678" y="2593"/>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8" name="Line 48"/>
                        <a:cNvSpPr>
                          <a:spLocks noChangeShapeType="1"/>
                        </a:cNvSpPr>
                      </a:nvSpPr>
                      <a:spPr bwMode="auto">
                        <a:xfrm flipH="1">
                          <a:off x="4378" y="2593"/>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09" name="Line 49"/>
                        <a:cNvSpPr>
                          <a:spLocks noChangeShapeType="1"/>
                        </a:cNvSpPr>
                      </a:nvSpPr>
                      <a:spPr bwMode="auto">
                        <a:xfrm flipH="1">
                          <a:off x="4943" y="2582"/>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10" name="Line 50"/>
                        <a:cNvSpPr>
                          <a:spLocks noChangeShapeType="1"/>
                        </a:cNvSpPr>
                      </a:nvSpPr>
                      <a:spPr bwMode="auto">
                        <a:xfrm flipH="1">
                          <a:off x="5515" y="2588"/>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sp>
                      <a:nvSpPr>
                        <a:cNvPr id="297011" name="Line 51"/>
                        <a:cNvSpPr>
                          <a:spLocks noChangeShapeType="1"/>
                        </a:cNvSpPr>
                      </a:nvSpPr>
                      <a:spPr bwMode="auto">
                        <a:xfrm flipH="1">
                          <a:off x="3792" y="2594"/>
                          <a:ext cx="1" cy="282"/>
                        </a:xfrm>
                        <a:prstGeom prst="line">
                          <a:avLst/>
                        </a:prstGeom>
                        <a:noFill/>
                        <a:ln w="38100">
                          <a:solidFill>
                            <a:schemeClr val="tx1"/>
                          </a:solidFill>
                          <a:round/>
                          <a:headEnd/>
                          <a:tailEnd type="triangle" w="med" len="med"/>
                        </a:ln>
                        <a:effectLst/>
                      </a:spPr>
                      <a:txSp>
                        <a:txBody>
                          <a:bodyPr lIns="90488" tIns="44450" rIns="90488" bIns="44450" anchor="ctr">
                            <a:spAutoFit/>
                          </a:bodyPr>
                          <a:lstStyle>
                            <a:defPPr>
                              <a:defRPr lang="en-US"/>
                            </a:defPPr>
                            <a:lvl1pPr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1pPr>
                            <a:lvl2pPr marL="4572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2pPr>
                            <a:lvl3pPr marL="9144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3pPr>
                            <a:lvl4pPr marL="13716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4pPr>
                            <a:lvl5pPr marL="1828800" algn="l" rtl="0" eaLnBrk="0" fontAlgn="base" hangingPunct="0">
                              <a:spcBef>
                                <a:spcPct val="15000"/>
                              </a:spcBef>
                              <a:spcAft>
                                <a:spcPct val="15000"/>
                              </a:spcAft>
                              <a:buClr>
                                <a:schemeClr val="accent1"/>
                              </a:buClr>
                              <a:defRPr kern="1200">
                                <a:solidFill>
                                  <a:schemeClr val="tx1"/>
                                </a:solidFill>
                                <a:latin typeface="Nokia Sans Wide" pitchFamily="34" charset="0"/>
                                <a:ea typeface="+mn-ea"/>
                                <a:cs typeface="+mn-cs"/>
                              </a:defRPr>
                            </a:lvl5pPr>
                            <a:lvl6pPr marL="2286000" algn="l" defTabSz="914400" rtl="0" eaLnBrk="1" latinLnBrk="0" hangingPunct="1">
                              <a:defRPr kern="1200">
                                <a:solidFill>
                                  <a:schemeClr val="tx1"/>
                                </a:solidFill>
                                <a:latin typeface="Nokia Sans Wide" pitchFamily="34" charset="0"/>
                                <a:ea typeface="+mn-ea"/>
                                <a:cs typeface="+mn-cs"/>
                              </a:defRPr>
                            </a:lvl6pPr>
                            <a:lvl7pPr marL="2743200" algn="l" defTabSz="914400" rtl="0" eaLnBrk="1" latinLnBrk="0" hangingPunct="1">
                              <a:defRPr kern="1200">
                                <a:solidFill>
                                  <a:schemeClr val="tx1"/>
                                </a:solidFill>
                                <a:latin typeface="Nokia Sans Wide" pitchFamily="34" charset="0"/>
                                <a:ea typeface="+mn-ea"/>
                                <a:cs typeface="+mn-cs"/>
                              </a:defRPr>
                            </a:lvl7pPr>
                            <a:lvl8pPr marL="3200400" algn="l" defTabSz="914400" rtl="0" eaLnBrk="1" latinLnBrk="0" hangingPunct="1">
                              <a:defRPr kern="1200">
                                <a:solidFill>
                                  <a:schemeClr val="tx1"/>
                                </a:solidFill>
                                <a:latin typeface="Nokia Sans Wide" pitchFamily="34" charset="0"/>
                                <a:ea typeface="+mn-ea"/>
                                <a:cs typeface="+mn-cs"/>
                              </a:defRPr>
                            </a:lvl8pPr>
                            <a:lvl9pPr marL="3657600" algn="l" defTabSz="914400" rtl="0" eaLnBrk="1" latinLnBrk="0" hangingPunct="1">
                              <a:defRPr kern="1200">
                                <a:solidFill>
                                  <a:schemeClr val="tx1"/>
                                </a:solidFill>
                                <a:latin typeface="Nokia Sans Wide" pitchFamily="34" charset="0"/>
                                <a:ea typeface="+mn-ea"/>
                                <a:cs typeface="+mn-cs"/>
                              </a:defRPr>
                            </a:lvl9pPr>
                          </a:lstStyle>
                          <a:p>
                            <a:endParaRPr lang="en-US"/>
                          </a:p>
                        </a:txBody>
                        <a:useSpRect/>
                      </a:txSp>
                    </a:sp>
                  </a:grpSp>
                </lc:lockedCanvas>
              </a:graphicData>
            </a:graphic>
          </wp:inline>
        </w:drawing>
      </w:r>
    </w:p>
    <w:p w:rsidR="00C85F8F" w:rsidRPr="00215318" w:rsidRDefault="00C85F8F" w:rsidP="00C85F8F">
      <w:pPr>
        <w:pStyle w:val="Caption"/>
        <w:jc w:val="center"/>
        <w:rPr>
          <w:color w:val="auto"/>
          <w:lang w:val="en-US"/>
        </w:rPr>
      </w:pPr>
      <w:r w:rsidRPr="00215318">
        <w:rPr>
          <w:color w:val="auto"/>
        </w:rPr>
        <w:t xml:space="preserve">Figure </w:t>
      </w:r>
      <w:r w:rsidR="00B279C2" w:rsidRPr="00215318">
        <w:rPr>
          <w:color w:val="auto"/>
        </w:rPr>
        <w:fldChar w:fldCharType="begin"/>
      </w:r>
      <w:r w:rsidRPr="00215318">
        <w:rPr>
          <w:color w:val="auto"/>
        </w:rPr>
        <w:instrText xml:space="preserve"> SEQ Figure \* ARABIC </w:instrText>
      </w:r>
      <w:r w:rsidR="00B279C2" w:rsidRPr="00215318">
        <w:rPr>
          <w:color w:val="auto"/>
        </w:rPr>
        <w:fldChar w:fldCharType="separate"/>
      </w:r>
      <w:r w:rsidRPr="00215318">
        <w:rPr>
          <w:noProof/>
          <w:color w:val="auto"/>
        </w:rPr>
        <w:t>3</w:t>
      </w:r>
      <w:r w:rsidR="00B279C2" w:rsidRPr="00215318">
        <w:rPr>
          <w:color w:val="auto"/>
        </w:rPr>
        <w:fldChar w:fldCharType="end"/>
      </w:r>
      <w:r w:rsidRPr="00215318">
        <w:rPr>
          <w:color w:val="auto"/>
        </w:rPr>
        <w:t xml:space="preserve"> MVC Encoding with Inter-view Prediction</w:t>
      </w:r>
    </w:p>
    <w:p w:rsidR="00E558E8" w:rsidRDefault="00556B19" w:rsidP="00E558E8">
      <w:pPr>
        <w:pStyle w:val="Heading1"/>
        <w:pBdr>
          <w:top w:val="none" w:sz="0" w:space="0" w:color="auto"/>
        </w:pBdr>
        <w:rPr>
          <w:lang w:val="en-US"/>
        </w:rPr>
      </w:pPr>
      <w:r>
        <w:rPr>
          <w:lang w:val="en-US"/>
        </w:rPr>
        <w:t>Proposal</w:t>
      </w:r>
    </w:p>
    <w:p w:rsidR="001B5C30" w:rsidRPr="001B5C30" w:rsidRDefault="001B5C30" w:rsidP="001B5C30">
      <w:pPr>
        <w:rPr>
          <w:lang w:val="en-US"/>
        </w:rPr>
      </w:pPr>
      <w:r>
        <w:rPr>
          <w:lang w:val="en-US"/>
        </w:rPr>
        <w:t xml:space="preserve">We propose to include a description of the stereoscopic video formats to the TR. </w:t>
      </w:r>
      <w:r w:rsidR="009F38CC">
        <w:rPr>
          <w:lang w:val="en-US"/>
        </w:rPr>
        <w:t>We also propose that e</w:t>
      </w:r>
      <w:r>
        <w:rPr>
          <w:lang w:val="en-US"/>
        </w:rPr>
        <w:t xml:space="preserve">valuation of the appropriate format </w:t>
      </w:r>
      <w:r w:rsidR="009F38CC">
        <w:rPr>
          <w:lang w:val="en-US"/>
        </w:rPr>
        <w:t>should take into account the presented formats.</w:t>
      </w:r>
    </w:p>
    <w:p w:rsidR="00F9270A" w:rsidRDefault="00F9270A" w:rsidP="00F9270A">
      <w:pPr>
        <w:pStyle w:val="Heading1"/>
        <w:pBdr>
          <w:top w:val="none" w:sz="0" w:space="0" w:color="auto"/>
        </w:pBdr>
        <w:rPr>
          <w:lang w:val="en-US"/>
        </w:rPr>
      </w:pPr>
      <w:r>
        <w:rPr>
          <w:lang w:val="en-US"/>
        </w:rPr>
        <w:t>Reference</w:t>
      </w:r>
      <w:r w:rsidR="00396AD9">
        <w:rPr>
          <w:lang w:val="en-US"/>
        </w:rPr>
        <w:t>s</w:t>
      </w:r>
    </w:p>
    <w:p w:rsidR="009F38CC" w:rsidRPr="009F38CC" w:rsidRDefault="00CA3EBB" w:rsidP="009F38CC">
      <w:pPr>
        <w:pStyle w:val="Rectitle"/>
        <w:jc w:val="left"/>
        <w:rPr>
          <w:b w:val="0"/>
          <w:sz w:val="24"/>
          <w:szCs w:val="24"/>
        </w:rPr>
      </w:pPr>
      <w:r w:rsidRPr="009F38CC">
        <w:rPr>
          <w:b w:val="0"/>
          <w:sz w:val="24"/>
          <w:szCs w:val="24"/>
          <w:lang w:val="en-US"/>
        </w:rPr>
        <w:t xml:space="preserve"> </w:t>
      </w:r>
      <w:r w:rsidR="00556B19" w:rsidRPr="009F38CC">
        <w:rPr>
          <w:b w:val="0"/>
          <w:sz w:val="24"/>
          <w:szCs w:val="24"/>
          <w:lang w:val="en-US"/>
        </w:rPr>
        <w:t>[</w:t>
      </w:r>
      <w:r w:rsidRPr="009F38CC">
        <w:rPr>
          <w:b w:val="0"/>
          <w:sz w:val="24"/>
          <w:szCs w:val="24"/>
          <w:lang w:val="en-US"/>
        </w:rPr>
        <w:t>1</w:t>
      </w:r>
      <w:r w:rsidR="00556B19" w:rsidRPr="009F38CC">
        <w:rPr>
          <w:b w:val="0"/>
          <w:sz w:val="24"/>
          <w:szCs w:val="24"/>
          <w:lang w:val="en-US"/>
        </w:rPr>
        <w:t>]</w:t>
      </w:r>
      <w:r w:rsidR="00556B19" w:rsidRPr="009F38CC">
        <w:rPr>
          <w:b w:val="0"/>
          <w:sz w:val="24"/>
          <w:szCs w:val="24"/>
          <w:lang w:val="en-US"/>
        </w:rPr>
        <w:tab/>
      </w:r>
      <w:r w:rsidR="00556B19" w:rsidRPr="009F38CC">
        <w:rPr>
          <w:b w:val="0"/>
          <w:sz w:val="24"/>
          <w:szCs w:val="24"/>
          <w:lang w:val="en-US"/>
        </w:rPr>
        <w:tab/>
      </w:r>
      <w:r w:rsidR="009F38CC" w:rsidRPr="009F38CC">
        <w:rPr>
          <w:b w:val="0"/>
          <w:sz w:val="24"/>
          <w:szCs w:val="24"/>
          <w:lang w:val="en-US"/>
        </w:rPr>
        <w:t xml:space="preserve">ISO/IEC 14496-10, </w:t>
      </w:r>
      <w:r w:rsidR="009F38CC" w:rsidRPr="009F38CC">
        <w:rPr>
          <w:b w:val="0"/>
          <w:sz w:val="24"/>
          <w:szCs w:val="24"/>
        </w:rPr>
        <w:t>Advanced video coding for generic audiovisual services</w:t>
      </w:r>
    </w:p>
    <w:p w:rsidR="009F38CC" w:rsidRDefault="009F38CC" w:rsidP="009F38CC">
      <w:pPr>
        <w:rPr>
          <w:lang w:val="en-US"/>
        </w:rPr>
      </w:pPr>
    </w:p>
    <w:p w:rsidR="00556B19" w:rsidRDefault="00556B19" w:rsidP="00A4727E">
      <w:pPr>
        <w:rPr>
          <w:lang w:val="en-US"/>
        </w:rPr>
      </w:pPr>
    </w:p>
    <w:sectPr w:rsidR="00556B19" w:rsidSect="00283428">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971" w:rsidRDefault="00A86971">
      <w:r>
        <w:separator/>
      </w:r>
    </w:p>
  </w:endnote>
  <w:endnote w:type="continuationSeparator" w:id="1">
    <w:p w:rsidR="00A86971" w:rsidRDefault="00A869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pPr>
      <w:pStyle w:val="Footer"/>
    </w:pPr>
    <w:r>
      <w:t xml:space="preserve">- </w:t>
    </w:r>
    <w:r w:rsidR="00B279C2">
      <w:rPr>
        <w:rStyle w:val="PageNumber"/>
      </w:rPr>
      <w:fldChar w:fldCharType="begin"/>
    </w:r>
    <w:r>
      <w:rPr>
        <w:rStyle w:val="PageNumber"/>
      </w:rPr>
      <w:instrText xml:space="preserve"> PAGE </w:instrText>
    </w:r>
    <w:r w:rsidR="00B279C2">
      <w:rPr>
        <w:rStyle w:val="PageNumber"/>
      </w:rPr>
      <w:fldChar w:fldCharType="separate"/>
    </w:r>
    <w:r w:rsidR="00536AB7">
      <w:rPr>
        <w:rStyle w:val="PageNumber"/>
      </w:rPr>
      <w:t>1</w:t>
    </w:r>
    <w:r w:rsidR="00B279C2">
      <w:rPr>
        <w:rStyle w:val="PageNumber"/>
      </w:rPr>
      <w:fldChar w:fldCharType="end"/>
    </w:r>
    <w:r>
      <w:rPr>
        <w:rStyle w:val="PageNumber"/>
      </w:rPr>
      <w:t>/</w:t>
    </w:r>
    <w:r w:rsidR="00B279C2">
      <w:rPr>
        <w:rStyle w:val="PageNumber"/>
      </w:rPr>
      <w:fldChar w:fldCharType="begin"/>
    </w:r>
    <w:r>
      <w:rPr>
        <w:rStyle w:val="PageNumber"/>
      </w:rPr>
      <w:instrText xml:space="preserve"> NUMPAGES </w:instrText>
    </w:r>
    <w:r w:rsidR="00B279C2">
      <w:rPr>
        <w:rStyle w:val="PageNumber"/>
      </w:rPr>
      <w:fldChar w:fldCharType="separate"/>
    </w:r>
    <w:r w:rsidR="00536AB7">
      <w:rPr>
        <w:rStyle w:val="PageNumber"/>
      </w:rPr>
      <w:t>3</w:t>
    </w:r>
    <w:r w:rsidR="00B279C2">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971" w:rsidRDefault="00A86971">
      <w:r>
        <w:separator/>
      </w:r>
    </w:p>
  </w:footnote>
  <w:footnote w:type="continuationSeparator" w:id="1">
    <w:p w:rsidR="00A86971" w:rsidRDefault="00A86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BA37F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compat>
  <w:rsids>
    <w:rsidRoot w:val="00DE63B8"/>
    <w:rsid w:val="001245AC"/>
    <w:rsid w:val="00166D1F"/>
    <w:rsid w:val="00187C29"/>
    <w:rsid w:val="001A045B"/>
    <w:rsid w:val="001B5C30"/>
    <w:rsid w:val="001F396F"/>
    <w:rsid w:val="00215318"/>
    <w:rsid w:val="00216164"/>
    <w:rsid w:val="00222814"/>
    <w:rsid w:val="002336D7"/>
    <w:rsid w:val="002432A6"/>
    <w:rsid w:val="0025648B"/>
    <w:rsid w:val="00283428"/>
    <w:rsid w:val="002B7ACD"/>
    <w:rsid w:val="002D062B"/>
    <w:rsid w:val="002E6F10"/>
    <w:rsid w:val="002F6E6F"/>
    <w:rsid w:val="00305F27"/>
    <w:rsid w:val="0032290E"/>
    <w:rsid w:val="003961C8"/>
    <w:rsid w:val="00396AD9"/>
    <w:rsid w:val="003E0A3A"/>
    <w:rsid w:val="004B71C1"/>
    <w:rsid w:val="004F557D"/>
    <w:rsid w:val="0053281E"/>
    <w:rsid w:val="00536AB7"/>
    <w:rsid w:val="005401F2"/>
    <w:rsid w:val="0054640D"/>
    <w:rsid w:val="00556B19"/>
    <w:rsid w:val="00566BC6"/>
    <w:rsid w:val="005901B9"/>
    <w:rsid w:val="005F21BA"/>
    <w:rsid w:val="00662CCB"/>
    <w:rsid w:val="0066710E"/>
    <w:rsid w:val="00674CB2"/>
    <w:rsid w:val="0068340A"/>
    <w:rsid w:val="006B212F"/>
    <w:rsid w:val="006C2949"/>
    <w:rsid w:val="006D4D4E"/>
    <w:rsid w:val="00700E26"/>
    <w:rsid w:val="0071208F"/>
    <w:rsid w:val="007276DE"/>
    <w:rsid w:val="00743252"/>
    <w:rsid w:val="00762570"/>
    <w:rsid w:val="00794109"/>
    <w:rsid w:val="008217E2"/>
    <w:rsid w:val="0083443F"/>
    <w:rsid w:val="008B19DB"/>
    <w:rsid w:val="008C3F48"/>
    <w:rsid w:val="008C7EFF"/>
    <w:rsid w:val="00901E35"/>
    <w:rsid w:val="0091368B"/>
    <w:rsid w:val="00960A5B"/>
    <w:rsid w:val="009617E0"/>
    <w:rsid w:val="00961FFA"/>
    <w:rsid w:val="009978A9"/>
    <w:rsid w:val="009A207C"/>
    <w:rsid w:val="009B3DB8"/>
    <w:rsid w:val="009C593B"/>
    <w:rsid w:val="009F38CC"/>
    <w:rsid w:val="00A4727E"/>
    <w:rsid w:val="00A86971"/>
    <w:rsid w:val="00AB2E01"/>
    <w:rsid w:val="00AC7941"/>
    <w:rsid w:val="00AD0B26"/>
    <w:rsid w:val="00AE4305"/>
    <w:rsid w:val="00B23585"/>
    <w:rsid w:val="00B279C2"/>
    <w:rsid w:val="00B40379"/>
    <w:rsid w:val="00B44BD7"/>
    <w:rsid w:val="00B9332A"/>
    <w:rsid w:val="00BB2BDE"/>
    <w:rsid w:val="00BE700F"/>
    <w:rsid w:val="00BF0A07"/>
    <w:rsid w:val="00C630B9"/>
    <w:rsid w:val="00C71235"/>
    <w:rsid w:val="00C85F8F"/>
    <w:rsid w:val="00CA3EBB"/>
    <w:rsid w:val="00CC1D58"/>
    <w:rsid w:val="00D36D10"/>
    <w:rsid w:val="00D7715E"/>
    <w:rsid w:val="00D93B34"/>
    <w:rsid w:val="00DB293A"/>
    <w:rsid w:val="00DE63B8"/>
    <w:rsid w:val="00DF360D"/>
    <w:rsid w:val="00E140CB"/>
    <w:rsid w:val="00E1517A"/>
    <w:rsid w:val="00E5169D"/>
    <w:rsid w:val="00E558E8"/>
    <w:rsid w:val="00E84EA3"/>
    <w:rsid w:val="00F03017"/>
    <w:rsid w:val="00F203C2"/>
    <w:rsid w:val="00F31BF0"/>
    <w:rsid w:val="00F870D1"/>
    <w:rsid w:val="00F9270A"/>
    <w:rsid w:val="00FB006B"/>
    <w:rsid w:val="00FC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paragraph" w:styleId="Caption">
    <w:name w:val="caption"/>
    <w:basedOn w:val="Normal"/>
    <w:next w:val="Normal"/>
    <w:unhideWhenUsed/>
    <w:qFormat/>
    <w:rsid w:val="00AD0B26"/>
    <w:pPr>
      <w:spacing w:after="200"/>
    </w:pPr>
    <w:rPr>
      <w:b/>
      <w:bCs/>
      <w:color w:val="4F81BD" w:themeColor="accent1"/>
      <w:sz w:val="18"/>
      <w:szCs w:val="18"/>
    </w:rPr>
  </w:style>
  <w:style w:type="paragraph" w:customStyle="1" w:styleId="Rectitle">
    <w:name w:val="Rec_title"/>
    <w:basedOn w:val="Normal"/>
    <w:next w:val="Normal"/>
    <w:rsid w:val="009F38CC"/>
    <w:pPr>
      <w:keepNext/>
      <w:keepLines/>
      <w:tabs>
        <w:tab w:val="left" w:pos="794"/>
        <w:tab w:val="left" w:pos="1191"/>
        <w:tab w:val="left" w:pos="1588"/>
        <w:tab w:val="left" w:pos="1985"/>
      </w:tabs>
      <w:spacing w:before="360" w:after="0"/>
      <w:jc w:val="center"/>
    </w:pPr>
    <w:rPr>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6E430-27AD-414E-860D-9AFDAE6E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143</TotalTime>
  <Pages>3</Pages>
  <Words>360</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Corporation</dc:creator>
  <cp:keywords>ESA, style sheet, Winword</cp:keywords>
  <cp:lastModifiedBy>Imed</cp:lastModifiedBy>
  <cp:revision>7</cp:revision>
  <dcterms:created xsi:type="dcterms:W3CDTF">2010-08-10T12:15:00Z</dcterms:created>
  <dcterms:modified xsi:type="dcterms:W3CDTF">2010-08-10T23:14:00Z</dcterms:modified>
</cp:coreProperties>
</file>