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0DF5072"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9606C">
        <w:rPr>
          <w:rFonts w:cs="Arial"/>
          <w:sz w:val="22"/>
          <w:szCs w:val="22"/>
        </w:rPr>
        <w:t>0483</w:t>
      </w:r>
    </w:p>
    <w:p w14:paraId="7FE86C43" w14:textId="637E747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374D8421"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0477</w:t>
      </w:r>
      <w:r w:rsidR="003B13A2">
        <w:rPr>
          <w:rFonts w:ascii="Arial" w:hAnsi="Arial" w:cs="Arial"/>
          <w:b/>
          <w:bCs/>
          <w:sz w:val="22"/>
          <w:szCs w:val="22"/>
        </w:rPr>
        <w:t xml:space="preserve"> | S</w:t>
      </w:r>
      <w:r w:rsidR="00AE1452">
        <w:rPr>
          <w:rFonts w:ascii="Arial" w:hAnsi="Arial" w:cs="Arial"/>
          <w:b/>
          <w:bCs/>
          <w:sz w:val="22"/>
          <w:szCs w:val="22"/>
        </w:rPr>
        <w:t>6-231059</w:t>
      </w:r>
    </w:p>
    <w:p w14:paraId="299A29B6" w14:textId="4862E77D"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5"/>
    <w:bookmarkEnd w:id="6"/>
    <w:bookmarkEnd w:id="7"/>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8" w:name="_Hlk131526710"/>
      <w:r w:rsidR="00A51CE3">
        <w:rPr>
          <w:rFonts w:ascii="Arial" w:hAnsi="Arial" w:cs="Arial"/>
          <w:b/>
          <w:bCs/>
          <w:sz w:val="22"/>
          <w:szCs w:val="22"/>
        </w:rPr>
        <w:t>ADAES</w:t>
      </w:r>
      <w:bookmarkEnd w:id="8"/>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5E6C69">
        <w:rPr>
          <w:rFonts w:ascii="Arial" w:hAnsi="Arial" w:cs="Arial"/>
          <w:b/>
          <w:sz w:val="22"/>
          <w:szCs w:val="22"/>
        </w:rPr>
        <w:t>3GP</w:t>
      </w:r>
      <w:r w:rsidR="00A03571">
        <w:rPr>
          <w:rFonts w:ascii="Arial" w:hAnsi="Arial" w:cs="Arial"/>
          <w:b/>
          <w:sz w:val="22"/>
          <w:szCs w:val="22"/>
        </w:rPr>
        <w:t>P SA4</w:t>
      </w:r>
      <w:bookmarkEnd w:id="9"/>
      <w:bookmarkEnd w:id="10"/>
      <w:bookmarkEnd w:id="11"/>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2"/>
      <w:bookmarkEnd w:id="13"/>
      <w:bookmarkEnd w:id="14"/>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1CD4239B"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2DA926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9C623B" w:rsidRPr="00286531">
        <w:rPr>
          <w:rFonts w:ascii="Arial" w:hAnsi="Arial" w:cs="Arial"/>
          <w:bCs/>
          <w:highlight w:val="yellow"/>
        </w:rPr>
        <w:t>TS 26.531 Rel-17 CR000</w:t>
      </w:r>
      <w:r w:rsidR="0019697B">
        <w:rPr>
          <w:rFonts w:ascii="Arial" w:hAnsi="Arial" w:cs="Arial"/>
          <w:bCs/>
          <w:highlight w:val="yellow"/>
        </w:rPr>
        <w:t>5</w:t>
      </w:r>
    </w:p>
    <w:p w14:paraId="6919F707" w14:textId="77777777" w:rsidR="00B97703" w:rsidRDefault="000F6242" w:rsidP="00B97703">
      <w:pPr>
        <w:pStyle w:val="Heading1"/>
      </w:pPr>
      <w:bookmarkStart w:id="18" w:name="_Hlk109550030"/>
      <w:r>
        <w:t>1</w:t>
      </w:r>
      <w:r w:rsidR="002F1940">
        <w:tab/>
      </w:r>
      <w:r>
        <w:t>Overall description</w:t>
      </w:r>
    </w:p>
    <w:p w14:paraId="024A1D34" w14:textId="6012E8C7" w:rsidR="00A51CE3" w:rsidRDefault="008114D7" w:rsidP="00A51CE3">
      <w:bookmarkStart w:id="19" w:name="_Hlk109550148"/>
      <w:bookmarkEnd w:id="18"/>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3B13A2">
        <w:rPr>
          <w:rFonts w:cs="Times New Roman"/>
        </w:rPr>
        <w:t xml:space="preserve">LS </w:t>
      </w:r>
      <w:r w:rsidR="005B0E51">
        <w:rPr>
          <w:rFonts w:cs="Times New Roman"/>
        </w:rPr>
        <w:t xml:space="preserve">on </w:t>
      </w:r>
      <w:r w:rsidR="00A51CE3">
        <w:rPr>
          <w:rFonts w:cs="Times New Roman"/>
        </w:rPr>
        <w:t xml:space="preserve">possible reuse of the SA4-defined EVEX framework </w:t>
      </w:r>
      <w:r w:rsidR="00A51CE3">
        <w:t xml:space="preserve">in the context of the </w:t>
      </w:r>
      <w:r w:rsidR="00A51CE3" w:rsidRPr="008D6092">
        <w:t>Application Data Analytics Enablement Services (ADAES)</w:t>
      </w:r>
      <w:r w:rsidR="00A51CE3">
        <w:t xml:space="preserve"> and application service management in eSEAL2 work items in order to avoid duplication of effort.</w:t>
      </w:r>
    </w:p>
    <w:p w14:paraId="598F04B5" w14:textId="25DE118E" w:rsidR="00B42DF5" w:rsidRDefault="00A51CE3" w:rsidP="009362AA">
      <w:pPr>
        <w:keepNext/>
      </w:pPr>
      <w:r>
        <w:t>The "EVEX framework" is here understood to mean</w:t>
      </w:r>
      <w:r w:rsidR="00B42DF5">
        <w:t>:</w:t>
      </w:r>
    </w:p>
    <w:p w14:paraId="0A0748B6" w14:textId="533AFD00" w:rsidR="00B42DF5" w:rsidRDefault="0071526C" w:rsidP="009362AA">
      <w:pPr>
        <w:pStyle w:val="B1"/>
        <w:keepNext/>
      </w:pPr>
      <w:proofErr w:type="spellStart"/>
      <w:r>
        <w:t>i</w:t>
      </w:r>
      <w:proofErr w:type="spellEnd"/>
      <w:r w:rsidR="00B42DF5">
        <w:t>.</w:t>
      </w:r>
      <w:r w:rsidR="00B42DF5">
        <w:tab/>
        <w:t>T</w:t>
      </w:r>
      <w:r w:rsidR="00A51CE3">
        <w:t xml:space="preserve">he generic reference architecture for </w:t>
      </w:r>
      <w:r w:rsidR="00DB3646">
        <w:t xml:space="preserve">UE </w:t>
      </w:r>
      <w:r w:rsidR="00A51CE3">
        <w:t xml:space="preserve">data collection, reporting and event exposure as </w:t>
      </w:r>
      <w:r w:rsidR="00477911">
        <w:t>envisag</w:t>
      </w:r>
      <w:r w:rsidR="00A51CE3">
        <w:t xml:space="preserve">ed by </w:t>
      </w:r>
      <w:r w:rsidR="00477911">
        <w:t xml:space="preserve">SA2 in </w:t>
      </w:r>
      <w:r w:rsidR="00A51CE3">
        <w:t xml:space="preserve">TS 23.288 and as defined </w:t>
      </w:r>
      <w:r w:rsidR="00477911">
        <w:t xml:space="preserve">by SA4 </w:t>
      </w:r>
      <w:r w:rsidR="00A51CE3">
        <w:t>in TS 26.531</w:t>
      </w:r>
      <w:r w:rsidR="00B42DF5">
        <w:t>.</w:t>
      </w:r>
    </w:p>
    <w:p w14:paraId="579ECCED" w14:textId="77777777" w:rsidR="002814AD" w:rsidRDefault="002814AD" w:rsidP="002814AD">
      <w:pPr>
        <w:jc w:val="center"/>
      </w:pPr>
      <w:r>
        <w:rPr>
          <w:noProof/>
        </w:rPr>
        <w:drawing>
          <wp:inline distT="0" distB="0" distL="0" distR="0" wp14:anchorId="02288375" wp14:editId="6747CD6F">
            <wp:extent cx="2625505" cy="26355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430" cy="2673602"/>
                    </a:xfrm>
                    <a:prstGeom prst="rect">
                      <a:avLst/>
                    </a:prstGeom>
                    <a:noFill/>
                    <a:ln>
                      <a:noFill/>
                    </a:ln>
                  </pic:spPr>
                </pic:pic>
              </a:graphicData>
            </a:graphic>
          </wp:inline>
        </w:drawing>
      </w:r>
    </w:p>
    <w:p w14:paraId="29692E6F" w14:textId="37E184E2" w:rsidR="00B42DF5" w:rsidRDefault="0071526C" w:rsidP="009362AA">
      <w:pPr>
        <w:pStyle w:val="B1"/>
        <w:keepNext/>
      </w:pPr>
      <w:r>
        <w:t>ii</w:t>
      </w:r>
      <w:r w:rsidR="00B42DF5">
        <w:t>.</w:t>
      </w:r>
      <w:r w:rsidR="00B42DF5">
        <w:tab/>
        <w:t>T</w:t>
      </w:r>
      <w:r w:rsidR="00A51CE3">
        <w:t xml:space="preserve">he </w:t>
      </w:r>
      <w:proofErr w:type="spellStart"/>
      <w:r w:rsidR="00A51CE3" w:rsidRPr="00FF36F5">
        <w:rPr>
          <w:rStyle w:val="Codechar"/>
        </w:rPr>
        <w:t>Ndcaf</w:t>
      </w:r>
      <w:r w:rsidR="00FF36F5">
        <w:rPr>
          <w:rStyle w:val="Codechar"/>
        </w:rPr>
        <w:t>_DataReportingProvisioning</w:t>
      </w:r>
      <w:proofErr w:type="spellEnd"/>
      <w:r w:rsidR="00A51CE3">
        <w:t xml:space="preserve"> service for provisioning of </w:t>
      </w:r>
      <w:r w:rsidR="00DB3646">
        <w:t xml:space="preserve">UE </w:t>
      </w:r>
      <w:r w:rsidR="00D9039B">
        <w:t>data collection, reporting and event exposure in the Data Collection AF, as</w:t>
      </w:r>
      <w:r w:rsidR="00B42DF5">
        <w:t xml:space="preserve"> specified </w:t>
      </w:r>
      <w:r w:rsidR="00477911">
        <w:t xml:space="preserve">by SA4 </w:t>
      </w:r>
      <w:r w:rsidR="00B42DF5">
        <w:t>in TS 26.532</w:t>
      </w:r>
      <w:r w:rsidR="00D9039B">
        <w:t>,</w:t>
      </w:r>
      <w:r w:rsidR="00B42DF5">
        <w:t xml:space="preserve"> a</w:t>
      </w:r>
      <w:r w:rsidR="00D9039B">
        <w:t xml:space="preserve">s well as </w:t>
      </w:r>
      <w:r w:rsidR="00B42DF5">
        <w:t xml:space="preserve">northbound exposure </w:t>
      </w:r>
      <w:r w:rsidR="00D9039B">
        <w:t xml:space="preserve">of this service </w:t>
      </w:r>
      <w:r w:rsidR="00B42DF5">
        <w:t xml:space="preserve">by the NEF specified </w:t>
      </w:r>
      <w:r w:rsidR="00477911">
        <w:t xml:space="preserve">by CT3 </w:t>
      </w:r>
      <w:r w:rsidR="00B42DF5">
        <w:t>in clause 5.24 of TS 29.522.</w:t>
      </w:r>
    </w:p>
    <w:p w14:paraId="195B2009" w14:textId="37BE7EC8" w:rsidR="00B42DF5" w:rsidRDefault="0071526C" w:rsidP="009362AA">
      <w:pPr>
        <w:pStyle w:val="B1"/>
        <w:keepNext/>
      </w:pPr>
      <w:r>
        <w:t>iii</w:t>
      </w:r>
      <w:r w:rsidR="00B42DF5">
        <w:t>.</w:t>
      </w:r>
      <w:r w:rsidR="00B42DF5">
        <w:tab/>
        <w:t>T</w:t>
      </w:r>
      <w:r w:rsidR="00FF36F5">
        <w:t xml:space="preserve">he </w:t>
      </w:r>
      <w:proofErr w:type="spellStart"/>
      <w:r w:rsidR="00FF36F5" w:rsidRPr="00FF36F5">
        <w:rPr>
          <w:rStyle w:val="Codechar"/>
        </w:rPr>
        <w:t>Ndca</w:t>
      </w:r>
      <w:r w:rsidR="00B42DF5">
        <w:rPr>
          <w:rStyle w:val="Codechar"/>
        </w:rPr>
        <w:t>f</w:t>
      </w:r>
      <w:r w:rsidR="00FF36F5" w:rsidRPr="00FF36F5">
        <w:rPr>
          <w:rStyle w:val="Codechar"/>
        </w:rPr>
        <w:t>_DataReporting</w:t>
      </w:r>
      <w:proofErr w:type="spellEnd"/>
      <w:r w:rsidR="00FF36F5">
        <w:t xml:space="preserve"> service for </w:t>
      </w:r>
      <w:r w:rsidR="00DB3646">
        <w:t xml:space="preserve">UE </w:t>
      </w:r>
      <w:r w:rsidR="00FF36F5">
        <w:t>data reporting</w:t>
      </w:r>
      <w:r w:rsidR="00B42DF5">
        <w:t xml:space="preserve">, as specified </w:t>
      </w:r>
      <w:r w:rsidR="00477911">
        <w:t xml:space="preserve">by SA4 </w:t>
      </w:r>
      <w:r w:rsidR="00B42DF5">
        <w:t>in TS 26.532 a</w:t>
      </w:r>
      <w:r w:rsidR="00D9039B">
        <w:t>s well as</w:t>
      </w:r>
      <w:r w:rsidR="00B42DF5">
        <w:t xml:space="preserve"> its northbound exposure by the NEF specified </w:t>
      </w:r>
      <w:r w:rsidR="00477911">
        <w:t xml:space="preserve">by CT3 </w:t>
      </w:r>
      <w:r w:rsidR="00B42DF5">
        <w:t>in clause 5.23 of TS 29.522.</w:t>
      </w:r>
    </w:p>
    <w:p w14:paraId="1DD7ECB1" w14:textId="238095AE" w:rsidR="00A51CE3" w:rsidRDefault="0071526C" w:rsidP="00B42DF5">
      <w:pPr>
        <w:pStyle w:val="B1"/>
      </w:pPr>
      <w:r>
        <w:t>iv</w:t>
      </w:r>
      <w:r w:rsidR="00B42DF5">
        <w:t>.</w:t>
      </w:r>
      <w:r w:rsidR="00B42DF5">
        <w:tab/>
        <w:t xml:space="preserve">Use of the </w:t>
      </w:r>
      <w:proofErr w:type="spellStart"/>
      <w:r w:rsidR="00B42DF5" w:rsidRPr="00B42DF5">
        <w:rPr>
          <w:rStyle w:val="Codechar"/>
        </w:rPr>
        <w:t>Naf_EventExposure</w:t>
      </w:r>
      <w:proofErr w:type="spellEnd"/>
      <w:r w:rsidR="00B42DF5">
        <w:t xml:space="preserve"> service </w:t>
      </w:r>
      <w:r w:rsidR="00D9039B">
        <w:t>as defined by SA2 in clause </w:t>
      </w:r>
      <w:r w:rsidR="00D9039B" w:rsidRPr="00D9039B">
        <w:t>5.2.19.2</w:t>
      </w:r>
      <w:r w:rsidR="00477911">
        <w:t xml:space="preserve"> </w:t>
      </w:r>
      <w:r w:rsidR="00D9039B">
        <w:t xml:space="preserve">of TS 23.502, and as </w:t>
      </w:r>
      <w:r w:rsidR="00477911">
        <w:t>specified by CT3 in TS 29.517</w:t>
      </w:r>
      <w:r w:rsidR="00D9039B">
        <w:t>,</w:t>
      </w:r>
      <w:r w:rsidR="00477911">
        <w:t xml:space="preserve"> </w:t>
      </w:r>
      <w:r w:rsidR="00B42DF5">
        <w:t xml:space="preserve">to expose events to authorised </w:t>
      </w:r>
      <w:r w:rsidR="00477911">
        <w:t>Event Consumer AF instances</w:t>
      </w:r>
      <w:r w:rsidR="00D9039B">
        <w:t>, as required by SA4 in TS 26.531</w:t>
      </w:r>
      <w:r w:rsidR="00B42DF5">
        <w:t xml:space="preserve">, </w:t>
      </w:r>
      <w:r w:rsidR="00D9039B">
        <w:t>as well as</w:t>
      </w:r>
      <w:r w:rsidR="00B42DF5">
        <w:t xml:space="preserve"> southbound exposure </w:t>
      </w:r>
      <w:r w:rsidR="00D9039B">
        <w:t xml:space="preserve">of this service </w:t>
      </w:r>
      <w:r w:rsidR="00B42DF5">
        <w:t>by the NEF specified</w:t>
      </w:r>
      <w:r w:rsidR="00FF36F5">
        <w:t xml:space="preserve"> </w:t>
      </w:r>
      <w:r w:rsidR="00477911">
        <w:t xml:space="preserve">by CT3 </w:t>
      </w:r>
      <w:r w:rsidR="00FF36F5">
        <w:t xml:space="preserve">in </w:t>
      </w:r>
      <w:r w:rsidR="00B8329F">
        <w:t xml:space="preserve">clauses 4.2 and 5.1 of </w:t>
      </w:r>
      <w:r w:rsidR="00FF36F5">
        <w:t>TS 2</w:t>
      </w:r>
      <w:r w:rsidR="00B8329F">
        <w:t>9.591.</w:t>
      </w:r>
    </w:p>
    <w:p w14:paraId="2F584B3B" w14:textId="77777777" w:rsidR="008146DB" w:rsidRDefault="00477911" w:rsidP="00477911">
      <w:r>
        <w:lastRenderedPageBreak/>
        <w:t xml:space="preserve">SA4 is pleased to provide the following evaluation of whether the existing </w:t>
      </w:r>
      <w:r w:rsidRPr="00023BC2">
        <w:t>data collection from the UE Application</w:t>
      </w:r>
      <w:r>
        <w:t xml:space="preserve"> capability supports the requirements listed by SA6.</w:t>
      </w:r>
    </w:p>
    <w:p w14:paraId="3F2EB5DA" w14:textId="5B726170" w:rsidR="00477911" w:rsidRDefault="008146DB" w:rsidP="008146DB">
      <w:pPr>
        <w:pStyle w:val="NO"/>
      </w:pPr>
      <w:r>
        <w:t>NOTE:</w:t>
      </w:r>
      <w:r>
        <w:tab/>
        <w:t>The requirements are tackled in a different order from the original LS.</w:t>
      </w:r>
    </w:p>
    <w:tbl>
      <w:tblPr>
        <w:tblStyle w:val="TableGrid"/>
        <w:tblW w:w="0" w:type="auto"/>
        <w:tblLook w:val="04A0" w:firstRow="1" w:lastRow="0" w:firstColumn="1" w:lastColumn="0" w:noHBand="0" w:noVBand="1"/>
      </w:tblPr>
      <w:tblGrid>
        <w:gridCol w:w="9855"/>
      </w:tblGrid>
      <w:tr w:rsidR="00661490" w14:paraId="1F22DADB" w14:textId="77777777" w:rsidTr="00DD2E44">
        <w:tc>
          <w:tcPr>
            <w:tcW w:w="9855" w:type="dxa"/>
          </w:tcPr>
          <w:p w14:paraId="021FF5BC" w14:textId="66F9525B" w:rsidR="00661490" w:rsidRDefault="0071526C" w:rsidP="00DD2E44">
            <w:pPr>
              <w:pStyle w:val="B1"/>
              <w:keepNext/>
            </w:pPr>
            <w:r>
              <w:t>2.</w:t>
            </w:r>
            <w:r w:rsidR="00661490">
              <w:tab/>
              <w:t>The UE Application shall be able to send/push collected data on-demand (i.e. without need for setting up session) to ASP through a request/response mechanism.</w:t>
            </w:r>
          </w:p>
        </w:tc>
      </w:tr>
    </w:tbl>
    <w:p w14:paraId="1732C7D3" w14:textId="77777777" w:rsidR="00661490" w:rsidRDefault="00661490" w:rsidP="00661490">
      <w:pPr>
        <w:pStyle w:val="TAN"/>
      </w:pPr>
    </w:p>
    <w:p w14:paraId="77A1BBCF" w14:textId="693999AA"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sidR="00E636BB">
        <w:rPr>
          <w:i/>
          <w:iCs/>
        </w:rPr>
        <w:t xml:space="preserve">that has been </w:t>
      </w:r>
      <w:r>
        <w:rPr>
          <w:i/>
          <w:iCs/>
        </w:rPr>
        <w:t>collected by the UE Application</w:t>
      </w:r>
      <w:r w:rsidRPr="0071526C">
        <w:rPr>
          <w:i/>
          <w:iCs/>
        </w:rPr>
        <w:t>.</w:t>
      </w:r>
    </w:p>
    <w:p w14:paraId="12289FFA" w14:textId="7D4E38DA" w:rsidR="00661490" w:rsidRDefault="00661490" w:rsidP="00661490">
      <w:pPr>
        <w:keepNext/>
      </w:pPr>
      <w:r>
        <w:t>SA4 believes that this requirement is</w:t>
      </w:r>
      <w:r w:rsidRPr="00625A7E">
        <w:rPr>
          <w:b/>
          <w:bCs/>
        </w:rPr>
        <w:t xml:space="preserve"> </w:t>
      </w:r>
      <w:r>
        <w:rPr>
          <w:b/>
          <w:bCs/>
        </w:rPr>
        <w:t xml:space="preserve">partially </w:t>
      </w:r>
      <w:r w:rsidRPr="00625A7E">
        <w:rPr>
          <w:b/>
          <w:bCs/>
        </w:rPr>
        <w:t>met</w:t>
      </w:r>
      <w:r>
        <w:t xml:space="preserve"> by the EVEX framework in Release 17.</w:t>
      </w:r>
    </w:p>
    <w:p w14:paraId="65C6B38A" w14:textId="3CEBE63B" w:rsidR="00E90643" w:rsidRDefault="00661490" w:rsidP="00661490">
      <w:r>
        <w:t xml:space="preserve">As specified in clause 8.3 of TS 26.532, a UE Application is able to report collected UE data to the </w:t>
      </w:r>
      <w:r w:rsidRPr="009362AA">
        <w:t>Direct Data Collection Client</w:t>
      </w:r>
      <w:r>
        <w:t xml:space="preserve"> according to a previously obtained data collection and reporting configuration. It does so by invoking the client API method </w:t>
      </w:r>
      <w:proofErr w:type="spellStart"/>
      <w:r w:rsidRPr="009362AA">
        <w:rPr>
          <w:rStyle w:val="Codechar"/>
        </w:rPr>
        <w:t>reportUeData</w:t>
      </w:r>
      <w:proofErr w:type="spellEnd"/>
      <w:r>
        <w:t xml:space="preserve"> at reference point R7. The UE data is reported to the Data Collection AF in line with the stipulations of the data collection and reporting configuration</w:t>
      </w:r>
      <w:r w:rsidR="00E90643">
        <w:t>, and the Data Collection AF can subsequently expose derived events to the Event Consumer AF</w:t>
      </w:r>
      <w:ins w:id="20" w:author="Richard Bradbury (2023-04-19)" w:date="2023-04-19T12:18:00Z">
        <w:r w:rsidR="002814AD">
          <w:t xml:space="preserve"> in the ASP</w:t>
        </w:r>
      </w:ins>
      <w:r>
        <w:t>.</w:t>
      </w:r>
      <w:r w:rsidR="00646A78">
        <w:t xml:space="preserve"> </w:t>
      </w:r>
      <w:ins w:id="21" w:author="Richard Bradbury (2023-04-19)" w:date="2023-04-19T12:19:00Z">
        <w:r w:rsidR="002814AD">
          <w:t>Hence</w:t>
        </w:r>
      </w:ins>
      <w:ins w:id="22" w:author="Huawei-Qi 0419" w:date="2023-04-19T15:29:00Z">
        <w:r w:rsidR="00D227D0">
          <w:t>, t</w:t>
        </w:r>
      </w:ins>
      <w:ins w:id="23" w:author="Huawei-Qi 0419" w:date="2023-04-19T15:03:00Z">
        <w:r w:rsidR="001313A5">
          <w:t>he ASP can also subscribe to the Data Collection AF</w:t>
        </w:r>
      </w:ins>
      <w:ins w:id="24" w:author="Huawei-Qi 0419" w:date="2023-04-19T15:04:00Z">
        <w:r w:rsidR="002814AD">
          <w:t xml:space="preserve"> at reference point R6</w:t>
        </w:r>
      </w:ins>
      <w:ins w:id="25" w:author="Huawei-Qi 0419" w:date="2023-04-19T15:03:00Z">
        <w:r w:rsidR="001313A5">
          <w:t xml:space="preserve"> </w:t>
        </w:r>
      </w:ins>
      <w:ins w:id="26" w:author="Richard Bradbury (2023-04-19)" w:date="2023-04-19T12:20:00Z">
        <w:r w:rsidR="002814AD">
          <w:t xml:space="preserve">and subsequently </w:t>
        </w:r>
      </w:ins>
      <w:ins w:id="27" w:author="Richard Bradbury (2023-04-19)" w:date="2023-04-19T12:19:00Z">
        <w:r w:rsidR="002814AD">
          <w:t>receive</w:t>
        </w:r>
      </w:ins>
      <w:ins w:id="28" w:author="Huawei-Qi 0419" w:date="2023-04-19T15:03:00Z">
        <w:r w:rsidR="001313A5">
          <w:t xml:space="preserve"> event </w:t>
        </w:r>
      </w:ins>
      <w:ins w:id="29" w:author="Huawei-Qi 0419" w:date="2023-04-19T15:04:00Z">
        <w:r w:rsidR="001313A5">
          <w:t>notification</w:t>
        </w:r>
      </w:ins>
      <w:ins w:id="30" w:author="Richard Bradbury (2023-04-19)" w:date="2023-04-19T12:19:00Z">
        <w:r w:rsidR="002814AD">
          <w:t>s</w:t>
        </w:r>
      </w:ins>
      <w:ins w:id="31" w:author="Huawei-Qi 0419" w:date="2023-04-19T15:04:00Z">
        <w:r w:rsidR="001313A5">
          <w:t>.</w:t>
        </w:r>
      </w:ins>
    </w:p>
    <w:p w14:paraId="32ABC136" w14:textId="598541F0" w:rsidR="00661490" w:rsidRDefault="00661490" w:rsidP="00661490">
      <w:r>
        <w:t xml:space="preserve">In Release 17, however, all data reporting by the Direct Data Collection Client occurs in the scope of a data reporting session </w:t>
      </w:r>
      <w:r w:rsidR="00E90643">
        <w:t>established with</w:t>
      </w:r>
      <w:r>
        <w:t xml:space="preserve"> the Data Collection AF</w:t>
      </w:r>
      <w:r w:rsidR="00E90643">
        <w:t xml:space="preserve"> at reference point R2</w:t>
      </w:r>
      <w:r>
        <w:t>, as specified in clauses 4.3.2.2 and 4.3.3 of TS 26.532</w:t>
      </w:r>
      <w:r w:rsidR="00E90643">
        <w:t>. Subsequent exposure of derived events to the ASP occurs within the limits of a provisioning session previously established between the ASP and the Data Collection AF at reference point R1</w:t>
      </w:r>
      <w:r w:rsidR="000B7DAE">
        <w:t>, which may include a set of data exposure restrictions expressed in the form of Data Access Profiles</w:t>
      </w:r>
      <w:r>
        <w:t>.</w:t>
      </w:r>
      <w:r w:rsidR="00E90643">
        <w:t xml:space="preserve"> Th</w:t>
      </w:r>
      <w:r w:rsidR="000B7DAE">
        <w:t>is</w:t>
      </w:r>
      <w:r w:rsidR="000B7DAE" w:rsidRPr="000B7DAE">
        <w:t xml:space="preserve"> design ensures that the event exposure </w:t>
      </w:r>
      <w:r w:rsidR="000B7DAE">
        <w:t>configuration</w:t>
      </w:r>
      <w:r w:rsidR="000B7DAE" w:rsidRPr="000B7DAE">
        <w:t xml:space="preserve"> fulfil</w:t>
      </w:r>
      <w:r w:rsidR="000B7DAE">
        <w:t>s</w:t>
      </w:r>
      <w:r w:rsidR="000B7DAE" w:rsidRPr="000B7DAE">
        <w:t xml:space="preserve"> the requirement of the ASP, which may include compliance with data protection regulations. </w:t>
      </w:r>
      <w:r w:rsidR="00E90643">
        <w:t>Clause 4.5.2 of TS 26.531 defines a data exposure restriction model for the EVEX framework that satisfies these requirements.</w:t>
      </w:r>
    </w:p>
    <w:p w14:paraId="23B7039D" w14:textId="2340F717" w:rsidR="00147624" w:rsidRDefault="00147624" w:rsidP="00661490">
      <w:r>
        <w:t>SA4 is not, at present, considering any contributions aimed at</w:t>
      </w:r>
      <w:r w:rsidR="00C65BAC">
        <w:t xml:space="preserve"> extending the EVEX framework to push collected UE data directly to ASPs outside the scope of an enclosing </w:t>
      </w:r>
      <w:r w:rsidR="00891A51">
        <w:t xml:space="preserve">provisioning </w:t>
      </w:r>
      <w:r w:rsidR="00C65BAC">
        <w:t>session, but would be interested to learn more about the use case in order to understand whether it falls within the scope of the EVEX framework</w:t>
      </w:r>
      <w:r w:rsidR="00E636BB">
        <w:t xml:space="preserve">, and how the UE data </w:t>
      </w:r>
      <w:r w:rsidR="00891A51">
        <w:t xml:space="preserve">reported to the Data Collection AF </w:t>
      </w:r>
      <w:r w:rsidR="00E636BB">
        <w:t>can be protected appropriately</w:t>
      </w:r>
      <w:r w:rsidR="00891A51">
        <w:t xml:space="preserve"> in the absence of such a session.</w:t>
      </w:r>
    </w:p>
    <w:p w14:paraId="1AACCDA6" w14:textId="14D1EF1D" w:rsidR="00661490" w:rsidRDefault="00661490" w:rsidP="00661490">
      <w:r>
        <w:t>Notwithstanding the above</w:t>
      </w:r>
      <w:r w:rsidR="00147624">
        <w:t>mentioned</w:t>
      </w:r>
      <w:r w:rsidR="0071526C">
        <w:t xml:space="preserve"> design </w:t>
      </w:r>
      <w:r>
        <w:t>limitation</w:t>
      </w:r>
      <w:r w:rsidR="0071526C">
        <w:t>s</w:t>
      </w:r>
      <w:r>
        <w:t>, SA4 observes that there is nothing to prevent a UE Application from reporting UE data directly to an ASP using application-specific means outside the scope of 3GPP standardisation</w:t>
      </w:r>
      <w:r w:rsidR="001265C5">
        <w:t xml:space="preserve"> (i.e</w:t>
      </w:r>
      <w:r>
        <w:t>.</w:t>
      </w:r>
      <w:r w:rsidR="001265C5">
        <w:t xml:space="preserve">, at reference point R8 which is defined in TS 26.531 but </w:t>
      </w:r>
      <w:r w:rsidR="00891A51">
        <w:t>not further specified</w:t>
      </w:r>
      <w:r w:rsidR="00DF3D81">
        <w:t xml:space="preserve"> and therefore left to implementation</w:t>
      </w:r>
      <w:r w:rsidR="001265C5">
        <w:t>).</w:t>
      </w:r>
    </w:p>
    <w:tbl>
      <w:tblPr>
        <w:tblStyle w:val="TableGrid"/>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9F37D4B" w:rsidR="007463F7" w:rsidRPr="00A51CE3" w:rsidRDefault="0071526C" w:rsidP="009362AA">
            <w:pPr>
              <w:pStyle w:val="B1"/>
              <w:keepNext/>
            </w:pPr>
            <w:r>
              <w:t>3.</w:t>
            </w:r>
            <w:r w:rsidR="00A51CE3">
              <w:tab/>
              <w:t>The ASP shall be able retrieve collected data from the UE Application through a subscribe/notify mechanism.</w:t>
            </w:r>
          </w:p>
        </w:tc>
      </w:tr>
    </w:tbl>
    <w:p w14:paraId="693D852A" w14:textId="78D34B92" w:rsidR="007463F7" w:rsidRDefault="007463F7" w:rsidP="009362AA">
      <w:pPr>
        <w:pStyle w:val="TAN"/>
      </w:pPr>
    </w:p>
    <w:p w14:paraId="20C1F486" w14:textId="4A0B15A4"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Pr>
          <w:i/>
          <w:iCs/>
        </w:rPr>
        <w:t xml:space="preserve">collected from the UE </w:t>
      </w:r>
      <w:r w:rsidR="008A3A49">
        <w:rPr>
          <w:i/>
          <w:iCs/>
        </w:rPr>
        <w:t xml:space="preserve">Application </w:t>
      </w:r>
      <w:r>
        <w:rPr>
          <w:i/>
          <w:iCs/>
        </w:rPr>
        <w:t xml:space="preserve">at reference point R7 per the above requirement, and subsequently </w:t>
      </w:r>
      <w:r w:rsidRPr="0071526C">
        <w:rPr>
          <w:i/>
          <w:iCs/>
        </w:rPr>
        <w:t xml:space="preserve">reported </w:t>
      </w:r>
      <w:r>
        <w:rPr>
          <w:i/>
          <w:iCs/>
        </w:rPr>
        <w:t xml:space="preserve">asynchronously </w:t>
      </w:r>
      <w:r w:rsidRPr="0071526C">
        <w:rPr>
          <w:i/>
          <w:iCs/>
        </w:rPr>
        <w:t>to the Data Collection AF by a configurable subpopulation of UEs.</w:t>
      </w:r>
    </w:p>
    <w:p w14:paraId="136A9A7F" w14:textId="3F78BF4B" w:rsidR="00D9039B" w:rsidRDefault="007463F7" w:rsidP="009362AA">
      <w:pPr>
        <w:keepNext/>
      </w:pPr>
      <w:r>
        <w:t xml:space="preserve">SA4 </w:t>
      </w:r>
      <w:del w:id="32" w:author="Richard Bradbury (2023-04-19)" w:date="2023-04-19T12:16:00Z">
        <w:r w:rsidR="00F16CBC" w:rsidDel="002814AD">
          <w:delText>confirms</w:delText>
        </w:r>
      </w:del>
      <w:ins w:id="33" w:author="Richard Bradbury (2023-04-19)" w:date="2023-04-19T12:16:00Z">
        <w:r w:rsidR="002814AD">
          <w:t>believes</w:t>
        </w:r>
      </w:ins>
      <w:r w:rsidR="00F16CBC">
        <w:t xml:space="preserve"> that </w:t>
      </w:r>
      <w:r w:rsidR="00A51CE3">
        <w:t xml:space="preserve">this requirement is </w:t>
      </w:r>
      <w:r w:rsidR="00A51CE3" w:rsidRPr="009C623B">
        <w:rPr>
          <w:b/>
          <w:bCs/>
        </w:rPr>
        <w:t>met</w:t>
      </w:r>
      <w:r w:rsidR="00A51CE3">
        <w:t xml:space="preserve"> by the EVEX framework </w:t>
      </w:r>
      <w:r w:rsidR="00477911">
        <w:t>in Release 17</w:t>
      </w:r>
      <w:r w:rsidRPr="007463F7">
        <w:t>.</w:t>
      </w:r>
    </w:p>
    <w:p w14:paraId="043492E8" w14:textId="40F76C6D" w:rsidR="0071526C" w:rsidRDefault="00D9039B" w:rsidP="005B0E51">
      <w:r>
        <w:t>S</w:t>
      </w:r>
      <w:r w:rsidR="00477911">
        <w:t xml:space="preserve">ubject to the (potentially </w:t>
      </w:r>
      <w:r w:rsidR="003278F5">
        <w:t>extensible</w:t>
      </w:r>
      <w:r w:rsidR="00477911">
        <w:t xml:space="preserve">) restrictions </w:t>
      </w:r>
      <w:r w:rsidR="003278F5">
        <w:t xml:space="preserve">on permitted event subscribers </w:t>
      </w:r>
      <w:r w:rsidR="00477911">
        <w:t xml:space="preserve">specified </w:t>
      </w:r>
      <w:r w:rsidR="003278F5">
        <w:t xml:space="preserve">by CT3 </w:t>
      </w:r>
      <w:r w:rsidR="00477911">
        <w:t>in clause 4.2.2.1 of TS 29.517</w:t>
      </w:r>
      <w:r>
        <w:t>,</w:t>
      </w:r>
      <w:r w:rsidR="00477911">
        <w:t xml:space="preserve"> </w:t>
      </w:r>
      <w:r w:rsidR="003278F5">
        <w:t xml:space="preserve">as well as </w:t>
      </w:r>
      <w:r>
        <w:t xml:space="preserve">individual </w:t>
      </w:r>
      <w:r w:rsidR="00477911">
        <w:t xml:space="preserve">system </w:t>
      </w:r>
      <w:r>
        <w:t xml:space="preserve">deployment </w:t>
      </w:r>
      <w:r w:rsidR="00477911">
        <w:t xml:space="preserve">policy and </w:t>
      </w:r>
      <w:r w:rsidR="00625A7E">
        <w:t xml:space="preserve">data exposure restrictions expressed in </w:t>
      </w:r>
      <w:r w:rsidR="008A3A49">
        <w:t xml:space="preserve">the </w:t>
      </w:r>
      <w:r>
        <w:t xml:space="preserve">current </w:t>
      </w:r>
      <w:r w:rsidR="00477911">
        <w:t xml:space="preserve">provisioning state, an Event Consumer AF in an ASP is able to subscribe to events exposed by the Data Collection AF using either the </w:t>
      </w:r>
      <w:proofErr w:type="spellStart"/>
      <w:r w:rsidR="00477911" w:rsidRPr="00477911">
        <w:rPr>
          <w:rStyle w:val="Codechar"/>
        </w:rPr>
        <w:t>Naf_EventExposure</w:t>
      </w:r>
      <w:proofErr w:type="spellEnd"/>
      <w:r w:rsidR="00477911">
        <w:t xml:space="preserve"> service or else (if deployed in an external DN) the </w:t>
      </w:r>
      <w:proofErr w:type="spellStart"/>
      <w:r w:rsidR="00477911" w:rsidRPr="00477911">
        <w:rPr>
          <w:rStyle w:val="Codechar"/>
        </w:rPr>
        <w:t>Nnef_Event</w:t>
      </w:r>
      <w:r>
        <w:rPr>
          <w:rStyle w:val="Codechar"/>
        </w:rPr>
        <w:t>‌</w:t>
      </w:r>
      <w:r w:rsidR="00477911" w:rsidRPr="00477911">
        <w:rPr>
          <w:rStyle w:val="Codechar"/>
        </w:rPr>
        <w:t>Exposure</w:t>
      </w:r>
      <w:proofErr w:type="spellEnd"/>
      <w:r w:rsidR="00477911">
        <w:t xml:space="preserve"> service</w:t>
      </w:r>
      <w:r>
        <w:t xml:space="preserve"> proxied through the NEF</w:t>
      </w:r>
      <w:r w:rsidR="00477911">
        <w:t>.</w:t>
      </w:r>
    </w:p>
    <w:p w14:paraId="53B054D5" w14:textId="5C2CA877" w:rsidR="009C623B" w:rsidRDefault="00477911" w:rsidP="005B0E51">
      <w:r>
        <w:t>The</w:t>
      </w:r>
      <w:r w:rsidR="00D9039B">
        <w:t xml:space="preserve"> events exposed are based on UE data reported asynchronously to the Data Collection AF</w:t>
      </w:r>
      <w:r w:rsidR="00661490">
        <w:t xml:space="preserve"> and </w:t>
      </w:r>
      <w:r w:rsidR="001265C5">
        <w:t>are expected to comply with</w:t>
      </w:r>
      <w:r w:rsidR="00661490">
        <w:t xml:space="preserve"> </w:t>
      </w:r>
      <w:r w:rsidR="00E90643">
        <w:t xml:space="preserve">the </w:t>
      </w:r>
      <w:r w:rsidR="00661490">
        <w:t>access restrictions</w:t>
      </w:r>
      <w:r w:rsidR="00E90643">
        <w:t xml:space="preserve"> defined for the event in question and the current provisioning state of the Data Collection AF</w:t>
      </w:r>
      <w:r w:rsidR="00D9039B">
        <w:t>.</w:t>
      </w:r>
    </w:p>
    <w:tbl>
      <w:tblPr>
        <w:tblStyle w:val="TableGrid"/>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179AA204" w:rsidR="007463F7" w:rsidRDefault="0071526C" w:rsidP="009362AA">
            <w:pPr>
              <w:pStyle w:val="B1"/>
              <w:keepNext/>
            </w:pPr>
            <w:r>
              <w:t>4.</w:t>
            </w:r>
            <w:r w:rsidR="00A51CE3">
              <w:tab/>
              <w:t>The ASP shall be able to configure the subscription for the UE Application including the specific information to be reported, the triggering criteria and reporting configuration.</w:t>
            </w:r>
          </w:p>
        </w:tc>
      </w:tr>
    </w:tbl>
    <w:p w14:paraId="77BFEFE8" w14:textId="345BB983" w:rsidR="007463F7" w:rsidRDefault="007463F7" w:rsidP="009362AA">
      <w:pPr>
        <w:pStyle w:val="TAN"/>
      </w:pPr>
    </w:p>
    <w:p w14:paraId="3DE8B0F4" w14:textId="7F4F552C" w:rsidR="00D9039B" w:rsidRDefault="00D9039B" w:rsidP="009362AA">
      <w:pPr>
        <w:keepNext/>
      </w:pPr>
      <w:r>
        <w:t xml:space="preserve">SA4 </w:t>
      </w:r>
      <w:del w:id="34" w:author="Richard Bradbury (2023-04-19)" w:date="2023-04-19T12:16:00Z">
        <w:r w:rsidDel="002814AD">
          <w:delText>confirms</w:delText>
        </w:r>
      </w:del>
      <w:ins w:id="35" w:author="Richard Bradbury (2023-04-19)" w:date="2023-04-19T12:16:00Z">
        <w:r w:rsidR="002814AD">
          <w:t>believes</w:t>
        </w:r>
      </w:ins>
      <w:r>
        <w:t xml:space="preserve"> that this requirement is </w:t>
      </w:r>
      <w:r w:rsidRPr="009C623B">
        <w:rPr>
          <w:b/>
          <w:bCs/>
        </w:rPr>
        <w:t>partially met</w:t>
      </w:r>
      <w:r>
        <w:t xml:space="preserve"> by the EVEX framework in Release 17</w:t>
      </w:r>
      <w:r w:rsidRPr="007463F7">
        <w:t>.</w:t>
      </w:r>
    </w:p>
    <w:p w14:paraId="7A386B02" w14:textId="790BBFFB" w:rsidR="008146DB" w:rsidRDefault="00DC329C" w:rsidP="00D9039B">
      <w:r>
        <w:t>At the point of subscription</w:t>
      </w:r>
      <w:r w:rsidR="00195278">
        <w:t xml:space="preserve">, </w:t>
      </w:r>
      <w:r>
        <w:t xml:space="preserve">only the event of interest and certain </w:t>
      </w:r>
      <w:r w:rsidR="00161812">
        <w:t xml:space="preserve">limited </w:t>
      </w:r>
      <w:r>
        <w:t xml:space="preserve">data filtering criteria </w:t>
      </w:r>
      <w:r w:rsidR="00161812">
        <w:t xml:space="preserve">(e.g. UE location) </w:t>
      </w:r>
      <w:r>
        <w:t>are specified by the event consumer</w:t>
      </w:r>
      <w:ins w:id="36" w:author="Huawei-Qi 0419" w:date="2023-04-19T15:07:00Z">
        <w:r w:rsidR="001313A5">
          <w:t xml:space="preserve"> (e.g. the ASP</w:t>
        </w:r>
        <w:r w:rsidR="001313A5">
          <w:rPr>
            <w:rFonts w:hint="eastAsia"/>
            <w:lang w:eastAsia="zh-CN"/>
          </w:rPr>
          <w:t>)</w:t>
        </w:r>
      </w:ins>
      <w:r>
        <w:t xml:space="preserve"> when invoking the</w:t>
      </w:r>
      <w:r w:rsidR="00195278">
        <w:t xml:space="preserve"> SA2-defined</w:t>
      </w:r>
      <w:r>
        <w:t xml:space="preserve"> </w:t>
      </w:r>
      <w:proofErr w:type="spellStart"/>
      <w:r w:rsidRPr="009C623B">
        <w:rPr>
          <w:rStyle w:val="Codechar"/>
        </w:rPr>
        <w:t>Naf_EventExposure</w:t>
      </w:r>
      <w:proofErr w:type="spellEnd"/>
      <w:r>
        <w:t xml:space="preserve"> service on the Data Collection AF. </w:t>
      </w:r>
      <w:r w:rsidR="0071526C">
        <w:t xml:space="preserve">The set of UE data to be </w:t>
      </w:r>
      <w:r w:rsidR="00195278">
        <w:t xml:space="preserve">exposed to event consumers, and hence the set of UE data to be </w:t>
      </w:r>
      <w:r w:rsidR="0071526C">
        <w:t xml:space="preserve">reported by the Direct Data Collection Client (including UE data collected from the UE Application) </w:t>
      </w:r>
      <w:r w:rsidR="00195278">
        <w:t xml:space="preserve">is configured </w:t>
      </w:r>
      <w:r w:rsidR="0071526C">
        <w:t xml:space="preserve">in the provisioning session </w:t>
      </w:r>
      <w:r>
        <w:t xml:space="preserve">previously </w:t>
      </w:r>
      <w:r w:rsidR="00147624">
        <w:t>established between the ASP and the Data Collection AF.</w:t>
      </w:r>
    </w:p>
    <w:p w14:paraId="1E8102EE" w14:textId="0484F038" w:rsidR="009C623B" w:rsidRDefault="00DC329C" w:rsidP="00D9039B">
      <w:r>
        <w:lastRenderedPageBreak/>
        <w:t xml:space="preserve">SA4 is not, at present, considering any contributions aimed at changing this split of responsibilities. However, SA4 </w:t>
      </w:r>
      <w:r w:rsidR="00D9039B">
        <w:t xml:space="preserve">would like to inform SA6 that it is presently considering </w:t>
      </w:r>
      <w:r w:rsidR="00161812">
        <w:t xml:space="preserve">a </w:t>
      </w:r>
      <w:r w:rsidR="00D9039B">
        <w:t xml:space="preserve">Change Request to enhance the </w:t>
      </w:r>
      <w:r w:rsidR="009C623B">
        <w:t xml:space="preserve">criteria for triggering the reporting of UE data to the Data Collection AF, as well as related enhancements to the reporting configuration. SA4 invites SA6 to review the attached CR and provide comments on whether it satisfies the more detailed requirements of the </w:t>
      </w:r>
      <w:r w:rsidR="009C623B" w:rsidRPr="009C623B">
        <w:t>ADAES</w:t>
      </w:r>
      <w:r w:rsidR="009C623B">
        <w:t xml:space="preserve"> work item.</w:t>
      </w:r>
    </w:p>
    <w:tbl>
      <w:tblPr>
        <w:tblStyle w:val="TableGrid"/>
        <w:tblW w:w="0" w:type="auto"/>
        <w:tblLook w:val="04A0" w:firstRow="1" w:lastRow="0" w:firstColumn="1" w:lastColumn="0" w:noHBand="0" w:noVBand="1"/>
      </w:tblPr>
      <w:tblGrid>
        <w:gridCol w:w="9855"/>
      </w:tblGrid>
      <w:tr w:rsidR="009362AA" w14:paraId="04B7208F" w14:textId="77777777" w:rsidTr="00DD2E44">
        <w:tc>
          <w:tcPr>
            <w:tcW w:w="9855" w:type="dxa"/>
          </w:tcPr>
          <w:p w14:paraId="24CA6CA8" w14:textId="123D1510" w:rsidR="009362AA" w:rsidRDefault="0071526C" w:rsidP="009362AA">
            <w:pPr>
              <w:pStyle w:val="B1"/>
              <w:keepNext/>
            </w:pPr>
            <w:r>
              <w:t>1.</w:t>
            </w:r>
            <w:r w:rsidR="009362AA">
              <w:tab/>
              <w:t>The ASP shall be able to retrieve/pull collected data on-demand (i.e. without need for setting up session) from the UE Application through a request/response mechanism.</w:t>
            </w:r>
          </w:p>
        </w:tc>
      </w:tr>
    </w:tbl>
    <w:p w14:paraId="0068B1EB" w14:textId="77777777" w:rsidR="009362AA" w:rsidRDefault="009362AA" w:rsidP="009362AA">
      <w:pPr>
        <w:pStyle w:val="TAN"/>
      </w:pPr>
    </w:p>
    <w:p w14:paraId="2CD9F27A" w14:textId="7D5B0161" w:rsidR="0071526C" w:rsidRPr="0071526C" w:rsidRDefault="0071526C" w:rsidP="0071526C">
      <w:pPr>
        <w:rPr>
          <w:i/>
          <w:iCs/>
        </w:rPr>
      </w:pPr>
      <w:r w:rsidRPr="0071526C">
        <w:rPr>
          <w:i/>
          <w:iCs/>
        </w:rPr>
        <w:t xml:space="preserve">In assessing this requirement, SA4 assumed that "collected data" </w:t>
      </w:r>
      <w:r w:rsidR="00E636BB">
        <w:rPr>
          <w:i/>
          <w:iCs/>
        </w:rPr>
        <w:t xml:space="preserve">here </w:t>
      </w:r>
      <w:r w:rsidRPr="0071526C">
        <w:rPr>
          <w:i/>
          <w:iCs/>
        </w:rPr>
        <w:t xml:space="preserve">refers to UE data </w:t>
      </w:r>
      <w:r w:rsidR="00E636BB">
        <w:rPr>
          <w:i/>
          <w:iCs/>
        </w:rPr>
        <w:t xml:space="preserve">that has already been </w:t>
      </w:r>
      <w:r w:rsidRPr="0071526C">
        <w:rPr>
          <w:i/>
          <w:iCs/>
        </w:rPr>
        <w:t xml:space="preserve">reported </w:t>
      </w:r>
      <w:r>
        <w:rPr>
          <w:i/>
          <w:iCs/>
        </w:rPr>
        <w:t xml:space="preserve">asynchronously </w:t>
      </w:r>
      <w:r w:rsidRPr="0071526C">
        <w:rPr>
          <w:i/>
          <w:iCs/>
        </w:rPr>
        <w:t>to the Data Collection AF by a configurable subpopulation of UEs.</w:t>
      </w:r>
    </w:p>
    <w:p w14:paraId="4B7E3F0A" w14:textId="225BAC72" w:rsidR="009362AA" w:rsidRDefault="009362AA" w:rsidP="009362AA">
      <w:pPr>
        <w:keepNext/>
      </w:pPr>
      <w:r>
        <w:t xml:space="preserve">SA4 </w:t>
      </w:r>
      <w:del w:id="37" w:author="Richard Bradbury (2023-04-19)" w:date="2023-04-19T12:16:00Z">
        <w:r w:rsidDel="002814AD">
          <w:delText>c</w:delText>
        </w:r>
      </w:del>
      <w:del w:id="38" w:author="Richard Bradbury (2023-04-19)" w:date="2023-04-19T12:17:00Z">
        <w:r w:rsidDel="002814AD">
          <w:delText>onfirms</w:delText>
        </w:r>
      </w:del>
      <w:ins w:id="39" w:author="Richard Bradbury (2023-04-19)" w:date="2023-04-19T12:17:00Z">
        <w:r w:rsidR="002814AD">
          <w:t>believes</w:t>
        </w:r>
      </w:ins>
      <w:r>
        <w:t xml:space="preserve"> that this requirement is </w:t>
      </w:r>
      <w:r w:rsidR="001265C5">
        <w:rPr>
          <w:b/>
          <w:bCs/>
        </w:rPr>
        <w:t xml:space="preserve">partially </w:t>
      </w:r>
      <w:r w:rsidRPr="009C623B">
        <w:rPr>
          <w:b/>
          <w:bCs/>
        </w:rPr>
        <w:t>met</w:t>
      </w:r>
      <w:r>
        <w:t xml:space="preserve"> by the EVEX framework in Release 17.</w:t>
      </w:r>
    </w:p>
    <w:p w14:paraId="635ADC99" w14:textId="2B6DE88B" w:rsidR="001265C5" w:rsidRDefault="009362AA" w:rsidP="009362AA">
      <w:r>
        <w:t>The EVEX framework</w:t>
      </w:r>
      <w:r w:rsidR="001265C5">
        <w:t>, as presently defined,</w:t>
      </w:r>
      <w:r>
        <w:t xml:space="preserve"> relies on the </w:t>
      </w:r>
      <w:proofErr w:type="spellStart"/>
      <w:r w:rsidRPr="009C623B">
        <w:rPr>
          <w:rStyle w:val="Codechar"/>
        </w:rPr>
        <w:t>Naf_EventExposure</w:t>
      </w:r>
      <w:proofErr w:type="spellEnd"/>
      <w:r>
        <w:t xml:space="preserve"> service defined by SA2. </w:t>
      </w:r>
      <w:r w:rsidR="001265C5">
        <w:t>T</w:t>
      </w:r>
      <w:r>
        <w:t xml:space="preserve">his follows an efficient subscription-based model in which </w:t>
      </w:r>
      <w:r w:rsidR="001265C5">
        <w:t xml:space="preserve">authorisation for an </w:t>
      </w:r>
      <w:r>
        <w:t xml:space="preserve">event consumer to receive exposed events </w:t>
      </w:r>
      <w:r w:rsidR="001265C5">
        <w:t xml:space="preserve">is established </w:t>
      </w:r>
      <w:r>
        <w:t>at the time of subscription.</w:t>
      </w:r>
    </w:p>
    <w:p w14:paraId="03ADADC9" w14:textId="04C83C59" w:rsidR="001265C5" w:rsidRDefault="001265C5" w:rsidP="009362AA">
      <w:r>
        <w:t xml:space="preserve">In addition, </w:t>
      </w:r>
      <w:r w:rsidR="000A2621">
        <w:t xml:space="preserve">clause 4.2.2 of </w:t>
      </w:r>
      <w:r>
        <w:t xml:space="preserve">TS 29.517 specifies support in its </w:t>
      </w:r>
      <w:proofErr w:type="spellStart"/>
      <w:r w:rsidRPr="001265C5">
        <w:rPr>
          <w:rStyle w:val="Codechar"/>
        </w:rPr>
        <w:t>Naf_EventExposure_Subscribe</w:t>
      </w:r>
      <w:proofErr w:type="spellEnd"/>
      <w:r>
        <w:t xml:space="preserve"> service operation for an event consumer to immediately receive already available UE data associated with the subscribed event. (This outcome is achieved by setting the</w:t>
      </w:r>
      <w:r w:rsidR="000A2621">
        <w:t xml:space="preserve"> "immediate reporting" flag</w:t>
      </w:r>
      <w:r>
        <w:t xml:space="preserve"> </w:t>
      </w:r>
      <w:proofErr w:type="spellStart"/>
      <w:r w:rsidRPr="001265C5">
        <w:rPr>
          <w:rStyle w:val="Codechar"/>
        </w:rPr>
        <w:t>immRep</w:t>
      </w:r>
      <w:proofErr w:type="spellEnd"/>
      <w:r>
        <w:t xml:space="preserve"> on the </w:t>
      </w:r>
      <w:proofErr w:type="spellStart"/>
      <w:r w:rsidRPr="001265C5">
        <w:rPr>
          <w:rStyle w:val="Codechar"/>
        </w:rPr>
        <w:t>eventRepInfo</w:t>
      </w:r>
      <w:proofErr w:type="spellEnd"/>
      <w:r>
        <w:t xml:space="preserve"> data structure passed to the Data Collection AF as input parameters to this operation.) </w:t>
      </w:r>
      <w:r w:rsidR="000A2621">
        <w:t>If the "immediate reporting" flag is set</w:t>
      </w:r>
      <w:r w:rsidR="00132075">
        <w:t xml:space="preserve"> for a new subscription</w:t>
      </w:r>
      <w:r w:rsidR="000A2621">
        <w:t>, an</w:t>
      </w:r>
      <w:r>
        <w:t xml:space="preserve"> event is returned </w:t>
      </w:r>
      <w:r w:rsidR="000A2621">
        <w:t xml:space="preserve">synchronously </w:t>
      </w:r>
      <w:r>
        <w:t xml:space="preserve">in </w:t>
      </w:r>
      <w:r w:rsidR="00132075">
        <w:t xml:space="preserve">the </w:t>
      </w:r>
      <w:r>
        <w:t>response</w:t>
      </w:r>
      <w:r w:rsidR="00132075">
        <w:t>; when modifying</w:t>
      </w:r>
      <w:r>
        <w:t xml:space="preserve"> an existing subscription</w:t>
      </w:r>
      <w:r w:rsidR="00132075">
        <w:t>, the event is sent to the callback endpoint for the subscription</w:t>
      </w:r>
      <w:r>
        <w:t>.</w:t>
      </w:r>
      <w:r w:rsidR="000A2621">
        <w:t xml:space="preserve"> This </w:t>
      </w:r>
      <w:r w:rsidR="00132075">
        <w:t xml:space="preserve">existing </w:t>
      </w:r>
      <w:r w:rsidR="000A2621">
        <w:t>mechanism may satisfy the SA6 requirement.</w:t>
      </w:r>
    </w:p>
    <w:p w14:paraId="56C89FC4" w14:textId="229E556C" w:rsidR="00625A7E" w:rsidRDefault="000A2621" w:rsidP="009362AA">
      <w:r>
        <w:t>Alternatively, t</w:t>
      </w:r>
      <w:r w:rsidR="009362AA">
        <w:t>h</w:t>
      </w:r>
      <w:r>
        <w:t xml:space="preserve">e </w:t>
      </w:r>
      <w:proofErr w:type="spellStart"/>
      <w:r w:rsidRPr="009C623B">
        <w:rPr>
          <w:rStyle w:val="Codechar"/>
        </w:rPr>
        <w:t>Naf_EventExposure</w:t>
      </w:r>
      <w:proofErr w:type="spellEnd"/>
      <w:r w:rsidR="009362AA">
        <w:t xml:space="preserve"> service could potentially be extended by SA2 to offer a </w:t>
      </w:r>
      <w:r>
        <w:t xml:space="preserve">more explicit </w:t>
      </w:r>
      <w:r w:rsidR="009362AA">
        <w:t xml:space="preserve">query </w:t>
      </w:r>
      <w:r>
        <w:t xml:space="preserve">service </w:t>
      </w:r>
      <w:r w:rsidR="009362AA">
        <w:t>operation, in which case all types of event consumer</w:t>
      </w:r>
      <w:r w:rsidR="001265C5">
        <w:t xml:space="preserve"> –</w:t>
      </w:r>
      <w:r w:rsidR="009362AA">
        <w:t xml:space="preserve"> including the </w:t>
      </w:r>
      <w:r w:rsidR="001265C5">
        <w:t>ASP's Event Consumer</w:t>
      </w:r>
      <w:r w:rsidR="009362AA">
        <w:t xml:space="preserve"> AF</w:t>
      </w:r>
      <w:r w:rsidR="001265C5">
        <w:t xml:space="preserve"> –</w:t>
      </w:r>
      <w:r w:rsidR="009362AA">
        <w:t xml:space="preserve"> could take advantage of this facility.</w:t>
      </w:r>
      <w:r w:rsidR="00B25BD6">
        <w:t xml:space="preserve"> Such an operation would have access to UE data already reported to the Data Collection AF, subject to the limitations of its data retention policy.</w:t>
      </w:r>
    </w:p>
    <w:p w14:paraId="0497D780" w14:textId="6FEF2701" w:rsidR="003070B1" w:rsidRDefault="003070B1" w:rsidP="009362AA">
      <w:r>
        <w:t xml:space="preserve">SA4 </w:t>
      </w:r>
      <w:ins w:id="40" w:author="Richard Bradbury (2023-04-19)" w:date="2023-04-19T18:29:00Z">
        <w:r w:rsidR="00F55226">
          <w:t xml:space="preserve">is not, at present, considering any contributions aimed at extending the EVEX framework to </w:t>
        </w:r>
      </w:ins>
      <w:ins w:id="41" w:author="Richard Bradbury (2023-04-19)" w:date="2023-04-19T18:30:00Z">
        <w:r w:rsidR="00F55226">
          <w:t>enable an ASP to retrieve/pull</w:t>
        </w:r>
      </w:ins>
      <w:ins w:id="42" w:author="Richard Bradbury (2023-04-19)" w:date="2023-04-19T18:29:00Z">
        <w:r w:rsidR="00F55226">
          <w:t xml:space="preserve"> collected UE data</w:t>
        </w:r>
      </w:ins>
      <w:ins w:id="43" w:author="Richard Bradbury (2023-04-19)" w:date="2023-04-19T18:30:00Z">
        <w:r w:rsidR="00F55226">
          <w:t xml:space="preserve"> on demand</w:t>
        </w:r>
      </w:ins>
      <w:ins w:id="44" w:author="Richard Bradbury (2023-04-19)" w:date="2023-04-19T18:29:00Z">
        <w:r w:rsidR="00F55226">
          <w:t xml:space="preserve"> </w:t>
        </w:r>
      </w:ins>
      <w:ins w:id="45" w:author="Richard Bradbury (2023-04-19)" w:date="2023-04-19T18:35:00Z">
        <w:r w:rsidR="00063D03">
          <w:t xml:space="preserve">directly </w:t>
        </w:r>
      </w:ins>
      <w:ins w:id="46" w:author="Richard Bradbury (2023-04-19)" w:date="2023-04-19T18:30:00Z">
        <w:r w:rsidR="00F55226">
          <w:t>from a UE application</w:t>
        </w:r>
      </w:ins>
      <w:ins w:id="47" w:author="Richard Bradbury (2023-04-19)" w:date="2023-04-19T18:29:00Z">
        <w:r w:rsidR="00F55226">
          <w:t xml:space="preserve"> outside the scope of an enclosing provisioning session, but </w:t>
        </w:r>
      </w:ins>
      <w:r>
        <w:t>is interested to understand this requirement further.</w:t>
      </w:r>
    </w:p>
    <w:p w14:paraId="7E3D5CD1" w14:textId="3545E2A0" w:rsidR="00B97703" w:rsidRDefault="002F1940" w:rsidP="000F6242">
      <w:pPr>
        <w:pStyle w:val="Heading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CAEA2A5" w14:textId="473E384A" w:rsidR="009C623B" w:rsidRDefault="009C623B" w:rsidP="00147624">
      <w:pPr>
        <w:keepNext/>
        <w:ind w:left="994" w:hanging="994"/>
        <w:rPr>
          <w:rFonts w:cs="Times New Roman"/>
        </w:rPr>
      </w:pPr>
      <w:r>
        <w:rPr>
          <w:rFonts w:ascii="Arial" w:hAnsi="Arial" w:cs="Arial"/>
          <w:b/>
        </w:rPr>
        <w:t>ACTION:</w:t>
      </w:r>
      <w:r w:rsidRPr="00BC2688">
        <w:t xml:space="preserve"> </w:t>
      </w:r>
      <w:r w:rsidRPr="00BC2688">
        <w:tab/>
      </w:r>
      <w:r w:rsidR="0071526C">
        <w:t xml:space="preserve">In relation to requirement 4, </w:t>
      </w:r>
      <w:r w:rsidRPr="009D2F59">
        <w:rPr>
          <w:rFonts w:cs="Times New Roman"/>
        </w:rPr>
        <w:t xml:space="preserve">SA4 </w:t>
      </w:r>
      <w:r w:rsidR="0071526C">
        <w:rPr>
          <w:rFonts w:cs="Times New Roman"/>
        </w:rPr>
        <w:t>invites</w:t>
      </w:r>
      <w:r>
        <w:rPr>
          <w:rFonts w:cs="Times New Roman"/>
        </w:rPr>
        <w:t xml:space="preserve"> SA6 to review the attached Change Request and to provide comments.</w:t>
      </w:r>
    </w:p>
    <w:p w14:paraId="2739B80E" w14:textId="226C6DA1" w:rsidR="00147624" w:rsidRDefault="0091023C" w:rsidP="00147624">
      <w:r>
        <w:t xml:space="preserve">In addition, </w:t>
      </w:r>
      <w:r w:rsidR="00147624">
        <w:t>SA4 kindly invites SA6 to explain their requirements in greater detail to SA4,</w:t>
      </w:r>
      <w:commentRangeStart w:id="48"/>
      <w:r w:rsidR="00147624">
        <w:t xml:space="preserve"> perhaps in the context of an informal joint rapporteurs</w:t>
      </w:r>
      <w:ins w:id="49" w:author="Huawei-Qi 0419" w:date="2023-04-19T15:28:00Z">
        <w:r w:rsidR="00EA497E">
          <w:t>'</w:t>
        </w:r>
      </w:ins>
      <w:r w:rsidR="00147624">
        <w:t xml:space="preserve"> call prior to SA4#124</w:t>
      </w:r>
      <w:r w:rsidR="006E7E8E">
        <w:t xml:space="preserve"> (dates in section 3 below)</w:t>
      </w:r>
      <w:r w:rsidR="00147624">
        <w:t>.</w:t>
      </w:r>
      <w:commentRangeEnd w:id="48"/>
      <w:r w:rsidR="00EA497E">
        <w:rPr>
          <w:rStyle w:val="CommentReference"/>
          <w:rFonts w:ascii="Arial" w:hAnsi="Arial"/>
        </w:rPr>
        <w:commentReference w:id="48"/>
      </w:r>
    </w:p>
    <w:p w14:paraId="0288C829" w14:textId="6FED6974" w:rsidR="009C623B" w:rsidRDefault="009C623B" w:rsidP="009C623B">
      <w:pPr>
        <w:spacing w:after="120"/>
        <w:ind w:left="1985" w:hanging="1985"/>
        <w:rPr>
          <w:rFonts w:ascii="Arial" w:hAnsi="Arial" w:cs="Arial"/>
          <w:b/>
        </w:rPr>
      </w:pPr>
      <w:r>
        <w:rPr>
          <w:rFonts w:ascii="Arial" w:hAnsi="Arial" w:cs="Arial"/>
          <w:b/>
        </w:rPr>
        <w:t>To SA2</w:t>
      </w:r>
    </w:p>
    <w:p w14:paraId="54736CF7" w14:textId="0BC36BB9" w:rsidR="009C623B" w:rsidRDefault="009C623B" w:rsidP="009C623B">
      <w:pPr>
        <w:ind w:left="994" w:hanging="994"/>
      </w:pPr>
      <w:r>
        <w:rPr>
          <w:rFonts w:ascii="Arial" w:hAnsi="Arial" w:cs="Arial"/>
          <w:b/>
        </w:rPr>
        <w:t>ACTION:</w:t>
      </w:r>
      <w:r w:rsidRPr="00BC2688">
        <w:t xml:space="preserve"> </w:t>
      </w:r>
      <w:r w:rsidRPr="00BC2688">
        <w:tab/>
      </w:r>
      <w:r w:rsidR="0071526C">
        <w:t xml:space="preserve">In relation to requirement 1, </w:t>
      </w:r>
      <w:r w:rsidRPr="009D2F59">
        <w:rPr>
          <w:rFonts w:cs="Times New Roman"/>
        </w:rPr>
        <w:t xml:space="preserve">SA4 </w:t>
      </w:r>
      <w:r>
        <w:rPr>
          <w:rFonts w:cs="Times New Roman"/>
        </w:rPr>
        <w:t xml:space="preserve">asks SA2 to comment on the </w:t>
      </w:r>
      <w:r w:rsidR="00625A7E">
        <w:rPr>
          <w:rFonts w:cs="Times New Roman"/>
        </w:rPr>
        <w:t xml:space="preserve">possibility of extending the </w:t>
      </w:r>
      <w:proofErr w:type="spellStart"/>
      <w:r w:rsidR="00625A7E" w:rsidRPr="009C623B">
        <w:rPr>
          <w:rStyle w:val="Codechar"/>
        </w:rPr>
        <w:t>Naf_EventExposure</w:t>
      </w:r>
      <w:proofErr w:type="spellEnd"/>
      <w:r w:rsidR="00625A7E">
        <w:t xml:space="preserve"> service to include a query operation in support of the </w:t>
      </w:r>
      <w:r w:rsidR="006E7E8E">
        <w:t xml:space="preserve">stated </w:t>
      </w:r>
      <w:r w:rsidR="00625A7E">
        <w:t>SA6 requirement.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9"/>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Huawei-Qi 0419" w:date="2023-04-19T15:21:00Z" w:initials="panqi (E)">
    <w:p w14:paraId="6570E692" w14:textId="7282E3DC" w:rsidR="00EA497E" w:rsidRDefault="00EA497E">
      <w:pPr>
        <w:pStyle w:val="CommentText"/>
      </w:pPr>
      <w:r>
        <w:rPr>
          <w:rStyle w:val="CommentReference"/>
        </w:rPr>
        <w:annotationRef/>
      </w:r>
      <w:r>
        <w:t xml:space="preserve">FYI: The ongoing SA6 meeting will end next Wednesday and they have sufficient time to decide the right time for the informal </w:t>
      </w:r>
      <w:r>
        <w:rPr>
          <w:rFonts w:hint="eastAsia"/>
          <w:lang w:eastAsia="zh-CN"/>
        </w:rPr>
        <w:t>joint</w:t>
      </w:r>
      <w:r>
        <w:t xml:space="preserve"> rapporteurs’</w:t>
      </w:r>
      <w:r>
        <w:rPr>
          <w:rFonts w:hint="eastAsia"/>
          <w:lang w:eastAsia="zh-CN"/>
        </w:rPr>
        <w:t xml:space="preserve"> </w:t>
      </w:r>
      <w:r>
        <w:t xml:space="preserve">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70E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0E692" w16cid:durableId="27EA8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35B1" w14:textId="77777777" w:rsidR="003A1AF4" w:rsidRDefault="003A1AF4">
      <w:pPr>
        <w:spacing w:after="0"/>
      </w:pPr>
      <w:r>
        <w:separator/>
      </w:r>
    </w:p>
  </w:endnote>
  <w:endnote w:type="continuationSeparator" w:id="0">
    <w:p w14:paraId="4916F1E2" w14:textId="77777777" w:rsidR="003A1AF4" w:rsidRDefault="003A1AF4">
      <w:pPr>
        <w:spacing w:after="0"/>
      </w:pPr>
      <w:r>
        <w:continuationSeparator/>
      </w:r>
    </w:p>
  </w:endnote>
  <w:endnote w:type="continuationNotice" w:id="1">
    <w:p w14:paraId="0C5D8210" w14:textId="77777777" w:rsidR="003A1AF4" w:rsidRDefault="003A1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altName w:val="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CEE9" w14:textId="77777777" w:rsidR="003A1AF4" w:rsidRDefault="003A1AF4">
      <w:pPr>
        <w:spacing w:after="0"/>
      </w:pPr>
      <w:r>
        <w:separator/>
      </w:r>
    </w:p>
  </w:footnote>
  <w:footnote w:type="continuationSeparator" w:id="0">
    <w:p w14:paraId="2F394502" w14:textId="77777777" w:rsidR="003A1AF4" w:rsidRDefault="003A1AF4">
      <w:pPr>
        <w:spacing w:after="0"/>
      </w:pPr>
      <w:r>
        <w:continuationSeparator/>
      </w:r>
    </w:p>
  </w:footnote>
  <w:footnote w:type="continuationNotice" w:id="1">
    <w:p w14:paraId="34D25CC3" w14:textId="77777777" w:rsidR="003A1AF4" w:rsidRDefault="003A1A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422399">
    <w:abstractNumId w:val="6"/>
  </w:num>
  <w:num w:numId="2" w16cid:durableId="1883782408">
    <w:abstractNumId w:val="5"/>
  </w:num>
  <w:num w:numId="3" w16cid:durableId="1625891125">
    <w:abstractNumId w:val="3"/>
  </w:num>
  <w:num w:numId="4" w16cid:durableId="924386379">
    <w:abstractNumId w:val="0"/>
  </w:num>
  <w:num w:numId="5" w16cid:durableId="425226193">
    <w:abstractNumId w:val="1"/>
  </w:num>
  <w:num w:numId="6" w16cid:durableId="699203776">
    <w:abstractNumId w:val="2"/>
  </w:num>
  <w:num w:numId="7" w16cid:durableId="125516285">
    <w:abstractNumId w:val="7"/>
  </w:num>
  <w:num w:numId="8" w16cid:durableId="114747849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19)">
    <w15:presenceInfo w15:providerId="None" w15:userId="Richard Bradbury (2023-04-19)"/>
  </w15:person>
  <w15:person w15:author="Huawei-Qi 0419">
    <w15:presenceInfo w15:providerId="None" w15:userId="Huawei-Qi 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D03"/>
    <w:rsid w:val="00065E38"/>
    <w:rsid w:val="000733E6"/>
    <w:rsid w:val="000802B1"/>
    <w:rsid w:val="00083B1F"/>
    <w:rsid w:val="00084D74"/>
    <w:rsid w:val="00086624"/>
    <w:rsid w:val="00090BE1"/>
    <w:rsid w:val="000937C4"/>
    <w:rsid w:val="00096113"/>
    <w:rsid w:val="00096F69"/>
    <w:rsid w:val="000973BA"/>
    <w:rsid w:val="000979CE"/>
    <w:rsid w:val="000A18C0"/>
    <w:rsid w:val="000A2621"/>
    <w:rsid w:val="000A310A"/>
    <w:rsid w:val="000A43D8"/>
    <w:rsid w:val="000A69ED"/>
    <w:rsid w:val="000B1A2E"/>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63E5"/>
    <w:rsid w:val="003278F5"/>
    <w:rsid w:val="00330C29"/>
    <w:rsid w:val="00331424"/>
    <w:rsid w:val="00335B07"/>
    <w:rsid w:val="00336BAA"/>
    <w:rsid w:val="00341268"/>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1AF4"/>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6150"/>
    <w:rsid w:val="00500543"/>
    <w:rsid w:val="00501D0B"/>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0F21"/>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6813"/>
    <w:rsid w:val="006E7E8E"/>
    <w:rsid w:val="006F089C"/>
    <w:rsid w:val="006F0CC0"/>
    <w:rsid w:val="006F1A4C"/>
    <w:rsid w:val="006F5D0F"/>
    <w:rsid w:val="006F606A"/>
    <w:rsid w:val="00700C17"/>
    <w:rsid w:val="00700D4E"/>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452"/>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085D"/>
    <w:rsid w:val="00C43B46"/>
    <w:rsid w:val="00C44B7B"/>
    <w:rsid w:val="00C458A9"/>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593"/>
    <w:rsid w:val="00E45E6D"/>
    <w:rsid w:val="00E50ED2"/>
    <w:rsid w:val="00E537DD"/>
    <w:rsid w:val="00E5603E"/>
    <w:rsid w:val="00E636BB"/>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5226"/>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7024-0797-4980-B235-569C5A5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10070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(2023-04-19)</cp:lastModifiedBy>
  <cp:revision>4</cp:revision>
  <cp:lastPrinted>2002-04-23T07:10:00Z</cp:lastPrinted>
  <dcterms:created xsi:type="dcterms:W3CDTF">2023-04-19T17:26:00Z</dcterms:created>
  <dcterms:modified xsi:type="dcterms:W3CDTF">2023-04-19T17:38:00Z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