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34BCD" w14:textId="77777777" w:rsidR="00E55E23" w:rsidRPr="008172A9" w:rsidRDefault="008172A9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lang w:val="en-US"/>
        </w:rPr>
      </w:pPr>
      <w:bookmarkStart w:id="0" w:name="_GoBack"/>
      <w:bookmarkEnd w:id="0"/>
      <w:r w:rsidRPr="008172A9">
        <w:rPr>
          <w:b/>
          <w:lang w:val="en-US"/>
        </w:rPr>
        <w:t>SA4 MBS SWG ad-hoc #97 to #99 Tdoc list</w:t>
      </w:r>
    </w:p>
    <w:p w14:paraId="3EAFA0C2" w14:textId="77777777" w:rsidR="00E55E23" w:rsidRPr="008172A9" w:rsidRDefault="00E55E23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lang w:val="en-US"/>
        </w:rPr>
      </w:pPr>
    </w:p>
    <w:p w14:paraId="72B70F89" w14:textId="77777777" w:rsidR="00E55E23" w:rsidRPr="008172A9" w:rsidRDefault="008172A9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lang w:val="en-US"/>
        </w:rPr>
      </w:pPr>
      <w:r w:rsidRPr="008172A9">
        <w:rPr>
          <w:b/>
          <w:lang w:val="en-US"/>
        </w:rPr>
        <w:t>Author: MBS SWG Chairman (Frédéric Gabin - Ericsson)</w:t>
      </w:r>
    </w:p>
    <w:p w14:paraId="73DBEB89" w14:textId="77777777" w:rsidR="00E55E23" w:rsidRPr="008172A9" w:rsidRDefault="00E55E23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lang w:val="en-US"/>
        </w:rPr>
      </w:pPr>
    </w:p>
    <w:p w14:paraId="56E7CED8" w14:textId="77777777" w:rsidR="00E55E23" w:rsidRPr="008172A9" w:rsidRDefault="008172A9">
      <w:pPr>
        <w:rPr>
          <w:lang w:val="en-US"/>
        </w:rPr>
      </w:pPr>
      <w:r w:rsidRPr="008172A9">
        <w:rPr>
          <w:lang w:val="en-US"/>
        </w:rPr>
        <w:t xml:space="preserve"> </w:t>
      </w:r>
    </w:p>
    <w:p w14:paraId="15F719DA" w14:textId="77777777" w:rsidR="00E55E23" w:rsidRDefault="008172A9">
      <w:pPr>
        <w:ind w:firstLine="700"/>
      </w:pPr>
      <w:r>
        <w:t xml:space="preserve">- 3GPP SA4 FS_5GMedia_Distribution               </w:t>
      </w:r>
      <w:r>
        <w:tab/>
        <w:t>1MAR</w:t>
      </w:r>
    </w:p>
    <w:p w14:paraId="43A76A74" w14:textId="77777777" w:rsidR="00E55E23" w:rsidRDefault="008172A9">
      <w:pPr>
        <w:ind w:firstLine="700"/>
      </w:pPr>
      <w:r>
        <w:t xml:space="preserve">- 3GPP SA4 </w:t>
      </w:r>
      <w:proofErr w:type="spellStart"/>
      <w:r>
        <w:t>SerInter</w:t>
      </w:r>
      <w:proofErr w:type="spellEnd"/>
      <w:r>
        <w:t xml:space="preserve">                                                 8MAR</w:t>
      </w:r>
    </w:p>
    <w:p w14:paraId="08ABCF11" w14:textId="77777777" w:rsidR="00E55E23" w:rsidRDefault="008172A9">
      <w:pPr>
        <w:ind w:firstLine="700"/>
      </w:pPr>
      <w:r>
        <w:t xml:space="preserve">- 3GPP SA4 </w:t>
      </w:r>
      <w:proofErr w:type="spellStart"/>
      <w:r>
        <w:t>FS_MBMS_IoT</w:t>
      </w:r>
      <w:proofErr w:type="spellEnd"/>
      <w:r>
        <w:t xml:space="preserve">                                     16MAR</w:t>
      </w:r>
    </w:p>
    <w:p w14:paraId="42337A5F" w14:textId="77777777" w:rsidR="00E55E23" w:rsidRDefault="00E55E23">
      <w:pPr>
        <w:rPr>
          <w:b/>
        </w:rPr>
      </w:pPr>
    </w:p>
    <w:p w14:paraId="4BEA5505" w14:textId="77777777" w:rsidR="00E55E23" w:rsidRDefault="00E55E23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</w:rPr>
      </w:pPr>
    </w:p>
    <w:p w14:paraId="77CC77BB" w14:textId="77777777" w:rsidR="00E55E23" w:rsidRDefault="008172A9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tbl>
      <w:tblPr>
        <w:tblStyle w:val="a"/>
        <w:tblW w:w="9030" w:type="dxa"/>
        <w:tblInd w:w="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2535"/>
        <w:gridCol w:w="1815"/>
        <w:gridCol w:w="840"/>
        <w:gridCol w:w="945"/>
        <w:gridCol w:w="1395"/>
      </w:tblGrid>
      <w:tr w:rsidR="00E55E23" w14:paraId="6333D776" w14:textId="77777777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7A1A35BE" w14:textId="77777777" w:rsidR="00E55E23" w:rsidRDefault="00817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highlight w:val="lightGray"/>
              </w:rPr>
              <w:t>TD No.</w:t>
            </w:r>
          </w:p>
        </w:tc>
        <w:tc>
          <w:tcPr>
            <w:tcW w:w="2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5A8CC11E" w14:textId="77777777" w:rsidR="00E55E23" w:rsidRDefault="00817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highlight w:val="lightGray"/>
              </w:rPr>
              <w:t>TITLE</w:t>
            </w:r>
          </w:p>
        </w:tc>
        <w:tc>
          <w:tcPr>
            <w:tcW w:w="1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64D988EB" w14:textId="77777777" w:rsidR="00E55E23" w:rsidRDefault="00817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highlight w:val="lightGray"/>
              </w:rPr>
              <w:t>SOURCE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0866843A" w14:textId="77777777" w:rsidR="00E55E23" w:rsidRDefault="00817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highlight w:val="lightGray"/>
              </w:rPr>
              <w:t>AH#</w:t>
            </w:r>
          </w:p>
        </w:tc>
        <w:tc>
          <w:tcPr>
            <w:tcW w:w="9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5FEB6B47" w14:textId="77777777" w:rsidR="00E55E23" w:rsidRDefault="00817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highlight w:val="lightGray"/>
              </w:rPr>
              <w:t>Agenda Item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657F6433" w14:textId="77777777" w:rsidR="00E55E23" w:rsidRDefault="00817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sz w:val="20"/>
                <w:szCs w:val="20"/>
                <w:highlight w:val="lightGray"/>
              </w:rPr>
            </w:pPr>
            <w:proofErr w:type="spellStart"/>
            <w:r>
              <w:rPr>
                <w:b/>
                <w:sz w:val="20"/>
                <w:szCs w:val="20"/>
                <w:highlight w:val="lightGray"/>
              </w:rPr>
              <w:t>Status</w:t>
            </w:r>
            <w:proofErr w:type="spellEnd"/>
            <w:r>
              <w:rPr>
                <w:b/>
                <w:sz w:val="20"/>
                <w:szCs w:val="20"/>
                <w:highlight w:val="lightGray"/>
              </w:rPr>
              <w:t>/</w:t>
            </w:r>
            <w:proofErr w:type="spellStart"/>
            <w:r>
              <w:rPr>
                <w:b/>
                <w:sz w:val="20"/>
                <w:szCs w:val="20"/>
                <w:highlight w:val="lightGray"/>
              </w:rPr>
              <w:t>Replaced</w:t>
            </w:r>
            <w:proofErr w:type="spellEnd"/>
            <w:r>
              <w:rPr>
                <w:b/>
                <w:sz w:val="20"/>
                <w:szCs w:val="20"/>
                <w:highlight w:val="lightGray"/>
              </w:rPr>
              <w:t xml:space="preserve"> by</w:t>
            </w:r>
          </w:p>
        </w:tc>
      </w:tr>
      <w:tr w:rsidR="00E55E23" w14:paraId="168BC9C8" w14:textId="77777777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56DDA906" w14:textId="77777777" w:rsidR="00E55E23" w:rsidRDefault="008172A9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S4-AHI770</w:t>
            </w:r>
          </w:p>
        </w:tc>
        <w:tc>
          <w:tcPr>
            <w:tcW w:w="2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10AA3F3F" w14:textId="77777777" w:rsidR="00E55E23" w:rsidRPr="008172A9" w:rsidRDefault="008172A9">
            <w:pPr>
              <w:spacing w:line="240" w:lineRule="auto"/>
              <w:rPr>
                <w:lang w:val="en-US"/>
              </w:rPr>
            </w:pPr>
            <w:r w:rsidRPr="008172A9">
              <w:rPr>
                <w:lang w:val="en-US"/>
              </w:rPr>
              <w:t>Proposed agenda for MBS SWG telco #97 on FS_5GMedia_Distribution (March 1st, 2018, 4pm – 6pm CET)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6E491539" w14:textId="77777777" w:rsidR="00E55E23" w:rsidRDefault="008172A9">
            <w:pPr>
              <w:spacing w:line="240" w:lineRule="auto"/>
            </w:pPr>
            <w:r>
              <w:t>SA4 MBS SWG Chairman (Ericsson)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04C01489" w14:textId="77777777" w:rsidR="00E55E23" w:rsidRDefault="008172A9">
            <w:pPr>
              <w:spacing w:line="240" w:lineRule="auto"/>
            </w:pPr>
            <w:r>
              <w:t>#97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57E083BD" w14:textId="77777777" w:rsidR="00E55E23" w:rsidRDefault="008172A9">
            <w:pPr>
              <w:spacing w:line="240" w:lineRule="auto"/>
            </w:pPr>
            <w: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5B2ADDCC" w14:textId="77777777" w:rsidR="00E55E23" w:rsidRDefault="008172A9">
            <w:pPr>
              <w:spacing w:line="240" w:lineRule="auto"/>
            </w:pPr>
            <w:proofErr w:type="spellStart"/>
            <w:proofErr w:type="gramStart"/>
            <w:r>
              <w:t>approved</w:t>
            </w:r>
            <w:proofErr w:type="spellEnd"/>
            <w:proofErr w:type="gramEnd"/>
          </w:p>
        </w:tc>
      </w:tr>
      <w:tr w:rsidR="00E55E23" w14:paraId="37C2CAF7" w14:textId="77777777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0BC8BC00" w14:textId="77777777" w:rsidR="00E55E23" w:rsidRDefault="008172A9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S4-AHI771</w:t>
            </w:r>
          </w:p>
        </w:tc>
        <w:tc>
          <w:tcPr>
            <w:tcW w:w="2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2EE10446" w14:textId="77777777" w:rsidR="00E55E23" w:rsidRPr="008172A9" w:rsidRDefault="008172A9">
            <w:pPr>
              <w:spacing w:line="240" w:lineRule="auto"/>
              <w:rPr>
                <w:lang w:val="en-US"/>
              </w:rPr>
            </w:pPr>
            <w:r w:rsidRPr="008172A9">
              <w:rPr>
                <w:lang w:val="en-US"/>
              </w:rPr>
              <w:t>Proposed agenda for MBS SWG telco #98 on SerInter (March 8th, 2018, 4pm – 6pm CET)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096DB4B8" w14:textId="77777777" w:rsidR="00E55E23" w:rsidRDefault="008172A9">
            <w:pPr>
              <w:spacing w:line="240" w:lineRule="auto"/>
            </w:pPr>
            <w:r>
              <w:t>SA4 MBS SWG Chairman (Ericsson)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50BAAEAA" w14:textId="77777777" w:rsidR="00E55E23" w:rsidRDefault="008172A9">
            <w:pPr>
              <w:spacing w:line="240" w:lineRule="auto"/>
            </w:pPr>
            <w:r>
              <w:t>#98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24CB95F6" w14:textId="77777777" w:rsidR="00E55E23" w:rsidRDefault="008172A9">
            <w:pPr>
              <w:spacing w:line="240" w:lineRule="auto"/>
            </w:pPr>
            <w: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3144CEEB" w14:textId="77777777" w:rsidR="00E55E23" w:rsidRDefault="008172A9">
            <w:pPr>
              <w:spacing w:line="240" w:lineRule="auto"/>
            </w:pPr>
            <w:proofErr w:type="spellStart"/>
            <w:proofErr w:type="gramStart"/>
            <w:r>
              <w:t>approved</w:t>
            </w:r>
            <w:proofErr w:type="spellEnd"/>
            <w:proofErr w:type="gramEnd"/>
          </w:p>
        </w:tc>
      </w:tr>
      <w:tr w:rsidR="00E55E23" w14:paraId="25BDFA9C" w14:textId="77777777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46F1250B" w14:textId="77777777" w:rsidR="00E55E23" w:rsidRDefault="008172A9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S4-AHI772</w:t>
            </w:r>
          </w:p>
        </w:tc>
        <w:tc>
          <w:tcPr>
            <w:tcW w:w="2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2C27037E" w14:textId="77777777" w:rsidR="00E55E23" w:rsidRPr="008172A9" w:rsidRDefault="008172A9">
            <w:pPr>
              <w:spacing w:line="240" w:lineRule="auto"/>
              <w:rPr>
                <w:lang w:val="en-US"/>
              </w:rPr>
            </w:pPr>
            <w:r w:rsidRPr="008172A9">
              <w:rPr>
                <w:lang w:val="en-US"/>
              </w:rPr>
              <w:t>Proposed agenda for MBS SWG telco #99 on FS_MBMS_IoT (16th March 2018, 4pm – 6pm CET)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6FBDD336" w14:textId="77777777" w:rsidR="00E55E23" w:rsidRDefault="008172A9">
            <w:pPr>
              <w:spacing w:line="240" w:lineRule="auto"/>
            </w:pPr>
            <w:r>
              <w:t>SA4 MBS SWG Chairman (Ericsson)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605CA1AC" w14:textId="77777777" w:rsidR="00E55E23" w:rsidRDefault="008172A9">
            <w:pPr>
              <w:spacing w:line="240" w:lineRule="auto"/>
            </w:pPr>
            <w:r>
              <w:t>#99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5CB3226B" w14:textId="77777777" w:rsidR="00E55E23" w:rsidRDefault="008172A9">
            <w:pPr>
              <w:spacing w:line="240" w:lineRule="auto"/>
            </w:pPr>
            <w: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5F3C4207" w14:textId="77777777" w:rsidR="00E55E23" w:rsidRDefault="008172A9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proofErr w:type="spellStart"/>
            <w:proofErr w:type="gramStart"/>
            <w:r>
              <w:rPr>
                <w:sz w:val="20"/>
                <w:szCs w:val="20"/>
                <w:highlight w:val="white"/>
              </w:rPr>
              <w:t>approved</w:t>
            </w:r>
            <w:proofErr w:type="spellEnd"/>
            <w:proofErr w:type="gramEnd"/>
          </w:p>
        </w:tc>
      </w:tr>
      <w:tr w:rsidR="00E55E23" w14:paraId="7B76A86B" w14:textId="77777777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0443F403" w14:textId="77777777" w:rsidR="00E55E23" w:rsidRDefault="008172A9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S4-AHI773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3DF4D98D" w14:textId="77777777" w:rsidR="00E55E23" w:rsidRPr="008172A9" w:rsidRDefault="008172A9">
            <w:pPr>
              <w:spacing w:line="240" w:lineRule="auto"/>
              <w:rPr>
                <w:lang w:val="en-US"/>
              </w:rPr>
            </w:pPr>
            <w:r w:rsidRPr="008172A9">
              <w:rPr>
                <w:lang w:val="en-US"/>
              </w:rPr>
              <w:t>FS_5GMedia_Distribution: Additional Media API considerations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754AD47B" w14:textId="77777777" w:rsidR="00E55E23" w:rsidRDefault="008172A9">
            <w:pPr>
              <w:spacing w:line="240" w:lineRule="auto"/>
            </w:pPr>
            <w:r>
              <w:t xml:space="preserve">Qualcomm </w:t>
            </w:r>
            <w:proofErr w:type="spellStart"/>
            <w:r>
              <w:t>Incorporated</w:t>
            </w:r>
            <w:proofErr w:type="spellEnd"/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52C65FDA" w14:textId="77777777" w:rsidR="00E55E23" w:rsidRDefault="008172A9">
            <w:pPr>
              <w:spacing w:line="240" w:lineRule="auto"/>
            </w:pPr>
            <w:r>
              <w:t>#97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1F582110" w14:textId="77777777" w:rsidR="00E55E23" w:rsidRDefault="008172A9">
            <w:pPr>
              <w:spacing w:line="240" w:lineRule="auto"/>
            </w:pPr>
            <w: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12F927C0" w14:textId="77777777" w:rsidR="00E55E23" w:rsidRDefault="008172A9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proofErr w:type="spellStart"/>
            <w:proofErr w:type="gramStart"/>
            <w:r>
              <w:rPr>
                <w:sz w:val="20"/>
                <w:szCs w:val="20"/>
                <w:highlight w:val="white"/>
              </w:rPr>
              <w:t>noted</w:t>
            </w:r>
            <w:proofErr w:type="spellEnd"/>
            <w:proofErr w:type="gramEnd"/>
          </w:p>
        </w:tc>
      </w:tr>
      <w:tr w:rsidR="00E55E23" w14:paraId="7A93E5AB" w14:textId="77777777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12280F81" w14:textId="77777777" w:rsidR="00E55E23" w:rsidRDefault="008172A9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S4-AHI774</w:t>
            </w:r>
          </w:p>
        </w:tc>
        <w:tc>
          <w:tcPr>
            <w:tcW w:w="2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25E77A71" w14:textId="77777777" w:rsidR="00E55E23" w:rsidRDefault="008172A9">
            <w:pPr>
              <w:spacing w:line="240" w:lineRule="auto"/>
            </w:pPr>
            <w:r>
              <w:t xml:space="preserve">On </w:t>
            </w:r>
            <w:proofErr w:type="spellStart"/>
            <w:r>
              <w:t>External</w:t>
            </w:r>
            <w:proofErr w:type="spellEnd"/>
            <w:r>
              <w:t xml:space="preserve"> API Interfaces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3C510BD4" w14:textId="77777777" w:rsidR="00E55E23" w:rsidRDefault="008172A9">
            <w:pPr>
              <w:spacing w:line="240" w:lineRule="auto"/>
            </w:pPr>
            <w:r>
              <w:t>Intel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0C3FA87F" w14:textId="77777777" w:rsidR="00E55E23" w:rsidRDefault="008172A9">
            <w:pPr>
              <w:spacing w:line="240" w:lineRule="auto"/>
            </w:pPr>
            <w:r>
              <w:t xml:space="preserve">  #97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012FD9DF" w14:textId="77777777" w:rsidR="00E55E23" w:rsidRDefault="008172A9">
            <w:pPr>
              <w:spacing w:line="240" w:lineRule="auto"/>
            </w:pPr>
            <w: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23C5E94D" w14:textId="77777777" w:rsidR="00E55E23" w:rsidRDefault="00817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proofErr w:type="spellStart"/>
            <w:proofErr w:type="gramStart"/>
            <w:r>
              <w:rPr>
                <w:sz w:val="20"/>
                <w:szCs w:val="20"/>
                <w:highlight w:val="white"/>
              </w:rPr>
              <w:t>noted</w:t>
            </w:r>
            <w:proofErr w:type="spellEnd"/>
            <w:proofErr w:type="gramEnd"/>
          </w:p>
        </w:tc>
      </w:tr>
      <w:tr w:rsidR="00E55E23" w14:paraId="72E92F6F" w14:textId="77777777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16DECD64" w14:textId="77777777" w:rsidR="00E55E23" w:rsidRDefault="008172A9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S4-AHI775</w:t>
            </w:r>
          </w:p>
        </w:tc>
        <w:tc>
          <w:tcPr>
            <w:tcW w:w="2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7C7A45B9" w14:textId="77777777" w:rsidR="00E55E23" w:rsidRPr="008172A9" w:rsidRDefault="008172A9">
            <w:pPr>
              <w:spacing w:line="240" w:lineRule="auto"/>
              <w:rPr>
                <w:lang w:val="en-US"/>
              </w:rPr>
            </w:pPr>
            <w:r w:rsidRPr="008172A9">
              <w:rPr>
                <w:lang w:val="en-US"/>
              </w:rPr>
              <w:t>API considerations for immersive media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79D1C696" w14:textId="77777777" w:rsidR="00E55E23" w:rsidRDefault="008172A9">
            <w:pPr>
              <w:spacing w:before="120" w:after="120" w:line="240" w:lineRule="auto"/>
              <w:ind w:left="60"/>
            </w:pPr>
            <w:r>
              <w:t>Samsung Electronics Co., Ltd.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7FBC5669" w14:textId="77777777" w:rsidR="00E55E23" w:rsidRDefault="008172A9">
            <w:pPr>
              <w:spacing w:before="120" w:after="120" w:line="240" w:lineRule="auto"/>
              <w:ind w:left="60"/>
            </w:pPr>
            <w:r>
              <w:t xml:space="preserve">  #97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774BE5F7" w14:textId="77777777" w:rsidR="00E55E23" w:rsidRDefault="008172A9">
            <w:pPr>
              <w:spacing w:before="120" w:after="120" w:line="240" w:lineRule="auto"/>
              <w:ind w:left="60"/>
            </w:pPr>
            <w: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35C21D42" w14:textId="77777777" w:rsidR="00E55E23" w:rsidRDefault="00817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proofErr w:type="spellStart"/>
            <w:proofErr w:type="gramStart"/>
            <w:r>
              <w:rPr>
                <w:sz w:val="20"/>
                <w:szCs w:val="20"/>
                <w:highlight w:val="white"/>
              </w:rPr>
              <w:t>noted</w:t>
            </w:r>
            <w:proofErr w:type="spellEnd"/>
            <w:proofErr w:type="gramEnd"/>
          </w:p>
        </w:tc>
      </w:tr>
      <w:tr w:rsidR="00E55E23" w14:paraId="1E4FCC74" w14:textId="77777777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76CDB9F2" w14:textId="77777777" w:rsidR="00E55E23" w:rsidRDefault="008172A9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S4-AHI776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4D63663C" w14:textId="77777777" w:rsidR="00E55E23" w:rsidRPr="008172A9" w:rsidRDefault="008172A9">
            <w:pPr>
              <w:spacing w:line="240" w:lineRule="auto"/>
              <w:rPr>
                <w:lang w:val="en-US"/>
              </w:rPr>
            </w:pPr>
            <w:r w:rsidRPr="008172A9">
              <w:rPr>
                <w:lang w:val="en-US"/>
              </w:rPr>
              <w:t>Draft CR to TS 26.247 (Rel-15) Signaling and Reporting of Interactivity Usage in 3GP-DASH</w:t>
            </w:r>
          </w:p>
        </w:tc>
        <w:tc>
          <w:tcPr>
            <w:tcW w:w="1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7955E63B" w14:textId="77777777" w:rsidR="00E55E23" w:rsidRDefault="008172A9">
            <w:pPr>
              <w:spacing w:line="240" w:lineRule="auto"/>
              <w:rPr>
                <w:highlight w:val="white"/>
              </w:rPr>
            </w:pPr>
            <w:r>
              <w:t xml:space="preserve">Qualcomm </w:t>
            </w:r>
            <w:proofErr w:type="spellStart"/>
            <w:r>
              <w:t>Incorporated</w:t>
            </w:r>
            <w:proofErr w:type="spellEnd"/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6F6E6ED9" w14:textId="77777777" w:rsidR="00E55E23" w:rsidRDefault="008172A9">
            <w:pPr>
              <w:spacing w:before="120" w:after="120" w:line="240" w:lineRule="auto"/>
              <w:ind w:left="60"/>
            </w:pPr>
            <w:r>
              <w:t>#98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7A9F8020" w14:textId="77777777" w:rsidR="00E55E23" w:rsidRDefault="008172A9">
            <w:pPr>
              <w:spacing w:before="120" w:after="120" w:line="240" w:lineRule="auto"/>
              <w:ind w:left="60"/>
            </w:pPr>
            <w: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54035139" w14:textId="77777777" w:rsidR="00E55E23" w:rsidRDefault="00817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60" w:right="60"/>
              <w:rPr>
                <w:highlight w:val="white"/>
              </w:rPr>
            </w:pPr>
            <w:proofErr w:type="spellStart"/>
            <w:proofErr w:type="gramStart"/>
            <w:r>
              <w:rPr>
                <w:highlight w:val="white"/>
              </w:rPr>
              <w:t>noted</w:t>
            </w:r>
            <w:proofErr w:type="spellEnd"/>
            <w:proofErr w:type="gramEnd"/>
          </w:p>
        </w:tc>
      </w:tr>
      <w:tr w:rsidR="00E55E23" w14:paraId="409D7A7D" w14:textId="77777777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76634253" w14:textId="77777777" w:rsidR="00E55E23" w:rsidRDefault="008172A9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S4-AHI777</w:t>
            </w:r>
          </w:p>
        </w:tc>
        <w:tc>
          <w:tcPr>
            <w:tcW w:w="2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58F44F3B" w14:textId="77777777" w:rsidR="00E55E23" w:rsidRPr="008172A9" w:rsidRDefault="008172A9">
            <w:pPr>
              <w:spacing w:line="240" w:lineRule="auto"/>
              <w:rPr>
                <w:lang w:val="en-US"/>
              </w:rPr>
            </w:pPr>
            <w:r w:rsidRPr="008172A9">
              <w:rPr>
                <w:lang w:val="en-US"/>
              </w:rPr>
              <w:t xml:space="preserve">Use Case and Call Flow Example on Interactivity Events, User Engagement, </w:t>
            </w:r>
            <w:r w:rsidRPr="008172A9">
              <w:rPr>
                <w:lang w:val="en-US"/>
              </w:rPr>
              <w:lastRenderedPageBreak/>
              <w:t>Measurement and Reporting</w:t>
            </w:r>
            <w:r w:rsidRPr="008172A9">
              <w:rPr>
                <w:lang w:val="en-US"/>
              </w:rPr>
              <w:tab/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2F90659F" w14:textId="77777777" w:rsidR="00E55E23" w:rsidRDefault="008172A9">
            <w:pPr>
              <w:spacing w:line="240" w:lineRule="auto"/>
            </w:pPr>
            <w:r>
              <w:lastRenderedPageBreak/>
              <w:t xml:space="preserve">Qualcomm </w:t>
            </w:r>
            <w:proofErr w:type="spellStart"/>
            <w:r>
              <w:t>Incorporated</w:t>
            </w:r>
            <w:proofErr w:type="spellEnd"/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519760C6" w14:textId="77777777" w:rsidR="00E55E23" w:rsidRDefault="008172A9">
            <w:pPr>
              <w:spacing w:before="120" w:after="120" w:line="240" w:lineRule="auto"/>
              <w:ind w:left="60"/>
            </w:pPr>
            <w:r>
              <w:t>#98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376867DE" w14:textId="77777777" w:rsidR="00E55E23" w:rsidRDefault="008172A9">
            <w:pPr>
              <w:spacing w:before="120" w:after="120" w:line="240" w:lineRule="auto"/>
              <w:ind w:left="60"/>
            </w:pPr>
            <w: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3B65849E" w14:textId="77777777" w:rsidR="00E55E23" w:rsidRDefault="00817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proofErr w:type="spellStart"/>
            <w:proofErr w:type="gramStart"/>
            <w:r>
              <w:rPr>
                <w:sz w:val="20"/>
                <w:szCs w:val="20"/>
                <w:highlight w:val="white"/>
              </w:rPr>
              <w:t>noted</w:t>
            </w:r>
            <w:proofErr w:type="spellEnd"/>
            <w:proofErr w:type="gramEnd"/>
          </w:p>
        </w:tc>
      </w:tr>
      <w:tr w:rsidR="00E55E23" w14:paraId="17F40655" w14:textId="77777777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7470E61F" w14:textId="77777777" w:rsidR="00E55E23" w:rsidRDefault="008172A9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S4-AHI778</w:t>
            </w:r>
          </w:p>
        </w:tc>
        <w:tc>
          <w:tcPr>
            <w:tcW w:w="2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2A3935DD" w14:textId="77777777" w:rsidR="00E55E23" w:rsidRPr="008172A9" w:rsidRDefault="008172A9">
            <w:pPr>
              <w:spacing w:line="240" w:lineRule="auto"/>
              <w:rPr>
                <w:lang w:val="en-US"/>
              </w:rPr>
            </w:pPr>
            <w:r w:rsidRPr="008172A9">
              <w:rPr>
                <w:lang w:val="en-US"/>
              </w:rPr>
              <w:t>PseudoCR - ASN.1 binary format for reception report message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6FD429D6" w14:textId="77777777" w:rsidR="00E55E23" w:rsidRDefault="008172A9">
            <w:pPr>
              <w:spacing w:line="240" w:lineRule="auto"/>
            </w:pPr>
            <w:r>
              <w:t>Expway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3955ECAE" w14:textId="77777777" w:rsidR="00E55E23" w:rsidRDefault="008172A9">
            <w:pPr>
              <w:spacing w:before="120" w:after="120" w:line="240" w:lineRule="auto"/>
              <w:ind w:left="60"/>
            </w:pPr>
            <w:r>
              <w:t>#99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3065A574" w14:textId="77777777" w:rsidR="00E55E23" w:rsidRDefault="008172A9">
            <w:pPr>
              <w:spacing w:before="120" w:after="120" w:line="240" w:lineRule="auto"/>
              <w:ind w:left="60"/>
            </w:pPr>
            <w: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46892F9A" w14:textId="77777777" w:rsidR="00E55E23" w:rsidRDefault="00817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proofErr w:type="spellStart"/>
            <w:proofErr w:type="gramStart"/>
            <w:r>
              <w:rPr>
                <w:sz w:val="20"/>
                <w:szCs w:val="20"/>
                <w:highlight w:val="white"/>
              </w:rPr>
              <w:t>noted</w:t>
            </w:r>
            <w:proofErr w:type="spellEnd"/>
            <w:proofErr w:type="gramEnd"/>
          </w:p>
        </w:tc>
      </w:tr>
      <w:tr w:rsidR="00E55E23" w14:paraId="5380AB18" w14:textId="77777777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07A3A720" w14:textId="77777777" w:rsidR="00E55E23" w:rsidRDefault="008172A9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S4-AHI779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2C4F2B9A" w14:textId="77777777" w:rsidR="00E55E23" w:rsidRPr="008172A9" w:rsidRDefault="00817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8172A9">
              <w:rPr>
                <w:sz w:val="20"/>
                <w:szCs w:val="20"/>
                <w:highlight w:val="white"/>
                <w:lang w:val="en-US"/>
              </w:rPr>
              <w:t>PseudoCR - ASN.1 binary FDT instance format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74487687" w14:textId="77777777" w:rsidR="00E55E23" w:rsidRDefault="008172A9">
            <w:pPr>
              <w:spacing w:line="240" w:lineRule="auto"/>
              <w:rPr>
                <w:sz w:val="20"/>
                <w:szCs w:val="20"/>
                <w:highlight w:val="white"/>
              </w:rPr>
            </w:pPr>
            <w:r>
              <w:t>Expway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1AF8131B" w14:textId="77777777" w:rsidR="00E55E23" w:rsidRDefault="008172A9">
            <w:pPr>
              <w:spacing w:before="120" w:after="120" w:line="240" w:lineRule="auto"/>
              <w:ind w:left="60"/>
            </w:pPr>
            <w:r>
              <w:t>#99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3A01A23D" w14:textId="77777777" w:rsidR="00E55E23" w:rsidRDefault="008172A9">
            <w:pPr>
              <w:spacing w:before="120" w:after="120" w:line="240" w:lineRule="auto"/>
              <w:ind w:left="60"/>
            </w:pPr>
            <w: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6BB9D72C" w14:textId="77777777" w:rsidR="00E55E23" w:rsidRDefault="00817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proofErr w:type="spellStart"/>
            <w:proofErr w:type="gramStart"/>
            <w:r>
              <w:rPr>
                <w:sz w:val="20"/>
                <w:szCs w:val="20"/>
                <w:highlight w:val="white"/>
              </w:rPr>
              <w:t>noted</w:t>
            </w:r>
            <w:proofErr w:type="spellEnd"/>
            <w:proofErr w:type="gramEnd"/>
          </w:p>
        </w:tc>
      </w:tr>
      <w:tr w:rsidR="00E55E23" w14:paraId="03427CCF" w14:textId="77777777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0A309828" w14:textId="77777777" w:rsidR="00E55E23" w:rsidRDefault="008172A9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S4-AHI780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0549E13F" w14:textId="77777777" w:rsidR="00E55E23" w:rsidRPr="008172A9" w:rsidRDefault="008172A9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8172A9">
              <w:rPr>
                <w:sz w:val="20"/>
                <w:szCs w:val="20"/>
                <w:highlight w:val="white"/>
                <w:lang w:val="en-US"/>
              </w:rPr>
              <w:t>PseudoCR - Solution for service announcement procedures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7E52CF87" w14:textId="77777777" w:rsidR="00E55E23" w:rsidRDefault="008172A9">
            <w:pPr>
              <w:spacing w:line="240" w:lineRule="auto"/>
              <w:rPr>
                <w:sz w:val="20"/>
                <w:szCs w:val="20"/>
                <w:highlight w:val="white"/>
              </w:rPr>
            </w:pPr>
            <w:r>
              <w:t>Expway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49F05D3C" w14:textId="77777777" w:rsidR="00E55E23" w:rsidRDefault="008172A9">
            <w:pPr>
              <w:spacing w:before="120" w:after="120" w:line="240" w:lineRule="auto"/>
              <w:ind w:left="60"/>
            </w:pPr>
            <w:r>
              <w:t>#99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2535B5EB" w14:textId="77777777" w:rsidR="00E55E23" w:rsidRDefault="008172A9">
            <w:pPr>
              <w:spacing w:before="120" w:after="120" w:line="240" w:lineRule="auto"/>
              <w:ind w:left="60"/>
            </w:pPr>
            <w: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1890BA29" w14:textId="77777777" w:rsidR="00E55E23" w:rsidRDefault="00817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proofErr w:type="spellStart"/>
            <w:proofErr w:type="gramStart"/>
            <w:r>
              <w:rPr>
                <w:sz w:val="20"/>
                <w:szCs w:val="20"/>
                <w:highlight w:val="white"/>
              </w:rPr>
              <w:t>noted</w:t>
            </w:r>
            <w:proofErr w:type="spellEnd"/>
            <w:proofErr w:type="gramEnd"/>
          </w:p>
        </w:tc>
      </w:tr>
      <w:tr w:rsidR="00E55E23" w14:paraId="17A8A991" w14:textId="77777777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28BAB05F" w14:textId="77777777" w:rsidR="00E55E23" w:rsidRDefault="008172A9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S4-AHI781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1D0CF592" w14:textId="77777777" w:rsidR="00E55E23" w:rsidRPr="008172A9" w:rsidRDefault="008172A9">
            <w:pPr>
              <w:spacing w:line="240" w:lineRule="auto"/>
              <w:rPr>
                <w:lang w:val="en-US"/>
              </w:rPr>
            </w:pPr>
            <w:r w:rsidRPr="008172A9">
              <w:rPr>
                <w:lang w:val="en-US"/>
              </w:rPr>
              <w:t>PseudoCR - Editorial changes in TR 26.850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1535B058" w14:textId="77777777" w:rsidR="00E55E23" w:rsidRDefault="008172A9">
            <w:pPr>
              <w:spacing w:line="240" w:lineRule="auto"/>
              <w:rPr>
                <w:sz w:val="20"/>
                <w:szCs w:val="20"/>
                <w:highlight w:val="white"/>
              </w:rPr>
            </w:pPr>
            <w:r>
              <w:t>Expway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47BACC53" w14:textId="77777777" w:rsidR="00E55E23" w:rsidRDefault="008172A9">
            <w:pPr>
              <w:spacing w:before="120" w:after="120" w:line="240" w:lineRule="auto"/>
              <w:ind w:left="60"/>
            </w:pPr>
            <w:r>
              <w:t>#99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643D7A5F" w14:textId="77777777" w:rsidR="00E55E23" w:rsidRDefault="008172A9">
            <w:pPr>
              <w:spacing w:before="120" w:after="120" w:line="240" w:lineRule="auto"/>
              <w:ind w:left="60"/>
            </w:pPr>
            <w: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258C6FC5" w14:textId="77777777" w:rsidR="00E55E23" w:rsidRDefault="00817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proofErr w:type="spellStart"/>
            <w:proofErr w:type="gramStart"/>
            <w:r>
              <w:rPr>
                <w:sz w:val="20"/>
                <w:szCs w:val="20"/>
                <w:highlight w:val="white"/>
              </w:rPr>
              <w:t>noted</w:t>
            </w:r>
            <w:proofErr w:type="spellEnd"/>
            <w:proofErr w:type="gramEnd"/>
          </w:p>
        </w:tc>
      </w:tr>
      <w:tr w:rsidR="00E55E23" w14:paraId="0AE19CE8" w14:textId="77777777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3C7DE0B7" w14:textId="77777777" w:rsidR="00E55E23" w:rsidRDefault="008172A9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S4-AHI782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4422996F" w14:textId="77777777" w:rsidR="00E55E23" w:rsidRPr="008172A9" w:rsidRDefault="008172A9">
            <w:pPr>
              <w:spacing w:line="240" w:lineRule="auto"/>
              <w:rPr>
                <w:lang w:val="en-US"/>
              </w:rPr>
            </w:pPr>
            <w:r w:rsidRPr="008172A9">
              <w:rPr>
                <w:lang w:val="en-US"/>
              </w:rPr>
              <w:t>Corrections to CoAP-based File Repair Description in TR 26.850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7E64FFB4" w14:textId="77777777" w:rsidR="00E55E23" w:rsidRDefault="008172A9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Qualcomm </w:t>
            </w:r>
            <w:proofErr w:type="spellStart"/>
            <w:r>
              <w:rPr>
                <w:sz w:val="20"/>
                <w:szCs w:val="20"/>
                <w:highlight w:val="white"/>
              </w:rPr>
              <w:t>Incorporated</w:t>
            </w:r>
            <w:proofErr w:type="spellEnd"/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03B28811" w14:textId="77777777" w:rsidR="00E55E23" w:rsidRDefault="008172A9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#99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731AA866" w14:textId="77777777" w:rsidR="00E55E23" w:rsidRDefault="008172A9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60BB420B" w14:textId="77777777" w:rsidR="00E55E23" w:rsidRDefault="008172A9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S4-AHI782</w:t>
            </w:r>
          </w:p>
        </w:tc>
      </w:tr>
      <w:tr w:rsidR="00E55E23" w14:paraId="3CB055F9" w14:textId="77777777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0C4D1BE5" w14:textId="77777777" w:rsidR="00E55E23" w:rsidRDefault="008172A9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S4-AHI783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0533C8BB" w14:textId="77777777" w:rsidR="00E55E23" w:rsidRPr="008172A9" w:rsidRDefault="008172A9">
            <w:pPr>
              <w:spacing w:line="240" w:lineRule="auto"/>
              <w:rPr>
                <w:lang w:val="en-US"/>
              </w:rPr>
            </w:pPr>
            <w:r w:rsidRPr="008172A9">
              <w:rPr>
                <w:lang w:val="en-US"/>
              </w:rPr>
              <w:t>Corrections to CoAP-based File Repair Description in TR 26.850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2EA86BAD" w14:textId="77777777" w:rsidR="00E55E23" w:rsidRDefault="008172A9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Qualcomm </w:t>
            </w:r>
            <w:proofErr w:type="spellStart"/>
            <w:r>
              <w:rPr>
                <w:sz w:val="20"/>
                <w:szCs w:val="20"/>
                <w:highlight w:val="white"/>
              </w:rPr>
              <w:t>Incorporated</w:t>
            </w:r>
            <w:proofErr w:type="spellEnd"/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0E37991A" w14:textId="77777777" w:rsidR="00E55E23" w:rsidRDefault="008172A9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#99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05F93857" w14:textId="77777777" w:rsidR="00E55E23" w:rsidRDefault="008172A9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44F3166E" w14:textId="77777777" w:rsidR="00E55E23" w:rsidRDefault="00817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proofErr w:type="spellStart"/>
            <w:proofErr w:type="gramStart"/>
            <w:r>
              <w:rPr>
                <w:sz w:val="20"/>
                <w:szCs w:val="20"/>
                <w:highlight w:val="white"/>
              </w:rPr>
              <w:t>noted</w:t>
            </w:r>
            <w:proofErr w:type="spellEnd"/>
            <w:proofErr w:type="gramEnd"/>
          </w:p>
        </w:tc>
      </w:tr>
    </w:tbl>
    <w:p w14:paraId="53DF0D65" w14:textId="77777777" w:rsidR="00E55E23" w:rsidRDefault="00E55E23">
      <w:pPr>
        <w:pBdr>
          <w:top w:val="nil"/>
          <w:left w:val="nil"/>
          <w:bottom w:val="nil"/>
          <w:right w:val="nil"/>
          <w:between w:val="nil"/>
        </w:pBdr>
      </w:pPr>
    </w:p>
    <w:p w14:paraId="2F11B0A9" w14:textId="77777777" w:rsidR="00E55E23" w:rsidRDefault="00E55E23">
      <w:pPr>
        <w:ind w:left="720" w:firstLine="720"/>
        <w:rPr>
          <w:b/>
        </w:rPr>
      </w:pPr>
    </w:p>
    <w:p w14:paraId="54B31C7C" w14:textId="77777777" w:rsidR="00E55E23" w:rsidRDefault="00E55E23">
      <w:pPr>
        <w:ind w:left="720" w:firstLine="720"/>
        <w:rPr>
          <w:b/>
        </w:rPr>
      </w:pPr>
    </w:p>
    <w:sectPr w:rsidR="00E55E23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23"/>
    <w:rsid w:val="008172A9"/>
    <w:rsid w:val="00E5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AA14"/>
  <w15:docId w15:val="{CFB7EEE4-D7FC-4D23-95CD-926C6DE9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Ericsson User</cp:lastModifiedBy>
  <cp:revision>2</cp:revision>
  <dcterms:created xsi:type="dcterms:W3CDTF">2018-04-20T09:20:00Z</dcterms:created>
  <dcterms:modified xsi:type="dcterms:W3CDTF">2018-04-20T09:20:00Z</dcterms:modified>
</cp:coreProperties>
</file>