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16718711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100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noProof/>
          <w:sz w:val="28"/>
        </w:rPr>
        <w:t>s3i2600</w:t>
      </w:r>
      <w:r>
        <w:rPr>
          <w:b/>
          <w:i/>
          <w:noProof/>
          <w:sz w:val="28"/>
        </w:rPr>
        <w:t>52</w:t>
      </w:r>
      <w:r>
        <w:rPr>
          <w:b/>
          <w:i/>
          <w:noProof/>
          <w:sz w:val="28"/>
        </w:rPr>
        <w:fldChar w:fldCharType="end"/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Sophia-Antipolis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France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27th Jan 2026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30th Jan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CR-Form-v12.4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0308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https://www.3gpp.org/Change-Requests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LI on Indirect Network Sharing (INS)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SA3LI (Ministère Economie et Finances)</w:t>
            </w:r>
            <w:r>
              <w:rPr>
                <w:noProof/>
              </w:rP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noProof/>
              </w:rPr>
              <w:t>LI</w:t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2026-01-</w:t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</w:t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Absence of LI for Indirect Network Sharing in Stage 2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LI for Indirect Network Sharing in Stage 2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LI for Indirect Network Sharing would still be missing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6.2.2.7, 6.2.3.6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s3i260010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rPr>
          <w:noProof/>
        </w:rPr>
        <w:sectPr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>
      <w:pPr>
        <w:pStyle w:val="Titre4"/>
      </w:pPr>
    </w:p>
    <w:bookmarkEnd w:id="0"/>
    <w:p>
      <w:pPr>
        <w:pStyle w:val="B1"/>
      </w:pPr>
    </w:p>
    <w:p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 START OF FIRST CHANGE ***</w:t>
      </w:r>
    </w:p>
    <w:p>
      <w:pPr>
        <w:pStyle w:val="Titre4"/>
      </w:pPr>
      <w:bookmarkStart w:id="2" w:name="_Toc216718714"/>
      <w:r>
        <w:t>6.2.2.7</w:t>
      </w:r>
      <w:r>
        <w:tab/>
        <w:t>Network topologies</w:t>
      </w:r>
      <w:bookmarkEnd w:id="2"/>
    </w:p>
    <w:p>
      <w:r>
        <w:t>The AMF shall provide the IRI-POI functions in the following network topology cases:</w:t>
      </w:r>
    </w:p>
    <w:p>
      <w:pPr>
        <w:pStyle w:val="B1"/>
        <w:rPr>
          <w:ins w:id="3" w:author="Simon Znaty" w:date="2026-01-27T16:54:00Z"/>
        </w:rPr>
      </w:pPr>
      <w:r>
        <w:t>-</w:t>
      </w:r>
      <w:r>
        <w:tab/>
        <w:t>Non-roaming case.</w:t>
      </w:r>
    </w:p>
    <w:p>
      <w:pPr>
        <w:pStyle w:val="B2"/>
        <w:rPr>
          <w:ins w:id="4" w:author="Simon Znaty" w:date="2026-01-27T16:54:00Z"/>
        </w:rPr>
      </w:pPr>
      <w:ins w:id="5" w:author="Simon Znaty" w:date="2026-01-27T16:54:00Z">
        <w:r>
          <w:t>-</w:t>
        </w:r>
        <w:r>
          <w:tab/>
          <w:t>Indirect Network Sharing case, when the AMF operates in the context of a Hosting Operator network for</w:t>
        </w:r>
      </w:ins>
      <w:ins w:id="6" w:author="Simon Znaty" w:date="2026-01-27T16:55:00Z">
        <w:r>
          <w:t xml:space="preserve"> a subscription held by a Participating Operator. Indirect Network Sharing is a specific non-roaming topology involving Hosting and Participating Operators</w:t>
        </w:r>
      </w:ins>
      <w:ins w:id="7" w:author="Simon Znaty" w:date="2026-01-27T17:51:00Z">
        <w:r>
          <w:t xml:space="preserve">. Indirect Network Sharing is described </w:t>
        </w:r>
      </w:ins>
      <w:ins w:id="8" w:author="Simon Znaty" w:date="2026-01-27T17:52:00Z">
        <w:r>
          <w:t xml:space="preserve">in TS 23.501 [2] clause </w:t>
        </w:r>
      </w:ins>
      <w:ins w:id="9" w:author="Simon Znaty" w:date="2026-01-27T17:53:00Z">
        <w:r>
          <w:t>5.18.</w:t>
        </w:r>
      </w:ins>
    </w:p>
    <w:p>
      <w:pPr>
        <w:pStyle w:val="B1"/>
      </w:pPr>
      <w:r>
        <w:t>-</w:t>
      </w:r>
      <w:r>
        <w:tab/>
        <w:t>Roaming case, in VPLMN.</w:t>
      </w:r>
    </w:p>
    <w:p>
      <w:pPr>
        <w:pStyle w:val="B1"/>
        <w:rPr>
          <w:ins w:id="10" w:author="Simon Znaty" w:date="2026-01-04T15:41:00Z"/>
        </w:rPr>
      </w:pPr>
      <w:r>
        <w:t>-</w:t>
      </w:r>
      <w:r>
        <w:tab/>
        <w:t>Roaming case, in HPLMN for non-3GPP access.</w:t>
      </w:r>
    </w:p>
    <w:p>
      <w:r>
        <w:t>In a roaming case, it is possible that the target UE may use non-3GPP access with the N3A Entity present in the HPLMN.</w:t>
      </w:r>
    </w:p>
    <w:p>
      <w:pPr>
        <w:pStyle w:val="B1"/>
        <w:rPr>
          <w:ins w:id="11" w:author="Simon Znaty" w:date="2026-01-27T16:58:00Z"/>
        </w:rPr>
      </w:pPr>
      <w:ins w:id="12" w:author="Simon Znaty" w:date="2026-01-27T16:58:00Z">
        <w:r>
          <w:t>-</w:t>
        </w:r>
        <w:r>
          <w:tab/>
        </w:r>
      </w:ins>
      <w:ins w:id="13" w:author="Simon Znaty" w:date="2026-01-27T16:59:00Z">
        <w:r>
          <w:t>Other network topology cases are not covered by this specification</w:t>
        </w:r>
      </w:ins>
      <w:r>
        <w:t>.</w:t>
      </w:r>
    </w:p>
    <w:p>
      <w:pPr>
        <w:jc w:val="center"/>
        <w:rPr>
          <w:color w:val="FF0000"/>
        </w:rPr>
      </w:pPr>
      <w:bookmarkStart w:id="14" w:name="_Toc216718723"/>
    </w:p>
    <w:p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 END OF FIRST CHANGE ***</w:t>
      </w:r>
    </w:p>
    <w:p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 START OF SECOND CHANGE ***</w:t>
      </w:r>
    </w:p>
    <w:p>
      <w:pPr>
        <w:pStyle w:val="Titre4"/>
      </w:pPr>
      <w:bookmarkStart w:id="15" w:name="_Toc216718726"/>
      <w:bookmarkEnd w:id="14"/>
      <w:r>
        <w:t>6.2.3.6</w:t>
      </w:r>
      <w:r>
        <w:tab/>
        <w:t>Network topologies</w:t>
      </w:r>
      <w:bookmarkEnd w:id="15"/>
    </w:p>
    <w:p>
      <w:r>
        <w:t>The SMF shall provide the IRI-POI functions in the following network topology cases:</w:t>
      </w:r>
    </w:p>
    <w:p>
      <w:pPr>
        <w:pStyle w:val="B1"/>
      </w:pPr>
      <w:r>
        <w:t>-</w:t>
      </w:r>
      <w:r>
        <w:tab/>
        <w:t>Non-roaming case.</w:t>
      </w:r>
    </w:p>
    <w:p>
      <w:pPr>
        <w:pStyle w:val="B2"/>
        <w:rPr>
          <w:ins w:id="16" w:author="Simon Znaty" w:date="2026-01-27T16:54:00Z"/>
        </w:rPr>
      </w:pPr>
      <w:ins w:id="17" w:author="Simon Znaty" w:date="2026-01-27T16:54:00Z">
        <w:r>
          <w:t>-</w:t>
        </w:r>
        <w:r>
          <w:tab/>
        </w:r>
      </w:ins>
      <w:ins w:id="18" w:author="Simon Znaty" w:date="2026-01-04T17:12:00Z">
        <w:r>
          <w:t xml:space="preserve">Indirect Network Sharing case, in the Hosting Operator network, when a </w:t>
        </w:r>
      </w:ins>
      <w:ins w:id="19" w:author="Simon Znaty" w:date="2026-01-27T17:16:00Z">
        <w:r>
          <w:t>V-</w:t>
        </w:r>
      </w:ins>
      <w:ins w:id="20" w:author="Simon Znaty" w:date="2026-01-04T17:12:00Z">
        <w:r>
          <w:t>SMF of the Hosting Operator</w:t>
        </w:r>
      </w:ins>
      <w:ins w:id="21" w:author="Simon Znaty" w:date="2026-01-27T17:17:00Z">
        <w:r>
          <w:t xml:space="preserve"> is </w:t>
        </w:r>
      </w:ins>
      <w:ins w:id="22" w:author="Simon Znaty" w:date="2026-01-27T17:02:00Z">
        <w:r>
          <w:t>involved</w:t>
        </w:r>
      </w:ins>
      <w:ins w:id="23" w:author="Simon Znaty" w:date="2026-01-27T17:51:00Z">
        <w:r>
          <w:t>.</w:t>
        </w:r>
      </w:ins>
    </w:p>
    <w:p>
      <w:pPr>
        <w:pStyle w:val="B2"/>
      </w:pPr>
      <w:ins w:id="24" w:author="Simon Znaty" w:date="2026-01-27T17:02:00Z">
        <w:r>
          <w:t>-</w:t>
        </w:r>
        <w:r>
          <w:tab/>
        </w:r>
      </w:ins>
      <w:ins w:id="25" w:author="Simon Znaty" w:date="2026-01-27T17:03:00Z">
        <w:r>
          <w:t>Indirect Network Sharing case, in the Participating Operator network, when a SMF of the Participating operator is involved</w:t>
        </w:r>
      </w:ins>
      <w:ins w:id="26" w:author="Simon Znaty" w:date="2026-01-27T17:02:00Z">
        <w:r>
          <w:t>.</w:t>
        </w:r>
      </w:ins>
    </w:p>
    <w:p>
      <w:pPr>
        <w:pStyle w:val="B1"/>
      </w:pPr>
      <w:r>
        <w:t>-</w:t>
      </w:r>
      <w:r>
        <w:tab/>
        <w:t>Roaming case, in VPLMN.</w:t>
      </w:r>
    </w:p>
    <w:p>
      <w:pPr>
        <w:pStyle w:val="B1"/>
      </w:pPr>
      <w:r>
        <w:t>-</w:t>
      </w:r>
      <w:r>
        <w:tab/>
        <w:t>Roaming case, in HPLMN.</w:t>
      </w:r>
    </w:p>
    <w:p>
      <w:pPr>
        <w:pStyle w:val="B1"/>
        <w:rPr>
          <w:ins w:id="27" w:author="Simon Znaty" w:date="2026-01-04T17:12:00Z"/>
        </w:rPr>
      </w:pPr>
      <w:r>
        <w:t>-</w:t>
      </w:r>
      <w:r>
        <w:tab/>
        <w:t>Non-3GPP access case, in the PLMN where N3A Entity resides.</w:t>
      </w:r>
    </w:p>
    <w:p>
      <w:pPr>
        <w:pStyle w:val="B1"/>
      </w:pPr>
      <w:ins w:id="28" w:author="Simon Znaty" w:date="2026-01-27T16:58:00Z">
        <w:r>
          <w:t>-</w:t>
        </w:r>
        <w:r>
          <w:tab/>
        </w:r>
      </w:ins>
      <w:ins w:id="29" w:author="Simon Znaty" w:date="2026-01-27T16:59:00Z">
        <w:r>
          <w:t>Other network topology cases are not covered by this specification</w:t>
        </w:r>
      </w:ins>
      <w:r>
        <w:t>.</w:t>
      </w:r>
    </w:p>
    <w:p>
      <w:r>
        <w:t xml:space="preserve">When the target UE has multiple PDU sessions active, the generation and delivery of </w:t>
      </w:r>
      <w:proofErr w:type="spellStart"/>
      <w:r>
        <w:t>xCC</w:t>
      </w:r>
      <w:proofErr w:type="spellEnd"/>
      <w:r>
        <w:t xml:space="preserve"> for each PDU session shall be done independently, each with separate correlation information.</w:t>
      </w:r>
    </w:p>
    <w:p>
      <w:r>
        <w:t>When a target UE's PDU session involves multiple Data Network (DN) connections (</w:t>
      </w:r>
      <w:proofErr w:type="gramStart"/>
      <w:r>
        <w:t>i.e.</w:t>
      </w:r>
      <w:proofErr w:type="gramEnd"/>
      <w:r>
        <w:t xml:space="preserve"> multiple connections to the same DN as described in clause A.3 of the present document), the generation and delivery of </w:t>
      </w:r>
      <w:proofErr w:type="spellStart"/>
      <w:r>
        <w:t>xCC</w:t>
      </w:r>
      <w:proofErr w:type="spellEnd"/>
      <w:r>
        <w:t xml:space="preserve"> shall be done in such a way that:</w:t>
      </w:r>
    </w:p>
    <w:p>
      <w:pPr>
        <w:pStyle w:val="B1"/>
      </w:pPr>
      <w:r>
        <w:t>-</w:t>
      </w:r>
      <w:r>
        <w:tab/>
        <w:t>All applicable user plane packets are captured and delivered.</w:t>
      </w:r>
    </w:p>
    <w:p>
      <w:pPr>
        <w:pStyle w:val="B1"/>
      </w:pPr>
      <w:r>
        <w:t>-</w:t>
      </w:r>
      <w:r>
        <w:tab/>
        <w:t>Duplicate delivery of CC is suppressed to the extent possible.</w:t>
      </w:r>
    </w:p>
    <w:p>
      <w:pPr>
        <w:pStyle w:val="B1"/>
      </w:pPr>
      <w:r>
        <w:t>-</w:t>
      </w:r>
      <w:r>
        <w:tab/>
        <w:t>Each user plane packet is delivered with the associated DN Access Identifier (DNAI).</w:t>
      </w:r>
    </w:p>
    <w:p>
      <w:r>
        <w:t xml:space="preserve">A PDU session may involve more than one UPFs. In that case, the CC-TF present in the SMF shall determine which UPF(s) is (are) more suitable to provide the CC-POI functions adhering to the above requirements. Furthermore, independent of which UPF is used to generate the </w:t>
      </w:r>
      <w:proofErr w:type="spellStart"/>
      <w:r>
        <w:t>xCC</w:t>
      </w:r>
      <w:proofErr w:type="spellEnd"/>
      <w:r>
        <w:t>, the CC delivered from the MDF3 shall be correlated to the IRI messages related to the PDU session.</w:t>
      </w:r>
    </w:p>
    <w:p>
      <w:pPr>
        <w:keepNext/>
        <w:tabs>
          <w:tab w:val="left" w:pos="2565"/>
        </w:tabs>
      </w:pPr>
      <w:r>
        <w:t xml:space="preserve">Similarly, the CC-POI in the STF is responsible for providing the </w:t>
      </w:r>
      <w:proofErr w:type="spellStart"/>
      <w:r>
        <w:t>xCC</w:t>
      </w:r>
      <w:proofErr w:type="spellEnd"/>
      <w:r>
        <w:t xml:space="preserve"> for the target's communication traffic in a decrypted form.</w:t>
      </w:r>
    </w:p>
    <w:p>
      <w:pPr>
        <w:keepNext/>
        <w:tabs>
          <w:tab w:val="left" w:pos="2565"/>
        </w:tabs>
      </w:pPr>
      <w:r>
        <w:t>The remainder of the present clause provides details of IRI-intercept and, as applicable, CC-intercept of specific services encrypted by CSP-provided keys.</w:t>
      </w:r>
    </w:p>
    <w:p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 END OF SECOND CHANGE ***</w:t>
      </w:r>
    </w:p>
    <w:p>
      <w:pPr>
        <w:rPr>
          <w:rFonts w:ascii="Arial" w:hAnsi="Arial"/>
          <w:sz w:val="16"/>
          <w:szCs w:val="16"/>
        </w:rPr>
      </w:pPr>
    </w:p>
    <w:sectPr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18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14032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E21EC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547B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Windows Live" w15:userId="3db1df1b1620a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En-tt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styleId="Lienhypertexte">
    <w:name w:val="Hyperlink"/>
    <w:basedOn w:val="Policepardfaut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en-GB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</w:style>
  <w:style w:type="character" w:customStyle="1" w:styleId="CommentaireCar">
    <w:name w:val="Commentaire Car"/>
    <w:link w:val="Commentaire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/>
    </w:rPr>
  </w:style>
  <w:style w:type="paragraph" w:styleId="Lgende">
    <w:name w:val="caption"/>
    <w:basedOn w:val="Normal"/>
    <w:next w:val="Normal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Titre3Car">
    <w:name w:val="Titre 3 Car"/>
    <w:basedOn w:val="Policepardfaut"/>
    <w:link w:val="Titre3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paragraph" w:styleId="Corpsdetexte">
    <w:name w:val="Body Text"/>
    <w:basedOn w:val="Normal"/>
    <w:link w:val="CorpsdetexteCar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rPr>
      <w:rFonts w:ascii="Arial" w:hAnsi="Arial"/>
      <w:b/>
      <w:lang w:val="en-GB"/>
    </w:rPr>
  </w:style>
  <w:style w:type="paragraph" w:styleId="Liste">
    <w:name w:val="List"/>
    <w:basedOn w:val="Normal"/>
    <w:pPr>
      <w:ind w:left="568" w:hanging="284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Pr>
      <w:sz w:val="16"/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styleId="Listepuces">
    <w:name w:val="List Bullet"/>
    <w:basedOn w:val="Liste"/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Listenumros">
    <w:name w:val="List Number"/>
    <w:basedOn w:val="Liste"/>
  </w:style>
  <w:style w:type="paragraph" w:styleId="Listenumros2">
    <w:name w:val="List Number 2"/>
    <w:basedOn w:val="Listenumros"/>
    <w:pPr>
      <w:ind w:left="851"/>
    </w:pPr>
  </w:style>
  <w:style w:type="paragraph" w:customStyle="1" w:styleId="FL">
    <w:name w:val="FL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Pr>
      <w:lang w:val="en-GB"/>
    </w:rPr>
  </w:style>
  <w:style w:type="character" w:customStyle="1" w:styleId="Titre2Car">
    <w:name w:val="Titre 2 Car"/>
    <w:basedOn w:val="Policepardfaut"/>
    <w:link w:val="Titre2"/>
    <w:rPr>
      <w:rFonts w:ascii="Arial" w:hAnsi="Arial"/>
      <w:sz w:val="32"/>
      <w:lang w:val="en-GB"/>
    </w:rPr>
  </w:style>
  <w:style w:type="character" w:customStyle="1" w:styleId="EXCar">
    <w:name w:val="EX Car"/>
    <w:link w:val="EX"/>
    <w:rPr>
      <w:lang w:val="en-GB"/>
    </w:rPr>
  </w:style>
  <w:style w:type="character" w:styleId="Lienhypertextesuivivisit">
    <w:name w:val="FollowedHyperlink"/>
    <w:basedOn w:val="Policepardfaut"/>
    <w:semiHidden/>
    <w:unhideWhenUsed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Pr>
      <w:rFonts w:ascii="Arial" w:hAnsi="Arial"/>
      <w:sz w:val="36"/>
      <w:lang w:val="en-GB"/>
    </w:rPr>
  </w:style>
  <w:style w:type="character" w:customStyle="1" w:styleId="xgmail-msoins">
    <w:name w:val="x_gmail-msoins"/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Pr>
      <w:rFonts w:ascii="Arial Unicode MS" w:eastAsia="Courier New" w:hAnsi="Arial Unicode MS"/>
      <w:lang w:val="en-GB" w:eastAsia="x-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itre1Car">
    <w:name w:val="Titre 1 Car"/>
    <w:link w:val="Titre1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Pr>
      <w:lang w:val="en-GB"/>
    </w:rPr>
  </w:style>
  <w:style w:type="character" w:customStyle="1" w:styleId="EXChar">
    <w:name w:val="EX Char"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Pr>
      <w:rFonts w:ascii="Arial" w:hAnsi="Arial"/>
      <w:b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Policepardfaut"/>
  </w:style>
  <w:style w:type="table" w:styleId="Grilledutableau">
    <w:name w:val="Table Grid"/>
    <w:basedOn w:val="TableauNormal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Pr>
      <w:lang w:val="en-GB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CA"/>
    </w:rPr>
  </w:style>
  <w:style w:type="character" w:customStyle="1" w:styleId="cf01">
    <w:name w:val="cf01"/>
    <w:basedOn w:val="Policepardfaut"/>
    <w:rPr>
      <w:rFonts w:ascii="Segoe UI" w:hAnsi="Segoe UI" w:cs="Segoe UI" w:hint="default"/>
      <w:color w:val="0000FF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semiHidden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Pr>
      <w:lang w:val="en-GB"/>
    </w:rPr>
  </w:style>
  <w:style w:type="paragraph" w:styleId="Corpsdetexte3">
    <w:name w:val="Body Text 3"/>
    <w:basedOn w:val="Normal"/>
    <w:link w:val="Corpsdetexte3Car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Pr>
      <w:sz w:val="16"/>
      <w:szCs w:val="16"/>
      <w:lang w:val="en-GB"/>
    </w:rPr>
  </w:style>
  <w:style w:type="paragraph" w:styleId="Retrait1religne">
    <w:name w:val="Body Text First Indent"/>
    <w:basedOn w:val="Corpsdetexte"/>
    <w:link w:val="Retrait1religneCar"/>
    <w:pPr>
      <w:suppressAutoHyphens w:val="0"/>
      <w:spacing w:after="180"/>
      <w:ind w:firstLine="360"/>
      <w:jc w:val="left"/>
    </w:pPr>
    <w:rPr>
      <w:rFonts w:ascii="Times New Roman" w:hAnsi="Times New Roman" w:cs="Times New Roman"/>
      <w:sz w:val="20"/>
      <w:lang w:eastAsia="en-US"/>
    </w:rPr>
  </w:style>
  <w:style w:type="character" w:customStyle="1" w:styleId="Retrait1religneCar">
    <w:name w:val="Retrait 1re ligne Car"/>
    <w:basedOn w:val="CorpsdetexteCar"/>
    <w:link w:val="Retrait1religne"/>
    <w:rPr>
      <w:rFonts w:ascii="Arial" w:hAnsi="Arial" w:cs="Arial"/>
      <w:sz w:val="22"/>
      <w:lang w:val="en-GB" w:eastAsia="ar-SA"/>
    </w:rPr>
  </w:style>
  <w:style w:type="paragraph" w:styleId="Retraitcorpsdetexte">
    <w:name w:val="Body Text Indent"/>
    <w:basedOn w:val="Normal"/>
    <w:link w:val="RetraitcorpsdetexteCar"/>
    <w:semiHidden/>
    <w:unhideWhenUsed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rPr>
      <w:lang w:val="en-GB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pPr>
      <w:spacing w:after="1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Pr>
      <w:lang w:val="en-GB"/>
    </w:rPr>
  </w:style>
  <w:style w:type="paragraph" w:styleId="Retraitcorpsdetexte2">
    <w:name w:val="Body Text Indent 2"/>
    <w:basedOn w:val="Normal"/>
    <w:link w:val="Retraitcorpsdetexte2Car"/>
    <w:semiHidden/>
    <w:unhideWhenUsed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Pr>
      <w:lang w:val="en-GB"/>
    </w:rPr>
  </w:style>
  <w:style w:type="paragraph" w:styleId="Retraitcorpsdetexte3">
    <w:name w:val="Body Text Indent 3"/>
    <w:basedOn w:val="Normal"/>
    <w:link w:val="Retraitcorpsdetexte3Car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Pr>
      <w:sz w:val="16"/>
      <w:szCs w:val="16"/>
      <w:lang w:val="en-GB"/>
    </w:rPr>
  </w:style>
  <w:style w:type="paragraph" w:styleId="Formuledepolitesse">
    <w:name w:val="Closing"/>
    <w:basedOn w:val="Normal"/>
    <w:link w:val="FormuledepolitesseCar"/>
    <w:semiHidden/>
    <w:unhideWhenUsed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Pr>
      <w:lang w:val="en-GB"/>
    </w:rPr>
  </w:style>
  <w:style w:type="paragraph" w:styleId="Date">
    <w:name w:val="Date"/>
    <w:basedOn w:val="Normal"/>
    <w:next w:val="Normal"/>
    <w:link w:val="DateCar"/>
  </w:style>
  <w:style w:type="character" w:customStyle="1" w:styleId="DateCar">
    <w:name w:val="Date Car"/>
    <w:basedOn w:val="Policepardfaut"/>
    <w:link w:val="Date"/>
    <w:rPr>
      <w:lang w:val="en-GB"/>
    </w:rPr>
  </w:style>
  <w:style w:type="paragraph" w:styleId="Explorateurdedocuments">
    <w:name w:val="Document Map"/>
    <w:basedOn w:val="Normal"/>
    <w:link w:val="ExplorateurdedocumentsCar"/>
    <w:semiHidden/>
    <w:unhideWhenUsed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Pr>
      <w:rFonts w:ascii="Segoe UI" w:hAnsi="Segoe UI" w:cs="Segoe UI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semiHidden/>
    <w:unhideWhenUsed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semiHidden/>
    <w:rPr>
      <w:lang w:val="en-GB"/>
    </w:rPr>
  </w:style>
  <w:style w:type="paragraph" w:styleId="Notedefin">
    <w:name w:val="endnote text"/>
    <w:basedOn w:val="Normal"/>
    <w:link w:val="NotedefinCar"/>
    <w:semiHidden/>
    <w:unhideWhenUsed/>
    <w:pPr>
      <w:spacing w:after="0"/>
    </w:pPr>
  </w:style>
  <w:style w:type="character" w:customStyle="1" w:styleId="NotedefinCar">
    <w:name w:val="Note de fin Car"/>
    <w:basedOn w:val="Policepardfaut"/>
    <w:link w:val="Notedefin"/>
    <w:semiHidden/>
    <w:rPr>
      <w:lang w:val="en-GB"/>
    </w:rPr>
  </w:style>
  <w:style w:type="paragraph" w:styleId="Adressedestinatai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semiHidden/>
    <w:unhideWhenUsed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Pr>
      <w:i/>
      <w:iCs/>
      <w:lang w:val="en-GB"/>
    </w:rPr>
  </w:style>
  <w:style w:type="paragraph" w:styleId="Index3">
    <w:name w:val="index 3"/>
    <w:basedOn w:val="Normal"/>
    <w:next w:val="Normal"/>
    <w:semiHidden/>
    <w:unhideWhenUsed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pPr>
      <w:spacing w:after="0"/>
      <w:ind w:left="1800" w:hanging="200"/>
    </w:pPr>
  </w:style>
  <w:style w:type="paragraph" w:styleId="Titreindex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4472C4" w:themeColor="accent1"/>
      <w:lang w:val="en-GB"/>
    </w:rPr>
  </w:style>
  <w:style w:type="paragraph" w:styleId="Listecontinue">
    <w:name w:val="List Continue"/>
    <w:basedOn w:val="Normal"/>
    <w:semiHidden/>
    <w:unhideWhenUsed/>
    <w:pPr>
      <w:spacing w:after="120"/>
      <w:ind w:left="283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566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849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132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415"/>
      <w:contextualSpacing/>
    </w:pPr>
  </w:style>
  <w:style w:type="paragraph" w:styleId="Listenumros3">
    <w:name w:val="List Number 3"/>
    <w:basedOn w:val="Normal"/>
    <w:semiHidden/>
    <w:unhideWhenUsed/>
    <w:pPr>
      <w:numPr>
        <w:numId w:val="1"/>
      </w:numPr>
      <w:contextualSpacing/>
    </w:pPr>
  </w:style>
  <w:style w:type="paragraph" w:styleId="Listenumros4">
    <w:name w:val="List Number 4"/>
    <w:basedOn w:val="Normal"/>
    <w:semiHidden/>
    <w:unhideWhenUsed/>
    <w:pPr>
      <w:numPr>
        <w:numId w:val="2"/>
      </w:numPr>
      <w:contextualSpacing/>
    </w:pPr>
  </w:style>
  <w:style w:type="paragraph" w:styleId="Listenumros5">
    <w:name w:val="List Number 5"/>
    <w:basedOn w:val="Normal"/>
    <w:semiHidden/>
    <w:unhideWhenUsed/>
    <w:pPr>
      <w:numPr>
        <w:numId w:val="3"/>
      </w:numPr>
      <w:contextualSpacing/>
    </w:pPr>
  </w:style>
  <w:style w:type="paragraph" w:styleId="Textedemacro">
    <w:name w:val="macro"/>
    <w:link w:val="Textede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/>
    </w:rPr>
  </w:style>
  <w:style w:type="character" w:customStyle="1" w:styleId="TextedemacroCar">
    <w:name w:val="Texte de macro Car"/>
    <w:basedOn w:val="Policepardfaut"/>
    <w:link w:val="Textedemacro"/>
    <w:semiHidden/>
    <w:rPr>
      <w:rFonts w:ascii="Consolas" w:hAnsi="Consolas"/>
      <w:lang w:val="en-GB"/>
    </w:rPr>
  </w:style>
  <w:style w:type="paragraph" w:styleId="En-ttedemessage">
    <w:name w:val="Message Header"/>
    <w:basedOn w:val="Normal"/>
    <w:link w:val="En-ttedemessag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ormalWeb">
    <w:name w:val="Normal (Web)"/>
    <w:basedOn w:val="Normal"/>
    <w:semiHidden/>
    <w:unhideWhenUsed/>
    <w:rPr>
      <w:sz w:val="24"/>
      <w:szCs w:val="24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  <w:pPr>
      <w:spacing w:after="0"/>
    </w:pPr>
  </w:style>
  <w:style w:type="character" w:customStyle="1" w:styleId="TitredenoteCar">
    <w:name w:val="Titre de note Car"/>
    <w:basedOn w:val="Policepardfaut"/>
    <w:link w:val="Titredenote"/>
    <w:semiHidden/>
    <w:rPr>
      <w:lang w:val="en-GB"/>
    </w:rPr>
  </w:style>
  <w:style w:type="paragraph" w:styleId="Textebrut">
    <w:name w:val="Plain Text"/>
    <w:basedOn w:val="Normal"/>
    <w:link w:val="TextebrutCar"/>
    <w:semiHidden/>
    <w:unhideWhenUsed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Pr>
      <w:rFonts w:ascii="Consolas" w:hAnsi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  <w:lang w:val="en-GB"/>
    </w:rPr>
  </w:style>
  <w:style w:type="paragraph" w:styleId="Salutations">
    <w:name w:val="Salutation"/>
    <w:basedOn w:val="Normal"/>
    <w:next w:val="Normal"/>
    <w:link w:val="SalutationsCar"/>
  </w:style>
  <w:style w:type="character" w:customStyle="1" w:styleId="SalutationsCar">
    <w:name w:val="Salutations Car"/>
    <w:basedOn w:val="Policepardfaut"/>
    <w:link w:val="Salutations"/>
    <w:rPr>
      <w:lang w:val="en-GB"/>
    </w:rPr>
  </w:style>
  <w:style w:type="paragraph" w:styleId="Signature">
    <w:name w:val="Signature"/>
    <w:basedOn w:val="Normal"/>
    <w:link w:val="SignatureCar"/>
    <w:semiHidden/>
    <w:unhideWhenUsed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semiHidden/>
    <w:rPr>
      <w:lang w:val="en-GB"/>
    </w:rPr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desrfrencesjuridiques">
    <w:name w:val="table of authorities"/>
    <w:basedOn w:val="Normal"/>
    <w:next w:val="Normal"/>
    <w:semiHidden/>
    <w:unhideWhenUsed/>
    <w:pPr>
      <w:spacing w:after="0"/>
      <w:ind w:left="200" w:hanging="200"/>
    </w:pPr>
  </w:style>
  <w:style w:type="paragraph" w:styleId="Tabledesillustrations">
    <w:name w:val="table of figures"/>
    <w:basedOn w:val="Normal"/>
    <w:next w:val="Normal"/>
    <w:semiHidden/>
    <w:unhideWhenUsed/>
    <w:pPr>
      <w:spacing w:after="0"/>
    </w:pPr>
  </w:style>
  <w:style w:type="paragraph" w:styleId="Titre">
    <w:name w:val="Title"/>
    <w:basedOn w:val="Normal"/>
    <w:next w:val="Normal"/>
    <w:link w:val="TitreC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3B53C-1954-43E9-ACAD-BF16BC11A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2d168d-d670-4add-a8d0-a1b93607f0cd}" enabled="1" method="Standard" siteId="{bcd8254a-5029-4a8c-a07a-e0beffe737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5" baseType="lpstr">
      <vt:lpstr>TS 33.127</vt:lpstr>
      <vt:lpstr>TS 33.127</vt:lpstr>
      <vt:lpstr>TS 33.127</vt:lpstr>
      <vt:lpstr/>
      <vt:lpstr/>
    </vt:vector>
  </TitlesOfParts>
  <Company/>
  <LinksUpToDate>false</LinksUpToDate>
  <CharactersWithSpaces>5225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33.127</dc:title>
  <dc:subject>Lawful Interception (LI) architecture and functions</dc:subject>
  <dc:creator>Carmine Rizzo</dc:creator>
  <cp:keywords/>
  <dc:description/>
  <cp:lastModifiedBy>COURBON Pierre</cp:lastModifiedBy>
  <cp:revision>2</cp:revision>
  <cp:lastPrinted>2018-12-17T13:30:00Z</cp:lastPrinted>
  <dcterms:created xsi:type="dcterms:W3CDTF">2026-01-27T17:20:00Z</dcterms:created>
  <dcterms:modified xsi:type="dcterms:W3CDTF">2026-01-27T17:20:00Z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