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A" w:rsidRPr="0002099B" w:rsidRDefault="0002099B" w:rsidP="00266C3C">
      <w:pPr>
        <w:pStyle w:val="a6"/>
        <w:numPr>
          <w:ilvl w:val="0"/>
          <w:numId w:val="1"/>
        </w:numPr>
        <w:snapToGrid w:val="0"/>
        <w:spacing w:line="240" w:lineRule="auto"/>
        <w:ind w:left="-709" w:firstLineChars="0" w:hanging="357"/>
        <w:rPr>
          <w:b/>
          <w:sz w:val="28"/>
        </w:rPr>
      </w:pPr>
      <w:r w:rsidRPr="0002099B">
        <w:rPr>
          <w:rFonts w:hint="eastAsia"/>
          <w:b/>
          <w:sz w:val="28"/>
        </w:rPr>
        <w:t xml:space="preserve">Slice priority opinion collection </w:t>
      </w:r>
      <w:r w:rsidR="00D978C8" w:rsidRPr="00D978C8">
        <w:rPr>
          <w:b/>
          <w:sz w:val="28"/>
        </w:rPr>
        <w:t>(please state the opinion clearly by using accept, object, can live with it)</w:t>
      </w:r>
    </w:p>
    <w:tbl>
      <w:tblPr>
        <w:tblStyle w:val="a5"/>
        <w:tblpPr w:leftFromText="180" w:rightFromText="180" w:vertAnchor="page" w:horzAnchor="margin" w:tblpXSpec="center" w:tblpY="2321"/>
        <w:tblW w:w="10490" w:type="dxa"/>
        <w:tblLayout w:type="fixed"/>
        <w:tblLook w:val="04A0"/>
      </w:tblPr>
      <w:tblGrid>
        <w:gridCol w:w="1276"/>
        <w:gridCol w:w="2093"/>
        <w:gridCol w:w="2585"/>
        <w:gridCol w:w="4536"/>
      </w:tblGrid>
      <w:tr w:rsidR="00193611" w:rsidTr="00193611">
        <w:tc>
          <w:tcPr>
            <w:tcW w:w="1276" w:type="dxa"/>
            <w:shd w:val="clear" w:color="auto" w:fill="C6D9F1" w:themeFill="text2" w:themeFillTint="33"/>
          </w:tcPr>
          <w:p w:rsidR="00193611" w:rsidRDefault="00193611" w:rsidP="00193611">
            <w:pPr>
              <w:ind w:left="0" w:firstLine="0"/>
              <w:jc w:val="left"/>
            </w:pPr>
          </w:p>
        </w:tc>
        <w:tc>
          <w:tcPr>
            <w:tcW w:w="9214" w:type="dxa"/>
            <w:gridSpan w:val="3"/>
            <w:shd w:val="clear" w:color="auto" w:fill="C6D9F1" w:themeFill="text2" w:themeFillTint="33"/>
          </w:tcPr>
          <w:p w:rsidR="00193611" w:rsidRDefault="00193611" w:rsidP="00193611">
            <w:pPr>
              <w:ind w:left="0" w:firstLine="0"/>
              <w:jc w:val="center"/>
            </w:pPr>
            <w:r>
              <w:t>S</w:t>
            </w:r>
            <w:r>
              <w:rPr>
                <w:rFonts w:hint="eastAsia"/>
              </w:rPr>
              <w:t>lice priority</w:t>
            </w:r>
          </w:p>
        </w:tc>
      </w:tr>
      <w:tr w:rsidR="00193611" w:rsidRPr="003966C4" w:rsidTr="00193611">
        <w:tc>
          <w:tcPr>
            <w:tcW w:w="1276" w:type="dxa"/>
          </w:tcPr>
          <w:p w:rsidR="00193611" w:rsidRPr="003966C4" w:rsidRDefault="00193611" w:rsidP="00193611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>C</w:t>
            </w:r>
            <w:r w:rsidRPr="003966C4">
              <w:rPr>
                <w:rFonts w:hint="eastAsia"/>
                <w:b/>
                <w:sz w:val="18"/>
              </w:rPr>
              <w:t>ompany Name</w:t>
            </w:r>
          </w:p>
        </w:tc>
        <w:tc>
          <w:tcPr>
            <w:tcW w:w="2093" w:type="dxa"/>
          </w:tcPr>
          <w:p w:rsidR="00193611" w:rsidRPr="003966C4" w:rsidRDefault="00193611" w:rsidP="00193611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>UE implementation</w:t>
            </w:r>
          </w:p>
          <w:p w:rsidR="00193611" w:rsidRPr="003966C4" w:rsidRDefault="00193611" w:rsidP="00193611">
            <w:pPr>
              <w:ind w:left="0" w:firstLine="0"/>
              <w:rPr>
                <w:b/>
                <w:sz w:val="18"/>
              </w:rPr>
            </w:pPr>
            <w:r w:rsidRPr="003966C4">
              <w:rPr>
                <w:rFonts w:hint="eastAsia"/>
                <w:b/>
                <w:sz w:val="18"/>
              </w:rPr>
              <w:t>(</w:t>
            </w:r>
            <w:r w:rsidRPr="003966C4">
              <w:rPr>
                <w:b/>
                <w:sz w:val="18"/>
              </w:rPr>
              <w:t>SP-220301</w:t>
            </w:r>
            <w:r w:rsidRPr="003966C4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2585" w:type="dxa"/>
          </w:tcPr>
          <w:p w:rsidR="00193611" w:rsidRPr="003966C4" w:rsidRDefault="00193611" w:rsidP="00193611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 xml:space="preserve">RAN control </w:t>
            </w:r>
            <w:r w:rsidR="00F547EB">
              <w:rPr>
                <w:b/>
                <w:sz w:val="18"/>
              </w:rPr>
              <w:t>via</w:t>
            </w:r>
            <w:r w:rsidR="00F547EB" w:rsidRPr="003966C4">
              <w:rPr>
                <w:rFonts w:hint="eastAsia"/>
                <w:b/>
                <w:sz w:val="18"/>
              </w:rPr>
              <w:t xml:space="preserve"> </w:t>
            </w:r>
            <w:r w:rsidR="00F547EB">
              <w:rPr>
                <w:b/>
                <w:sz w:val="18"/>
              </w:rPr>
              <w:t>RRC release</w:t>
            </w:r>
          </w:p>
          <w:p w:rsidR="00193611" w:rsidRPr="003966C4" w:rsidRDefault="00193611" w:rsidP="00193611">
            <w:pPr>
              <w:ind w:left="0" w:firstLine="0"/>
              <w:rPr>
                <w:b/>
                <w:sz w:val="18"/>
              </w:rPr>
            </w:pPr>
            <w:r w:rsidRPr="003966C4">
              <w:rPr>
                <w:rFonts w:hint="eastAsia"/>
                <w:b/>
                <w:sz w:val="18"/>
              </w:rPr>
              <w:t>(</w:t>
            </w:r>
            <w:r w:rsidRPr="003966C4">
              <w:rPr>
                <w:b/>
                <w:sz w:val="18"/>
              </w:rPr>
              <w:t>SP-220319</w:t>
            </w:r>
            <w:r w:rsidRPr="003966C4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4536" w:type="dxa"/>
          </w:tcPr>
          <w:p w:rsidR="00193611" w:rsidRPr="003966C4" w:rsidRDefault="00193611" w:rsidP="00193611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>5GC control</w:t>
            </w:r>
            <w:r w:rsidR="00F547EB">
              <w:rPr>
                <w:b/>
                <w:sz w:val="18"/>
              </w:rPr>
              <w:t xml:space="preserve"> via NAS signaling</w:t>
            </w:r>
          </w:p>
          <w:p w:rsidR="00193611" w:rsidRPr="003966C4" w:rsidRDefault="00193611" w:rsidP="00F547EB">
            <w:pPr>
              <w:ind w:left="0" w:firstLine="0"/>
              <w:rPr>
                <w:b/>
                <w:sz w:val="18"/>
              </w:rPr>
            </w:pPr>
            <w:r w:rsidRPr="003966C4">
              <w:rPr>
                <w:rFonts w:hint="eastAsia"/>
                <w:b/>
                <w:sz w:val="18"/>
              </w:rPr>
              <w:t xml:space="preserve">(No solution </w:t>
            </w:r>
            <w:r w:rsidR="00F547EB">
              <w:rPr>
                <w:b/>
                <w:sz w:val="18"/>
              </w:rPr>
              <w:t>yet available</w:t>
            </w:r>
            <w:r w:rsidRPr="003966C4">
              <w:rPr>
                <w:rFonts w:hint="eastAsia"/>
                <w:b/>
                <w:sz w:val="18"/>
              </w:rPr>
              <w:t>)</w:t>
            </w:r>
          </w:p>
        </w:tc>
      </w:tr>
      <w:tr w:rsidR="00193611" w:rsidTr="00193611">
        <w:tc>
          <w:tcPr>
            <w:tcW w:w="1276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093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585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4536" w:type="dxa"/>
          </w:tcPr>
          <w:p w:rsidR="00193611" w:rsidRDefault="00193611" w:rsidP="00193611">
            <w:pPr>
              <w:ind w:left="0" w:firstLine="0"/>
            </w:pPr>
          </w:p>
        </w:tc>
      </w:tr>
      <w:tr w:rsidR="00193611" w:rsidTr="00193611">
        <w:tc>
          <w:tcPr>
            <w:tcW w:w="1276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093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585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4536" w:type="dxa"/>
          </w:tcPr>
          <w:p w:rsidR="00193611" w:rsidRDefault="00193611" w:rsidP="00193611">
            <w:pPr>
              <w:ind w:left="0" w:firstLine="0"/>
            </w:pPr>
          </w:p>
        </w:tc>
      </w:tr>
      <w:tr w:rsidR="00193611" w:rsidTr="00193611">
        <w:tc>
          <w:tcPr>
            <w:tcW w:w="1276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093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585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4536" w:type="dxa"/>
          </w:tcPr>
          <w:p w:rsidR="00193611" w:rsidRDefault="00193611" w:rsidP="00193611">
            <w:pPr>
              <w:ind w:left="0" w:firstLine="0"/>
            </w:pPr>
          </w:p>
        </w:tc>
      </w:tr>
      <w:tr w:rsidR="00193611" w:rsidTr="00193611">
        <w:tc>
          <w:tcPr>
            <w:tcW w:w="1276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093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585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4536" w:type="dxa"/>
          </w:tcPr>
          <w:p w:rsidR="00193611" w:rsidRDefault="00193611" w:rsidP="00193611">
            <w:pPr>
              <w:ind w:left="0" w:firstLine="0"/>
            </w:pPr>
          </w:p>
        </w:tc>
      </w:tr>
      <w:tr w:rsidR="00193611" w:rsidTr="00193611">
        <w:tc>
          <w:tcPr>
            <w:tcW w:w="1276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093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585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4536" w:type="dxa"/>
          </w:tcPr>
          <w:p w:rsidR="00193611" w:rsidRDefault="00193611" w:rsidP="00193611">
            <w:pPr>
              <w:ind w:left="0" w:firstLine="0"/>
            </w:pPr>
          </w:p>
        </w:tc>
      </w:tr>
      <w:tr w:rsidR="00193611" w:rsidTr="00193611">
        <w:tc>
          <w:tcPr>
            <w:tcW w:w="1276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093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2585" w:type="dxa"/>
          </w:tcPr>
          <w:p w:rsidR="00193611" w:rsidRDefault="00193611" w:rsidP="00193611">
            <w:pPr>
              <w:ind w:left="0" w:firstLine="0"/>
            </w:pPr>
          </w:p>
        </w:tc>
        <w:tc>
          <w:tcPr>
            <w:tcW w:w="4536" w:type="dxa"/>
          </w:tcPr>
          <w:p w:rsidR="00193611" w:rsidRDefault="00193611" w:rsidP="00193611">
            <w:pPr>
              <w:ind w:left="0" w:firstLine="0"/>
            </w:pPr>
          </w:p>
        </w:tc>
      </w:tr>
    </w:tbl>
    <w:p w:rsidR="0015697F" w:rsidRDefault="0015697F"/>
    <w:p w:rsidR="0015697F" w:rsidRPr="00E25A5E" w:rsidRDefault="0015697F" w:rsidP="00266C3C">
      <w:pPr>
        <w:pStyle w:val="a6"/>
        <w:numPr>
          <w:ilvl w:val="0"/>
          <w:numId w:val="1"/>
        </w:numPr>
        <w:snapToGrid w:val="0"/>
        <w:spacing w:line="240" w:lineRule="auto"/>
        <w:ind w:left="-709" w:firstLineChars="0" w:hanging="357"/>
        <w:rPr>
          <w:b/>
          <w:sz w:val="28"/>
        </w:rPr>
      </w:pPr>
      <w:r w:rsidRPr="00E25A5E">
        <w:rPr>
          <w:rFonts w:hint="eastAsia"/>
          <w:b/>
          <w:sz w:val="28"/>
        </w:rPr>
        <w:t xml:space="preserve">Slice Group </w:t>
      </w:r>
      <w:r w:rsidR="00E25A5E" w:rsidRPr="00E25A5E">
        <w:rPr>
          <w:b/>
          <w:sz w:val="28"/>
        </w:rPr>
        <w:t>opinion collection</w:t>
      </w:r>
      <w:r w:rsidR="00D978C8">
        <w:rPr>
          <w:rFonts w:hint="eastAsia"/>
          <w:b/>
          <w:sz w:val="28"/>
        </w:rPr>
        <w:t>(please state the opinion clearly by using accept, object, can live with it)</w:t>
      </w:r>
    </w:p>
    <w:tbl>
      <w:tblPr>
        <w:tblStyle w:val="a5"/>
        <w:tblW w:w="10490" w:type="dxa"/>
        <w:tblInd w:w="-1026" w:type="dxa"/>
        <w:tblLayout w:type="fixed"/>
        <w:tblLook w:val="04A0"/>
      </w:tblPr>
      <w:tblGrid>
        <w:gridCol w:w="1560"/>
        <w:gridCol w:w="1843"/>
        <w:gridCol w:w="2977"/>
        <w:gridCol w:w="4110"/>
      </w:tblGrid>
      <w:tr w:rsidR="0002099B" w:rsidTr="003966C4">
        <w:tc>
          <w:tcPr>
            <w:tcW w:w="1560" w:type="dxa"/>
            <w:shd w:val="clear" w:color="auto" w:fill="C6D9F1" w:themeFill="text2" w:themeFillTint="33"/>
          </w:tcPr>
          <w:p w:rsidR="0002099B" w:rsidRDefault="0002099B" w:rsidP="00A34537">
            <w:pPr>
              <w:ind w:left="0" w:firstLine="0"/>
              <w:jc w:val="left"/>
            </w:pPr>
          </w:p>
        </w:tc>
        <w:tc>
          <w:tcPr>
            <w:tcW w:w="8930" w:type="dxa"/>
            <w:gridSpan w:val="3"/>
            <w:shd w:val="clear" w:color="auto" w:fill="C6D9F1" w:themeFill="text2" w:themeFillTint="33"/>
          </w:tcPr>
          <w:p w:rsidR="0002099B" w:rsidRDefault="0002099B" w:rsidP="00A34537">
            <w:pPr>
              <w:ind w:left="0" w:firstLine="0"/>
              <w:jc w:val="center"/>
            </w:pPr>
            <w:r>
              <w:t>S</w:t>
            </w:r>
            <w:r>
              <w:rPr>
                <w:rFonts w:hint="eastAsia"/>
              </w:rPr>
              <w:t xml:space="preserve">lice </w:t>
            </w:r>
            <w:r w:rsidR="003966C4">
              <w:rPr>
                <w:rFonts w:hint="eastAsia"/>
              </w:rPr>
              <w:t>group granularity</w:t>
            </w:r>
          </w:p>
        </w:tc>
      </w:tr>
      <w:tr w:rsidR="0002099B" w:rsidRPr="003966C4" w:rsidTr="003966C4">
        <w:tc>
          <w:tcPr>
            <w:tcW w:w="1560" w:type="dxa"/>
          </w:tcPr>
          <w:p w:rsidR="0002099B" w:rsidRPr="003966C4" w:rsidRDefault="0002099B" w:rsidP="00A34537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>C</w:t>
            </w:r>
            <w:r w:rsidRPr="003966C4">
              <w:rPr>
                <w:rFonts w:hint="eastAsia"/>
                <w:b/>
                <w:sz w:val="18"/>
              </w:rPr>
              <w:t>ompany Name</w:t>
            </w:r>
          </w:p>
        </w:tc>
        <w:tc>
          <w:tcPr>
            <w:tcW w:w="1843" w:type="dxa"/>
          </w:tcPr>
          <w:p w:rsidR="0002099B" w:rsidRPr="003966C4" w:rsidRDefault="00D978C8" w:rsidP="00F547EB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>P</w:t>
            </w:r>
            <w:r w:rsidRPr="003966C4">
              <w:rPr>
                <w:rFonts w:hint="eastAsia"/>
                <w:b/>
                <w:sz w:val="18"/>
              </w:rPr>
              <w:t xml:space="preserve">er TA </w:t>
            </w:r>
            <w:r w:rsidR="00F547EB">
              <w:rPr>
                <w:b/>
                <w:sz w:val="18"/>
              </w:rPr>
              <w:t>granularity</w:t>
            </w:r>
            <w:r w:rsidR="00F547EB" w:rsidRPr="003966C4">
              <w:rPr>
                <w:rFonts w:hint="eastAsia"/>
                <w:b/>
                <w:sz w:val="18"/>
              </w:rPr>
              <w:t xml:space="preserve"> </w:t>
            </w:r>
            <w:r w:rsidRPr="003966C4">
              <w:rPr>
                <w:rFonts w:hint="eastAsia"/>
                <w:b/>
                <w:sz w:val="18"/>
              </w:rPr>
              <w:t xml:space="preserve">to configure the UE </w:t>
            </w:r>
            <w:r w:rsidR="0002099B" w:rsidRPr="003966C4">
              <w:rPr>
                <w:rFonts w:hint="eastAsia"/>
                <w:b/>
                <w:sz w:val="18"/>
              </w:rPr>
              <w:t>(</w:t>
            </w:r>
            <w:r w:rsidRPr="003966C4">
              <w:rPr>
                <w:b/>
                <w:sz w:val="18"/>
              </w:rPr>
              <w:t>SP-220302/220303</w:t>
            </w:r>
            <w:r w:rsidR="0002099B" w:rsidRPr="003966C4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2977" w:type="dxa"/>
          </w:tcPr>
          <w:p w:rsidR="0002099B" w:rsidRPr="003966C4" w:rsidRDefault="00D978C8" w:rsidP="00F547EB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 xml:space="preserve">Per PLMN </w:t>
            </w:r>
            <w:r w:rsidR="00F547EB">
              <w:rPr>
                <w:b/>
                <w:sz w:val="18"/>
              </w:rPr>
              <w:t>granularity</w:t>
            </w:r>
            <w:r w:rsidR="00F547EB" w:rsidRPr="003966C4">
              <w:rPr>
                <w:rFonts w:hint="eastAsia"/>
                <w:b/>
                <w:sz w:val="18"/>
              </w:rPr>
              <w:t xml:space="preserve"> </w:t>
            </w:r>
            <w:r w:rsidRPr="003966C4">
              <w:rPr>
                <w:rFonts w:hint="eastAsia"/>
                <w:b/>
                <w:sz w:val="18"/>
              </w:rPr>
              <w:t>to</w:t>
            </w:r>
            <w:r w:rsidRPr="003966C4">
              <w:rPr>
                <w:b/>
                <w:sz w:val="18"/>
              </w:rPr>
              <w:t xml:space="preserve"> configure the UE</w:t>
            </w:r>
            <w:r w:rsidRPr="003966C4">
              <w:rPr>
                <w:b/>
              </w:rPr>
              <w:t xml:space="preserve"> </w:t>
            </w:r>
            <w:r w:rsidRPr="003966C4">
              <w:rPr>
                <w:b/>
                <w:sz w:val="18"/>
              </w:rPr>
              <w:t>(SP-220317/220318)</w:t>
            </w:r>
          </w:p>
        </w:tc>
        <w:tc>
          <w:tcPr>
            <w:tcW w:w="4110" w:type="dxa"/>
          </w:tcPr>
          <w:p w:rsidR="0002099B" w:rsidRPr="003966C4" w:rsidRDefault="00D978C8" w:rsidP="00A34537">
            <w:pPr>
              <w:ind w:left="0" w:firstLine="0"/>
              <w:rPr>
                <w:b/>
                <w:sz w:val="18"/>
              </w:rPr>
            </w:pPr>
            <w:r w:rsidRPr="003966C4">
              <w:rPr>
                <w:rFonts w:hint="eastAsia"/>
                <w:b/>
                <w:sz w:val="18"/>
              </w:rPr>
              <w:t>Both TA and PLMN support(No such solution but we can work on this way</w:t>
            </w:r>
            <w:bookmarkStart w:id="0" w:name="_GoBack"/>
            <w:bookmarkEnd w:id="0"/>
            <w:r w:rsidRPr="003966C4">
              <w:rPr>
                <w:rFonts w:hint="eastAsia"/>
                <w:b/>
                <w:sz w:val="18"/>
              </w:rPr>
              <w:t xml:space="preserve"> </w:t>
            </w:r>
            <w:r w:rsidRPr="003966C4">
              <w:rPr>
                <w:b/>
                <w:sz w:val="18"/>
              </w:rPr>
              <w:t>I</w:t>
            </w:r>
            <w:r w:rsidRPr="003966C4">
              <w:rPr>
                <w:rFonts w:hint="eastAsia"/>
                <w:b/>
                <w:sz w:val="18"/>
              </w:rPr>
              <w:t>f most people can accept)</w:t>
            </w:r>
          </w:p>
        </w:tc>
      </w:tr>
      <w:tr w:rsidR="0002099B" w:rsidTr="003966C4">
        <w:tc>
          <w:tcPr>
            <w:tcW w:w="1560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1843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2977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4110" w:type="dxa"/>
          </w:tcPr>
          <w:p w:rsidR="0002099B" w:rsidRDefault="0002099B" w:rsidP="00A34537">
            <w:pPr>
              <w:ind w:left="0" w:firstLine="0"/>
            </w:pPr>
          </w:p>
        </w:tc>
      </w:tr>
      <w:tr w:rsidR="0002099B" w:rsidTr="003966C4">
        <w:tc>
          <w:tcPr>
            <w:tcW w:w="1560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1843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2977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4110" w:type="dxa"/>
          </w:tcPr>
          <w:p w:rsidR="0002099B" w:rsidRDefault="0002099B" w:rsidP="00A34537">
            <w:pPr>
              <w:ind w:left="0" w:firstLine="0"/>
            </w:pPr>
          </w:p>
        </w:tc>
      </w:tr>
      <w:tr w:rsidR="0002099B" w:rsidTr="003966C4">
        <w:tc>
          <w:tcPr>
            <w:tcW w:w="1560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1843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2977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4110" w:type="dxa"/>
          </w:tcPr>
          <w:p w:rsidR="0002099B" w:rsidRDefault="0002099B" w:rsidP="00A34537">
            <w:pPr>
              <w:ind w:left="0" w:firstLine="0"/>
            </w:pPr>
          </w:p>
        </w:tc>
      </w:tr>
      <w:tr w:rsidR="0002099B" w:rsidTr="003966C4">
        <w:tc>
          <w:tcPr>
            <w:tcW w:w="1560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1843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2977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4110" w:type="dxa"/>
          </w:tcPr>
          <w:p w:rsidR="0002099B" w:rsidRDefault="0002099B" w:rsidP="00A34537">
            <w:pPr>
              <w:ind w:left="0" w:firstLine="0"/>
            </w:pPr>
          </w:p>
        </w:tc>
      </w:tr>
      <w:tr w:rsidR="0002099B" w:rsidTr="003966C4">
        <w:tc>
          <w:tcPr>
            <w:tcW w:w="1560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1843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2977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4110" w:type="dxa"/>
          </w:tcPr>
          <w:p w:rsidR="0002099B" w:rsidRDefault="0002099B" w:rsidP="00A34537">
            <w:pPr>
              <w:ind w:left="0" w:firstLine="0"/>
            </w:pPr>
          </w:p>
        </w:tc>
      </w:tr>
      <w:tr w:rsidR="0002099B" w:rsidTr="003966C4">
        <w:tc>
          <w:tcPr>
            <w:tcW w:w="1560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1843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2977" w:type="dxa"/>
          </w:tcPr>
          <w:p w:rsidR="0002099B" w:rsidRDefault="0002099B" w:rsidP="00A34537">
            <w:pPr>
              <w:ind w:left="0" w:firstLine="0"/>
            </w:pPr>
          </w:p>
        </w:tc>
        <w:tc>
          <w:tcPr>
            <w:tcW w:w="4110" w:type="dxa"/>
          </w:tcPr>
          <w:p w:rsidR="0002099B" w:rsidRDefault="0002099B" w:rsidP="00A34537">
            <w:pPr>
              <w:ind w:left="0" w:firstLine="0"/>
            </w:pPr>
          </w:p>
        </w:tc>
      </w:tr>
    </w:tbl>
    <w:p w:rsidR="00266C3C" w:rsidRPr="00266C3C" w:rsidRDefault="00266C3C" w:rsidP="00266C3C">
      <w:pPr>
        <w:snapToGrid w:val="0"/>
        <w:spacing w:line="240" w:lineRule="auto"/>
        <w:ind w:left="0" w:firstLine="0"/>
        <w:rPr>
          <w:b/>
          <w:sz w:val="28"/>
        </w:rPr>
      </w:pPr>
    </w:p>
    <w:p w:rsidR="00266C3C" w:rsidRDefault="00266C3C" w:rsidP="00266C3C">
      <w:pPr>
        <w:pStyle w:val="a6"/>
        <w:snapToGrid w:val="0"/>
        <w:spacing w:line="240" w:lineRule="auto"/>
        <w:ind w:left="-709" w:firstLineChars="0" w:firstLine="0"/>
        <w:rPr>
          <w:b/>
          <w:sz w:val="28"/>
        </w:rPr>
      </w:pPr>
    </w:p>
    <w:p w:rsidR="003966C4" w:rsidRDefault="003966C4" w:rsidP="00266C3C">
      <w:pPr>
        <w:pStyle w:val="a6"/>
        <w:numPr>
          <w:ilvl w:val="0"/>
          <w:numId w:val="1"/>
        </w:numPr>
        <w:snapToGrid w:val="0"/>
        <w:spacing w:line="240" w:lineRule="auto"/>
        <w:ind w:left="-709" w:firstLineChars="0" w:hanging="357"/>
        <w:rPr>
          <w:b/>
          <w:sz w:val="28"/>
        </w:rPr>
      </w:pPr>
      <w:r>
        <w:rPr>
          <w:rFonts w:hint="eastAsia"/>
          <w:b/>
          <w:sz w:val="28"/>
        </w:rPr>
        <w:t>An S-NSSAI can be associated with multiple slice group per granularity</w:t>
      </w:r>
      <w:r w:rsidRPr="0002099B">
        <w:rPr>
          <w:rFonts w:hint="eastAsia"/>
          <w:b/>
          <w:sz w:val="28"/>
        </w:rPr>
        <w:t xml:space="preserve"> </w:t>
      </w:r>
      <w:r w:rsidRPr="00D978C8">
        <w:rPr>
          <w:b/>
          <w:sz w:val="28"/>
        </w:rPr>
        <w:t>(please state the opinion clearly by using accept, object, can live with it)</w:t>
      </w:r>
    </w:p>
    <w:p w:rsidR="003966C4" w:rsidRPr="00193611" w:rsidRDefault="003966C4" w:rsidP="00266C3C">
      <w:pPr>
        <w:pStyle w:val="a6"/>
        <w:ind w:left="-709" w:firstLineChars="0" w:firstLine="0"/>
        <w:rPr>
          <w:sz w:val="22"/>
        </w:rPr>
      </w:pPr>
      <w:r w:rsidRPr="00193611">
        <w:rPr>
          <w:rFonts w:hint="eastAsia"/>
          <w:sz w:val="22"/>
        </w:rPr>
        <w:t xml:space="preserve">NOTE: </w:t>
      </w:r>
      <w:r w:rsidRPr="00193611">
        <w:rPr>
          <w:sz w:val="22"/>
        </w:rPr>
        <w:t>this</w:t>
      </w:r>
      <w:r w:rsidRPr="00193611">
        <w:rPr>
          <w:rFonts w:hint="eastAsia"/>
          <w:sz w:val="22"/>
        </w:rPr>
        <w:t xml:space="preserve"> aspect is proposed because </w:t>
      </w:r>
      <w:r w:rsidR="003A0278">
        <w:rPr>
          <w:rFonts w:hint="eastAsia"/>
          <w:sz w:val="22"/>
        </w:rPr>
        <w:t>in RAN2 LS</w:t>
      </w:r>
      <w:r w:rsidR="003A0278">
        <w:rPr>
          <w:rFonts w:hint="eastAsia"/>
          <w:sz w:val="22"/>
        </w:rPr>
        <w:t>：</w:t>
      </w:r>
      <w:r w:rsidR="00757C8C" w:rsidRPr="00193611">
        <w:rPr>
          <w:sz w:val="22"/>
        </w:rPr>
        <w:t>“</w:t>
      </w:r>
      <w:r w:rsidR="00193611" w:rsidRPr="00193611">
        <w:rPr>
          <w:sz w:val="22"/>
        </w:rPr>
        <w:t>A slice is not associated with multiple slice groups for the same purpose within a slice to slice group mapping “granularity”. A slice can be associated at most with one slice group for RACH and with one slice group for reselection, within the same granularity</w:t>
      </w:r>
      <w:r w:rsidR="00520514">
        <w:rPr>
          <w:sz w:val="22"/>
        </w:rPr>
        <w:t>”</w:t>
      </w:r>
      <w:r w:rsidR="003A0278">
        <w:rPr>
          <w:rFonts w:hint="eastAsia"/>
          <w:sz w:val="22"/>
        </w:rPr>
        <w:t>.</w:t>
      </w:r>
      <w:r w:rsidR="00520514" w:rsidRPr="00520514">
        <w:rPr>
          <w:sz w:val="22"/>
        </w:rPr>
        <w:t xml:space="preserve"> </w:t>
      </w:r>
      <w:r w:rsidR="003A0278">
        <w:rPr>
          <w:rFonts w:hint="eastAsia"/>
          <w:sz w:val="22"/>
        </w:rPr>
        <w:t>While for SA2, we almost get the consensus that a</w:t>
      </w:r>
      <w:r w:rsidR="003A0278" w:rsidRPr="003A0278">
        <w:rPr>
          <w:sz w:val="22"/>
        </w:rPr>
        <w:t>n S-NSSAI can be associate</w:t>
      </w:r>
      <w:r w:rsidR="003A0278">
        <w:rPr>
          <w:sz w:val="22"/>
        </w:rPr>
        <w:t>d with more than two</w:t>
      </w:r>
      <w:r w:rsidR="00A61276">
        <w:rPr>
          <w:rFonts w:hint="eastAsia"/>
          <w:sz w:val="22"/>
        </w:rPr>
        <w:t xml:space="preserve"> (multiple)</w:t>
      </w:r>
      <w:r w:rsidR="003A0278">
        <w:rPr>
          <w:sz w:val="22"/>
        </w:rPr>
        <w:t xml:space="preserve"> slice groups</w:t>
      </w:r>
    </w:p>
    <w:tbl>
      <w:tblPr>
        <w:tblStyle w:val="a5"/>
        <w:tblW w:w="10490" w:type="dxa"/>
        <w:tblInd w:w="-1026" w:type="dxa"/>
        <w:tblLayout w:type="fixed"/>
        <w:tblLook w:val="04A0"/>
      </w:tblPr>
      <w:tblGrid>
        <w:gridCol w:w="1559"/>
        <w:gridCol w:w="4111"/>
        <w:gridCol w:w="4820"/>
      </w:tblGrid>
      <w:tr w:rsidR="003966C4" w:rsidTr="00FA47EA">
        <w:tc>
          <w:tcPr>
            <w:tcW w:w="1559" w:type="dxa"/>
            <w:shd w:val="clear" w:color="auto" w:fill="C6D9F1" w:themeFill="text2" w:themeFillTint="33"/>
          </w:tcPr>
          <w:p w:rsidR="003966C4" w:rsidRDefault="003966C4" w:rsidP="00A34537">
            <w:pPr>
              <w:ind w:left="0" w:firstLine="0"/>
              <w:jc w:val="left"/>
            </w:pPr>
          </w:p>
        </w:tc>
        <w:tc>
          <w:tcPr>
            <w:tcW w:w="8931" w:type="dxa"/>
            <w:gridSpan w:val="2"/>
            <w:shd w:val="clear" w:color="auto" w:fill="C6D9F1" w:themeFill="text2" w:themeFillTint="33"/>
          </w:tcPr>
          <w:p w:rsidR="003966C4" w:rsidRDefault="003966C4" w:rsidP="003966C4">
            <w:pPr>
              <w:ind w:left="0" w:firstLine="0"/>
              <w:jc w:val="center"/>
            </w:pPr>
            <w:r>
              <w:t>S</w:t>
            </w:r>
            <w:r>
              <w:rPr>
                <w:rFonts w:hint="eastAsia"/>
              </w:rPr>
              <w:t>lice group association</w:t>
            </w:r>
          </w:p>
        </w:tc>
      </w:tr>
      <w:tr w:rsidR="003966C4" w:rsidRPr="003966C4" w:rsidTr="003966C4">
        <w:tc>
          <w:tcPr>
            <w:tcW w:w="1559" w:type="dxa"/>
          </w:tcPr>
          <w:p w:rsidR="003966C4" w:rsidRPr="003966C4" w:rsidRDefault="003966C4" w:rsidP="00A34537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>C</w:t>
            </w:r>
            <w:r w:rsidRPr="003966C4">
              <w:rPr>
                <w:rFonts w:hint="eastAsia"/>
                <w:b/>
                <w:sz w:val="18"/>
              </w:rPr>
              <w:t>ompany Name</w:t>
            </w:r>
          </w:p>
        </w:tc>
        <w:tc>
          <w:tcPr>
            <w:tcW w:w="4111" w:type="dxa"/>
          </w:tcPr>
          <w:p w:rsidR="003966C4" w:rsidRPr="003966C4" w:rsidRDefault="003966C4" w:rsidP="003966C4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 xml:space="preserve">An S-NSSAI can be associated with </w:t>
            </w:r>
            <w:r w:rsidR="0087015B">
              <w:rPr>
                <w:rFonts w:hint="eastAsia"/>
                <w:b/>
                <w:sz w:val="18"/>
              </w:rPr>
              <w:t xml:space="preserve">none, </w:t>
            </w:r>
            <w:r w:rsidRPr="003966C4">
              <w:rPr>
                <w:b/>
                <w:sz w:val="18"/>
              </w:rPr>
              <w:t>one or two slice group</w:t>
            </w:r>
            <w:r w:rsidR="006F4AF7">
              <w:rPr>
                <w:rFonts w:hint="eastAsia"/>
                <w:b/>
                <w:sz w:val="18"/>
              </w:rPr>
              <w:t>s</w:t>
            </w:r>
          </w:p>
        </w:tc>
        <w:tc>
          <w:tcPr>
            <w:tcW w:w="4820" w:type="dxa"/>
          </w:tcPr>
          <w:p w:rsidR="003966C4" w:rsidRPr="003966C4" w:rsidRDefault="003966C4" w:rsidP="003966C4">
            <w:pPr>
              <w:ind w:left="0" w:firstLine="0"/>
              <w:rPr>
                <w:b/>
                <w:sz w:val="18"/>
              </w:rPr>
            </w:pPr>
            <w:r w:rsidRPr="003966C4">
              <w:rPr>
                <w:b/>
                <w:sz w:val="18"/>
              </w:rPr>
              <w:t xml:space="preserve">An S-NSSAI can be associated with </w:t>
            </w:r>
            <w:r>
              <w:rPr>
                <w:rFonts w:hint="eastAsia"/>
                <w:b/>
                <w:sz w:val="18"/>
              </w:rPr>
              <w:t>more than</w:t>
            </w:r>
            <w:r w:rsidRPr="003966C4">
              <w:rPr>
                <w:b/>
                <w:sz w:val="18"/>
              </w:rPr>
              <w:t xml:space="preserve"> two slice group</w:t>
            </w:r>
            <w:r w:rsidR="00DB5CD6">
              <w:rPr>
                <w:rFonts w:hint="eastAsia"/>
                <w:b/>
                <w:sz w:val="18"/>
              </w:rPr>
              <w:t>s</w:t>
            </w:r>
          </w:p>
        </w:tc>
      </w:tr>
      <w:tr w:rsidR="003966C4" w:rsidTr="003966C4">
        <w:tc>
          <w:tcPr>
            <w:tcW w:w="1559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111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820" w:type="dxa"/>
          </w:tcPr>
          <w:p w:rsidR="003966C4" w:rsidRDefault="003966C4" w:rsidP="00A34537">
            <w:pPr>
              <w:ind w:left="0" w:firstLine="0"/>
            </w:pPr>
          </w:p>
        </w:tc>
      </w:tr>
      <w:tr w:rsidR="003966C4" w:rsidTr="003966C4">
        <w:tc>
          <w:tcPr>
            <w:tcW w:w="1559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111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820" w:type="dxa"/>
          </w:tcPr>
          <w:p w:rsidR="003966C4" w:rsidRDefault="003966C4" w:rsidP="00A34537">
            <w:pPr>
              <w:ind w:left="0" w:firstLine="0"/>
            </w:pPr>
          </w:p>
        </w:tc>
      </w:tr>
      <w:tr w:rsidR="003966C4" w:rsidTr="003966C4">
        <w:tc>
          <w:tcPr>
            <w:tcW w:w="1559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111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820" w:type="dxa"/>
          </w:tcPr>
          <w:p w:rsidR="003966C4" w:rsidRDefault="003966C4" w:rsidP="00A34537">
            <w:pPr>
              <w:ind w:left="0" w:firstLine="0"/>
            </w:pPr>
          </w:p>
        </w:tc>
      </w:tr>
      <w:tr w:rsidR="003966C4" w:rsidTr="003966C4">
        <w:tc>
          <w:tcPr>
            <w:tcW w:w="1559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111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820" w:type="dxa"/>
          </w:tcPr>
          <w:p w:rsidR="003966C4" w:rsidRDefault="003966C4" w:rsidP="00A34537">
            <w:pPr>
              <w:ind w:left="0" w:firstLine="0"/>
            </w:pPr>
          </w:p>
        </w:tc>
      </w:tr>
      <w:tr w:rsidR="003966C4" w:rsidTr="003966C4">
        <w:tc>
          <w:tcPr>
            <w:tcW w:w="1559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111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820" w:type="dxa"/>
          </w:tcPr>
          <w:p w:rsidR="003966C4" w:rsidRDefault="003966C4" w:rsidP="00A34537">
            <w:pPr>
              <w:ind w:left="0" w:firstLine="0"/>
            </w:pPr>
          </w:p>
        </w:tc>
      </w:tr>
      <w:tr w:rsidR="003966C4" w:rsidTr="003966C4">
        <w:tc>
          <w:tcPr>
            <w:tcW w:w="1559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111" w:type="dxa"/>
          </w:tcPr>
          <w:p w:rsidR="003966C4" w:rsidRDefault="003966C4" w:rsidP="00A34537">
            <w:pPr>
              <w:ind w:left="0" w:firstLine="0"/>
            </w:pPr>
          </w:p>
        </w:tc>
        <w:tc>
          <w:tcPr>
            <w:tcW w:w="4820" w:type="dxa"/>
          </w:tcPr>
          <w:p w:rsidR="003966C4" w:rsidRDefault="003966C4" w:rsidP="00A34537">
            <w:pPr>
              <w:ind w:left="0" w:firstLine="0"/>
            </w:pPr>
          </w:p>
        </w:tc>
      </w:tr>
    </w:tbl>
    <w:p w:rsidR="0002099B" w:rsidRDefault="0002099B"/>
    <w:sectPr w:rsidR="0002099B" w:rsidSect="00397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6D" w:rsidRDefault="0098196D" w:rsidP="00333716">
      <w:pPr>
        <w:spacing w:line="240" w:lineRule="auto"/>
      </w:pPr>
      <w:r>
        <w:separator/>
      </w:r>
    </w:p>
  </w:endnote>
  <w:endnote w:type="continuationSeparator" w:id="0">
    <w:p w:rsidR="0098196D" w:rsidRDefault="0098196D" w:rsidP="003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6D" w:rsidRDefault="0098196D" w:rsidP="00333716">
      <w:pPr>
        <w:spacing w:line="240" w:lineRule="auto"/>
      </w:pPr>
      <w:r>
        <w:separator/>
      </w:r>
    </w:p>
  </w:footnote>
  <w:footnote w:type="continuationSeparator" w:id="0">
    <w:p w:rsidR="0098196D" w:rsidRDefault="0098196D" w:rsidP="003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1AD"/>
    <w:multiLevelType w:val="hybridMultilevel"/>
    <w:tmpl w:val="88E2BE62"/>
    <w:lvl w:ilvl="0" w:tplc="B2505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05">
    <w15:presenceInfo w15:providerId="None" w15:userId="ZTE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716"/>
    <w:rsid w:val="0002099B"/>
    <w:rsid w:val="0015697F"/>
    <w:rsid w:val="00193611"/>
    <w:rsid w:val="00266C3C"/>
    <w:rsid w:val="00333716"/>
    <w:rsid w:val="003966C4"/>
    <w:rsid w:val="0039721A"/>
    <w:rsid w:val="003A0278"/>
    <w:rsid w:val="004066FA"/>
    <w:rsid w:val="00455689"/>
    <w:rsid w:val="00520514"/>
    <w:rsid w:val="005A483A"/>
    <w:rsid w:val="005A5AE7"/>
    <w:rsid w:val="005A7EF8"/>
    <w:rsid w:val="006F4AF7"/>
    <w:rsid w:val="00757C8C"/>
    <w:rsid w:val="00817692"/>
    <w:rsid w:val="0087015B"/>
    <w:rsid w:val="008C4C39"/>
    <w:rsid w:val="0098196D"/>
    <w:rsid w:val="009847BF"/>
    <w:rsid w:val="009B23B8"/>
    <w:rsid w:val="00A61276"/>
    <w:rsid w:val="00C42465"/>
    <w:rsid w:val="00D476B4"/>
    <w:rsid w:val="00D978C8"/>
    <w:rsid w:val="00DB5CD6"/>
    <w:rsid w:val="00E25A5E"/>
    <w:rsid w:val="00F20EC6"/>
    <w:rsid w:val="00F547EB"/>
    <w:rsid w:val="00FE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71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716"/>
    <w:rPr>
      <w:sz w:val="18"/>
      <w:szCs w:val="18"/>
    </w:rPr>
  </w:style>
  <w:style w:type="table" w:styleId="a5">
    <w:name w:val="Table Grid"/>
    <w:basedOn w:val="a1"/>
    <w:uiPriority w:val="59"/>
    <w:rsid w:val="003337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099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547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47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1FE8-BE8D-4514-9EAD-90DC7A15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cmcc</cp:lastModifiedBy>
  <cp:revision>11</cp:revision>
  <dcterms:created xsi:type="dcterms:W3CDTF">2022-03-18T09:21:00Z</dcterms:created>
  <dcterms:modified xsi:type="dcterms:W3CDTF">2022-03-18T09:39:00Z</dcterms:modified>
</cp:coreProperties>
</file>