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1288" w14:textId="6CA60871"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14:paraId="6753E11E" w14:textId="6A4A4C90"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14:paraId="17F02374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728CCDAA" w14:textId="77777777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14:paraId="5BEB2735" w14:textId="34804A91"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>Handling of LS on IP address to GPSI translation (S2-2008358 / S6-202008)</w:t>
      </w:r>
    </w:p>
    <w:p w14:paraId="012DA567" w14:textId="38B96D60"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14:paraId="4F2F0D86" w14:textId="48805E9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14:paraId="5B26B4DB" w14:textId="37171EE4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14:paraId="76F51F6E" w14:textId="17ADE85A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14:paraId="34C3B20D" w14:textId="77777777" w:rsidR="0073440A" w:rsidRDefault="0073440A" w:rsidP="0073440A">
      <w:pPr>
        <w:pStyle w:val="Heading1"/>
        <w:rPr>
          <w:rFonts w:cs="Arial"/>
          <w:b/>
          <w:sz w:val="22"/>
        </w:rPr>
      </w:pPr>
      <w:r>
        <w:t>1 Discussion</w:t>
      </w:r>
    </w:p>
    <w:p w14:paraId="25F6EC4A" w14:textId="77777777" w:rsidR="00FA3091" w:rsidRPr="00FA3091" w:rsidRDefault="00FA3091" w:rsidP="00FA3091">
      <w:r>
        <w:t xml:space="preserve">there may be multiple answers about </w:t>
      </w:r>
      <w:r w:rsidRPr="00FA3091">
        <w:t>S2-</w:t>
      </w:r>
      <w:proofErr w:type="gramStart"/>
      <w:r w:rsidRPr="00FA3091">
        <w:t>2008358  =</w:t>
      </w:r>
      <w:proofErr w:type="gramEnd"/>
      <w:r w:rsidRPr="00FA3091">
        <w:t xml:space="preserve"> S6 </w:t>
      </w:r>
      <w:r>
        <w:t>LS on IP address to GPSI translation</w:t>
      </w:r>
    </w:p>
    <w:p w14:paraId="0CD39905" w14:textId="77777777" w:rsidR="00FA3091" w:rsidRP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</w:t>
      </w:r>
      <w:proofErr w:type="gramStart"/>
      <w:r>
        <w:rPr>
          <w:rFonts w:cs="Arial"/>
          <w:color w:val="000000"/>
          <w:lang w:val="en-GB"/>
        </w:rPr>
        <w:t>17 time</w:t>
      </w:r>
      <w:proofErr w:type="gramEnd"/>
      <w:r>
        <w:rPr>
          <w:rFonts w:cs="Arial"/>
          <w:color w:val="000000"/>
          <w:lang w:val="en-GB"/>
        </w:rPr>
        <w:t xml:space="preserve"> frame</w:t>
      </w:r>
    </w:p>
    <w:p w14:paraId="2CA208E5" w14:textId="77777777" w:rsidR="00FA309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 xml:space="preserve">SA2 Completes NEF API specification to support UE addressing information as UE identifier as much as possible but a statement tells that: “In this release the case of UE addressing information corresponding to </w:t>
      </w:r>
      <w:proofErr w:type="spellStart"/>
      <w:r>
        <w:rPr>
          <w:rFonts w:cs="Arial"/>
          <w:color w:val="000000"/>
          <w:lang w:val="en-GB"/>
        </w:rPr>
        <w:t>NATed</w:t>
      </w:r>
      <w:proofErr w:type="spellEnd"/>
      <w:r>
        <w:rPr>
          <w:rFonts w:cs="Arial"/>
          <w:color w:val="000000"/>
          <w:lang w:val="en-GB"/>
        </w:rPr>
        <w:t xml:space="preserve"> Traffic is not supported”</w:t>
      </w:r>
    </w:p>
    <w:p w14:paraId="5F3BF5E2" w14:textId="6EF61760" w:rsidR="00FA3091" w:rsidRPr="00717931" w:rsidRDefault="00FA3091" w:rsidP="00FA3091">
      <w:pPr>
        <w:pStyle w:val="ListParagraph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14:paraId="71EBA9D8" w14:textId="401D658A" w:rsidR="00717931" w:rsidRPr="00717931" w:rsidRDefault="00717931" w:rsidP="00FA3091">
      <w:pPr>
        <w:pStyle w:val="ListParagraph"/>
        <w:numPr>
          <w:ilvl w:val="0"/>
          <w:numId w:val="39"/>
        </w:numPr>
        <w:rPr>
          <w:rFonts w:cs="Arial"/>
          <w:color w:val="000000"/>
          <w:lang w:val="en-GB"/>
        </w:rPr>
      </w:pPr>
      <w:r w:rsidRPr="00717931">
        <w:rPr>
          <w:rFonts w:cs="Arial"/>
          <w:color w:val="000000"/>
          <w:lang w:val="en-GB"/>
        </w:rPr>
        <w:t>SA2 provides the exposure API to return a GPSI (if GPSI is available for the UE identified by IP address) when an IP address of the UE is provided.</w:t>
      </w:r>
    </w:p>
    <w:p w14:paraId="52927690" w14:textId="77777777" w:rsidR="0073440A" w:rsidRPr="00576CCF" w:rsidRDefault="0073440A" w:rsidP="0073440A">
      <w:pPr>
        <w:pStyle w:val="B1"/>
        <w:ind w:left="0" w:firstLine="0"/>
        <w:rPr>
          <w:rFonts w:ascii="Arial" w:hAnsi="Arial" w:cs="Arial"/>
          <w:b/>
        </w:rPr>
      </w:pPr>
    </w:p>
    <w:p w14:paraId="57DB43FC" w14:textId="77777777" w:rsidR="0073440A" w:rsidRDefault="0073440A" w:rsidP="0073440A">
      <w:pPr>
        <w:pStyle w:val="Heading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268"/>
      </w:tblGrid>
      <w:tr w:rsidR="004A7EEE" w:rsidRPr="004A7EEE" w14:paraId="40BF2174" w14:textId="77777777" w:rsidTr="004A7EEE">
        <w:tc>
          <w:tcPr>
            <w:tcW w:w="1101" w:type="dxa"/>
            <w:shd w:val="clear" w:color="auto" w:fill="auto"/>
          </w:tcPr>
          <w:p w14:paraId="3DC947A8" w14:textId="00491CE2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6DCEC7C1" w14:textId="11B655F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14:paraId="30D21B25" w14:textId="03693301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14:paraId="076820CE" w14:textId="59A9173A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Free text</w:t>
            </w:r>
          </w:p>
        </w:tc>
      </w:tr>
      <w:tr w:rsidR="004A7EEE" w14:paraId="17CF9220" w14:textId="77777777" w:rsidTr="004A7EEE">
        <w:tc>
          <w:tcPr>
            <w:tcW w:w="1101" w:type="dxa"/>
            <w:shd w:val="clear" w:color="auto" w:fill="auto"/>
          </w:tcPr>
          <w:p w14:paraId="7F7335D4" w14:textId="12C373E6" w:rsidR="00FA3091" w:rsidRPr="004A7EEE" w:rsidRDefault="00FA3091" w:rsidP="00EB25AF">
            <w:pPr>
              <w:rPr>
                <w:b/>
                <w:bCs/>
                <w:noProof/>
              </w:rPr>
            </w:pPr>
            <w:r w:rsidRPr="004A7EEE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14:paraId="01E50C4B" w14:textId="7F481709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14:paraId="4B15398A" w14:textId="7DD77CD6" w:rsidR="00FA3091" w:rsidRDefault="00FA3091" w:rsidP="00EB25AF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717931">
              <w:rPr>
                <w:noProof/>
              </w:rPr>
              <w:t>, 4</w:t>
            </w:r>
          </w:p>
        </w:tc>
        <w:tc>
          <w:tcPr>
            <w:tcW w:w="6268" w:type="dxa"/>
            <w:shd w:val="clear" w:color="auto" w:fill="auto"/>
          </w:tcPr>
          <w:p w14:paraId="1391888E" w14:textId="5E3087DE" w:rsidR="00FA3091" w:rsidRPr="004A7EEE" w:rsidRDefault="00FA3091" w:rsidP="00FA3091">
            <w:pPr>
              <w:rPr>
                <w:color w:val="auto"/>
                <w:lang w:eastAsia="en-US"/>
              </w:rPr>
            </w:pPr>
            <w:r>
              <w:t>it does not look to be a good idea to not handle in R17Application requests targeting an UE identified by UE addressing information when 3GPP claims Edge Computing is a flagship of R</w:t>
            </w:r>
            <w:proofErr w:type="gramStart"/>
            <w:r>
              <w:t>17 .</w:t>
            </w:r>
            <w:proofErr w:type="gramEnd"/>
            <w:r>
              <w:t xml:space="preserve"> Conversely R17 is more than full.</w:t>
            </w:r>
          </w:p>
          <w:p w14:paraId="513060F7" w14:textId="0659C9EC" w:rsidR="00FA3091" w:rsidRDefault="00FA3091" w:rsidP="00FA3091">
            <w:r>
              <w:t xml:space="preserve">Having said that, solving the issue of UE addressing information corresponding to </w:t>
            </w:r>
            <w:proofErr w:type="spellStart"/>
            <w:r>
              <w:t>NATed</w:t>
            </w:r>
            <w:proofErr w:type="spellEnd"/>
            <w:r>
              <w:t xml:space="preserve"> IP address may be a second level of discussion</w:t>
            </w:r>
          </w:p>
          <w:p w14:paraId="084D47FE" w14:textId="694A07A8" w:rsidR="00FA3091" w:rsidRDefault="00717931" w:rsidP="00717931">
            <w:pPr>
              <w:rPr>
                <w:noProof/>
              </w:rPr>
            </w:pPr>
            <w:bookmarkStart w:id="0" w:name="_Hlk55920249"/>
            <w:bookmarkStart w:id="1" w:name="_GoBack"/>
            <w:r>
              <w:t xml:space="preserve">As explained in </w:t>
            </w:r>
            <w:proofErr w:type="spellStart"/>
            <w:r>
              <w:t>nokia’s</w:t>
            </w:r>
            <w:proofErr w:type="spellEnd"/>
            <w:r>
              <w:t xml:space="preserve"> paper, providing </w:t>
            </w:r>
            <w:r w:rsidR="00DE1AE1">
              <w:t xml:space="preserve">back </w:t>
            </w:r>
            <w:r>
              <w:t xml:space="preserve">a GPSI </w:t>
            </w:r>
            <w:r w:rsidR="00DE1AE1">
              <w:t xml:space="preserve">to the AF </w:t>
            </w:r>
            <w:r>
              <w:t>as in alternative 4 does NOT solve the NAT or IP address overlap issues as anyhow Alternative 4 starts with the AF providing UE IP addressing information</w:t>
            </w:r>
            <w:bookmarkEnd w:id="0"/>
            <w:bookmarkEnd w:id="1"/>
          </w:p>
        </w:tc>
      </w:tr>
      <w:tr w:rsidR="004A7EEE" w14:paraId="55D1DF8B" w14:textId="77777777" w:rsidTr="004A7EEE">
        <w:tc>
          <w:tcPr>
            <w:tcW w:w="1101" w:type="dxa"/>
            <w:shd w:val="clear" w:color="auto" w:fill="auto"/>
          </w:tcPr>
          <w:p w14:paraId="1125879B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7CFFEB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316B1E7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57CF50D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6E796803" w14:textId="77777777" w:rsidTr="004A7EEE">
        <w:tc>
          <w:tcPr>
            <w:tcW w:w="1101" w:type="dxa"/>
            <w:shd w:val="clear" w:color="auto" w:fill="auto"/>
          </w:tcPr>
          <w:p w14:paraId="6F79C005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2CC86891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F605A1F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E6E09C3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6EE2B2" w14:textId="77777777" w:rsidTr="004A7EEE">
        <w:tc>
          <w:tcPr>
            <w:tcW w:w="1101" w:type="dxa"/>
            <w:shd w:val="clear" w:color="auto" w:fill="auto"/>
          </w:tcPr>
          <w:p w14:paraId="429823B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19E06A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06722E35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5634C31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2DAF166A" w14:textId="77777777" w:rsidTr="004A7EEE">
        <w:tc>
          <w:tcPr>
            <w:tcW w:w="1101" w:type="dxa"/>
            <w:shd w:val="clear" w:color="auto" w:fill="auto"/>
          </w:tcPr>
          <w:p w14:paraId="11FB99EA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7C4C51EA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6EF68C9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79939459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419C1FD" w14:textId="77777777" w:rsidTr="004A7EEE">
        <w:tc>
          <w:tcPr>
            <w:tcW w:w="1101" w:type="dxa"/>
            <w:shd w:val="clear" w:color="auto" w:fill="auto"/>
          </w:tcPr>
          <w:p w14:paraId="30FBB28E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42FDC774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1CD98D2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6107D240" w14:textId="77777777" w:rsidR="00FA3091" w:rsidRDefault="00FA3091" w:rsidP="00EB25AF">
            <w:pPr>
              <w:rPr>
                <w:noProof/>
              </w:rPr>
            </w:pPr>
          </w:p>
        </w:tc>
      </w:tr>
      <w:tr w:rsidR="004A7EEE" w14:paraId="023B8296" w14:textId="77777777" w:rsidTr="004A7EEE">
        <w:tc>
          <w:tcPr>
            <w:tcW w:w="1101" w:type="dxa"/>
            <w:shd w:val="clear" w:color="auto" w:fill="auto"/>
          </w:tcPr>
          <w:p w14:paraId="6B33A721" w14:textId="77777777" w:rsidR="00FA3091" w:rsidRPr="004A7EEE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79F7AE0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14:paraId="7C39ADC7" w14:textId="77777777" w:rsidR="00FA3091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14:paraId="4BCC934B" w14:textId="77777777" w:rsidR="00FA3091" w:rsidRDefault="00FA3091" w:rsidP="00EB25AF">
            <w:pPr>
              <w:rPr>
                <w:noProof/>
              </w:rPr>
            </w:pPr>
          </w:p>
        </w:tc>
      </w:tr>
    </w:tbl>
    <w:p w14:paraId="648D655E" w14:textId="14770B46" w:rsidR="00EB25AF" w:rsidRDefault="00EB25AF" w:rsidP="00EB25AF">
      <w:pPr>
        <w:rPr>
          <w:noProof/>
        </w:rPr>
      </w:pPr>
    </w:p>
    <w:p w14:paraId="1F76C6AE" w14:textId="77777777" w:rsidR="00EB25AF" w:rsidRPr="00B56148" w:rsidRDefault="00EB25AF" w:rsidP="00EB25AF"/>
    <w:p w14:paraId="2AB0BA88" w14:textId="160DE75C"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58F0CB85" w14:textId="77777777" w:rsidR="00EB25AF" w:rsidRDefault="00EB25AF" w:rsidP="00EB25AF">
      <w:pPr>
        <w:rPr>
          <w:noProof/>
        </w:rPr>
      </w:pPr>
    </w:p>
    <w:p w14:paraId="28BC9E89" w14:textId="77777777" w:rsidR="00EB25AF" w:rsidRDefault="00EB25AF" w:rsidP="00EB25AF">
      <w:pPr>
        <w:rPr>
          <w:noProof/>
        </w:rPr>
      </w:pPr>
    </w:p>
    <w:p w14:paraId="671AB2DA" w14:textId="77777777"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4BDA" w14:textId="77777777" w:rsidR="00343ED5" w:rsidRDefault="00343ED5">
      <w:r>
        <w:separator/>
      </w:r>
    </w:p>
    <w:p w14:paraId="5DBDACE1" w14:textId="77777777" w:rsidR="00343ED5" w:rsidRDefault="00343ED5"/>
  </w:endnote>
  <w:endnote w:type="continuationSeparator" w:id="0">
    <w:p w14:paraId="5E474CB9" w14:textId="77777777" w:rsidR="00343ED5" w:rsidRDefault="00343ED5">
      <w:r>
        <w:continuationSeparator/>
      </w:r>
    </w:p>
    <w:p w14:paraId="7057491E" w14:textId="77777777" w:rsidR="00343ED5" w:rsidRDefault="00343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B213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4EB284A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C759138" w14:textId="77777777"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3DAAC" w14:textId="77777777" w:rsidR="00343ED5" w:rsidRDefault="00343ED5">
      <w:r>
        <w:separator/>
      </w:r>
    </w:p>
    <w:p w14:paraId="65D8C7E8" w14:textId="77777777" w:rsidR="00343ED5" w:rsidRDefault="00343ED5"/>
  </w:footnote>
  <w:footnote w:type="continuationSeparator" w:id="0">
    <w:p w14:paraId="0B0A783E" w14:textId="77777777" w:rsidR="00343ED5" w:rsidRDefault="00343ED5">
      <w:r>
        <w:continuationSeparator/>
      </w:r>
    </w:p>
    <w:p w14:paraId="2BB3A30A" w14:textId="77777777" w:rsidR="00343ED5" w:rsidRDefault="00343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71D8" w14:textId="77777777" w:rsidR="00554E12" w:rsidRDefault="00554E12"/>
  <w:p w14:paraId="40C83FFD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ECAA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861603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861603">
      <w:rPr>
        <w:rFonts w:ascii="Arial" w:hAnsi="Arial" w:cs="Arial"/>
        <w:b/>
        <w:bCs/>
        <w:sz w:val="18"/>
        <w:lang w:val="fr-FR"/>
      </w:rPr>
      <w:t xml:space="preserve"> Document</w:t>
    </w:r>
  </w:p>
  <w:p w14:paraId="7A2F0FBE" w14:textId="77777777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204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7BF1FE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2"/>
  </w:num>
  <w:num w:numId="5">
    <w:abstractNumId w:val="30"/>
  </w:num>
  <w:num w:numId="6">
    <w:abstractNumId w:val="34"/>
  </w:num>
  <w:num w:numId="7">
    <w:abstractNumId w:val="24"/>
  </w:num>
  <w:num w:numId="8">
    <w:abstractNumId w:val="26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1"/>
  </w:num>
  <w:num w:numId="16">
    <w:abstractNumId w:val="27"/>
  </w:num>
  <w:num w:numId="17">
    <w:abstractNumId w:val="22"/>
  </w:num>
  <w:num w:numId="18">
    <w:abstractNumId w:val="28"/>
  </w:num>
  <w:num w:numId="19">
    <w:abstractNumId w:val="10"/>
  </w:num>
  <w:num w:numId="20">
    <w:abstractNumId w:val="36"/>
  </w:num>
  <w:num w:numId="21">
    <w:abstractNumId w:val="16"/>
  </w:num>
  <w:num w:numId="22">
    <w:abstractNumId w:val="19"/>
  </w:num>
  <w:num w:numId="23">
    <w:abstractNumId w:val="35"/>
  </w:num>
  <w:num w:numId="24">
    <w:abstractNumId w:val="15"/>
  </w:num>
  <w:num w:numId="25">
    <w:abstractNumId w:val="33"/>
  </w:num>
  <w:num w:numId="26">
    <w:abstractNumId w:val="18"/>
  </w:num>
  <w:num w:numId="27">
    <w:abstractNumId w:val="3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ED5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931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1AE1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070B1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7594-79FD-4FCA-82FF-21650D5B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Titre</vt:lpstr>
      </vt:variant>
      <vt:variant>
        <vt:i4>1</vt:i4>
      </vt:variant>
    </vt:vector>
  </HeadingPairs>
  <TitlesOfParts>
    <vt:vector size="9" baseType="lpstr">
      <vt:lpstr>SA WG2 Temporary Document</vt:lpstr>
      <vt:lpstr>Oct 12th – 23rd, 2020 ; Elbonia                   		 	(revision of S2-200)</vt:lpstr>
      <vt:lpstr>1 Discussion</vt:lpstr>
      <vt:lpstr>2 Proposal</vt:lpstr>
      <vt:lpstr>    6.X	Solution #X: &lt;Solution Title&gt;</vt:lpstr>
      <vt:lpstr>        6.X.1	Description</vt:lpstr>
      <vt:lpstr>        6.X.2	Procedures</vt:lpstr>
      <vt:lpstr>        6.X.3	Impacts on Existing Nodes and Functionality</vt:lpstr>
      <vt:lpstr>SA WG2 Temporary Document</vt:lpstr>
    </vt:vector>
  </TitlesOfParts>
  <Company>ETSI/MCC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LTHM2</cp:lastModifiedBy>
  <cp:revision>3</cp:revision>
  <cp:lastPrinted>2014-09-10T09:04:00Z</cp:lastPrinted>
  <dcterms:created xsi:type="dcterms:W3CDTF">2020-11-10T16:02:00Z</dcterms:created>
  <dcterms:modified xsi:type="dcterms:W3CDTF">2020-11-10T16:04:00Z</dcterms:modified>
</cp:coreProperties>
</file>