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AC" w:rsidRDefault="002308AC" w:rsidP="002308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#S2-111</w:t>
      </w:r>
      <w:r>
        <w:rPr>
          <w:rFonts w:cs="Arial"/>
          <w:b/>
          <w:noProof/>
          <w:sz w:val="24"/>
        </w:rPr>
        <w:tab/>
        <w:t>S2-153016</w:t>
      </w:r>
    </w:p>
    <w:p w:rsidR="002308AC" w:rsidRDefault="002308AC" w:rsidP="002308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October 2015, Chengdu, P.R. China</w:t>
      </w:r>
    </w:p>
    <w:p w:rsidR="002308AC" w:rsidRPr="002308AC" w:rsidRDefault="002308AC" w:rsidP="002308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2308AC" w:rsidRDefault="002308AC" w:rsidP="00FE3C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17695">
        <w:rPr>
          <w:rFonts w:hint="eastAsia"/>
          <w:b/>
          <w:noProof/>
          <w:sz w:val="28"/>
          <w:lang w:eastAsia="zh-CN"/>
        </w:rPr>
        <w:t>2714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723073">
        <w:rPr>
          <w:rFonts w:ascii="Arial" w:hAnsi="Arial" w:cs="Arial"/>
          <w:b/>
        </w:rPr>
        <w:t>H</w:t>
      </w:r>
      <w:r w:rsidR="00723073">
        <w:rPr>
          <w:rFonts w:ascii="Arial" w:hAnsi="Arial" w:cs="Arial" w:hint="eastAsia"/>
          <w:b/>
          <w:lang w:eastAsia="zh-CN"/>
        </w:rPr>
        <w:t>andover procedures</w:t>
      </w:r>
      <w:r w:rsidR="00723073" w:rsidRPr="006A5E9D">
        <w:rPr>
          <w:rFonts w:ascii="Arial" w:hAnsi="Arial" w:cs="Arial"/>
          <w:b/>
        </w:rPr>
        <w:t xml:space="preserve"> without </w:t>
      </w:r>
      <w:r w:rsidR="00723073">
        <w:rPr>
          <w:rFonts w:ascii="Arial" w:hAnsi="Arial" w:cs="Arial" w:hint="eastAsia"/>
          <w:b/>
          <w:lang w:eastAsia="zh-CN"/>
        </w:rPr>
        <w:t xml:space="preserve">the dynamic </w:t>
      </w:r>
      <w:r w:rsidR="00723073" w:rsidRPr="006A5E9D">
        <w:rPr>
          <w:rFonts w:ascii="Arial" w:hAnsi="Arial" w:cs="Arial"/>
          <w:b/>
        </w:rPr>
        <w:t>PGW ID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23073" w:rsidRPr="00C20C2C">
        <w:rPr>
          <w:rFonts w:ascii="Arial" w:hAnsi="Arial" w:cs="Arial" w:hint="eastAsia"/>
          <w:b/>
        </w:rPr>
        <w:t>LS (C4-151055) on</w:t>
      </w:r>
      <w:r w:rsidR="00723073" w:rsidRPr="00C20C2C">
        <w:rPr>
          <w:rFonts w:ascii="Arial" w:hAnsi="Arial" w:cs="Arial"/>
          <w:b/>
        </w:rPr>
        <w:t xml:space="preserve"> Handover procedures without the dynamic PGW ID</w:t>
      </w:r>
      <w:r w:rsidR="00723073" w:rsidRPr="00C20C2C">
        <w:rPr>
          <w:rFonts w:ascii="Arial" w:hAnsi="Arial" w:cs="Arial" w:hint="eastAsia"/>
          <w:b/>
        </w:rPr>
        <w:t xml:space="preserve"> from 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TEI13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SA2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23073" w:rsidRPr="00C20C2C">
        <w:rPr>
          <w:rFonts w:cs="Arial" w:hint="eastAsia"/>
          <w:lang w:eastAsia="zh-CN"/>
        </w:rPr>
        <w:t>Youyang Yu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b/>
          <w:lang w:eastAsia="zh-CN"/>
        </w:rPr>
        <w:t>yuyouyang@huawei.com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>thanks CT</w:t>
      </w:r>
      <w:r w:rsidRPr="00C20C2C">
        <w:rPr>
          <w:rFonts w:ascii="Arial" w:hAnsi="Arial" w:cs="Arial" w:hint="eastAsia"/>
          <w:lang w:eastAsia="zh-CN"/>
        </w:rPr>
        <w:t>4</w:t>
      </w:r>
      <w:r w:rsidRPr="00C20C2C">
        <w:rPr>
          <w:rFonts w:ascii="Arial" w:hAnsi="Arial" w:cs="Arial"/>
          <w:lang w:eastAsia="zh-CN"/>
        </w:rPr>
        <w:t xml:space="preserve"> for the LS on Handover procedures without the dynamic PGW ID.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 on the questions asked by CT</w:t>
      </w:r>
      <w:r w:rsidRPr="00C20C2C">
        <w:rPr>
          <w:rFonts w:ascii="Arial" w:hAnsi="Arial" w:cs="Arial" w:hint="eastAsia"/>
          <w:lang w:eastAsia="zh-CN"/>
        </w:rPr>
        <w:t>4.</w:t>
      </w:r>
    </w:p>
    <w:p w:rsidR="0017439C" w:rsidRPr="00723073" w:rsidRDefault="0017439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 w:eastAsia="zh-CN"/>
        </w:rPr>
        <w:t>“</w:t>
      </w:r>
      <w:r w:rsidRPr="00B42517">
        <w:rPr>
          <w:rFonts w:ascii="Times New Roman" w:eastAsia="MS Mincho" w:hAnsi="Times New Roman"/>
          <w:i/>
        </w:rPr>
        <w:t xml:space="preserve">If NBM is used and if the UE receives from the ePDG an IKE_AUTH response message containing a Notify Payload with a </w:t>
      </w:r>
      <w:r w:rsidRPr="00B42517">
        <w:rPr>
          <w:rFonts w:ascii="Times New Roman" w:hAnsi="Times New Roman"/>
          <w:i/>
          <w:noProof/>
          <w:lang w:val="en-US"/>
        </w:rPr>
        <w:t>P</w:t>
      </w:r>
      <w:r w:rsidRPr="00B42517">
        <w:rPr>
          <w:rFonts w:ascii="Times New Roman" w:hAnsi="Times New Roman"/>
          <w:i/>
          <w:lang w:val="en-CA"/>
        </w:rPr>
        <w:t xml:space="preserve">rivate </w:t>
      </w:r>
      <w:r w:rsidRPr="00B42517">
        <w:rPr>
          <w:rFonts w:ascii="Times New Roman" w:eastAsia="MS Mincho" w:hAnsi="Times New Roman"/>
          <w:i/>
        </w:rPr>
        <w:t xml:space="preserve">Notify Message Type </w:t>
      </w:r>
      <w:r w:rsidRPr="004D0410">
        <w:rPr>
          <w:rFonts w:ascii="Times New Roman" w:hAnsi="Times New Roman"/>
          <w:i/>
          <w:highlight w:val="yellow"/>
          <w:lang w:val="en-CA"/>
        </w:rPr>
        <w:t>PDN_CONNECTION_REJECTION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hAnsi="Times New Roman"/>
          <w:i/>
          <w:highlight w:val="yellow"/>
          <w:lang w:val="en-CA"/>
        </w:rPr>
        <w:t>as specified in subclause 8.1.2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eastAsia="MS Mincho" w:hAnsi="Times New Roman"/>
          <w:i/>
          <w:highlight w:val="yellow"/>
        </w:rPr>
        <w:t xml:space="preserve">that includes an IP address information in the </w:t>
      </w:r>
      <w:r w:rsidRPr="004D0410">
        <w:rPr>
          <w:rFonts w:ascii="Times New Roman" w:hAnsi="Times New Roman"/>
          <w:i/>
          <w:noProof/>
          <w:highlight w:val="yellow"/>
          <w:lang w:val="en-US"/>
        </w:rPr>
        <w:t>Notification Data field</w:t>
      </w:r>
      <w:r w:rsidRPr="004D0410">
        <w:rPr>
          <w:rFonts w:ascii="Times New Roman" w:eastAsia="MS Mincho" w:hAnsi="Times New Roman"/>
          <w:i/>
          <w:highlight w:val="yellow"/>
        </w:rPr>
        <w:t>, the UE shall not attempt to re-establish this PDN connection while connected to the current ePDG and the UE shall close the related IKEv2 security association states.</w:t>
      </w:r>
    </w:p>
    <w:p w:rsidR="003E426E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>
        <w:rPr>
          <w:rFonts w:ascii="Times New Roman" w:hAnsi="Times New Roman"/>
          <w:i/>
          <w:lang w:val="en-US" w:eastAsia="zh-CN"/>
        </w:rPr>
        <w:t>…</w:t>
      </w: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/>
        </w:rPr>
        <w:t xml:space="preserve">If NBM is used for IP mobility management and the UE performs an initial attach, the UE configures a home address based on the address information from the CFG_REPLY Configuration Payload. Otherwise, 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if NBM is used and the UE performs a handover attach, the UE continues to use its IP address configured before the handover, if the address information provided in the CFG_REPLY Configuration Payload does match with the UE's IP address configured before the handover. If the UE's IP address does not match with the address information of the CFG_REPLY Configuration Payload, the UE shall configure a new home address based on the IP address information contained in the </w:t>
      </w:r>
      <w:r w:rsidRPr="00B42517">
        <w:rPr>
          <w:rFonts w:ascii="Times New Roman" w:hAnsi="Times New Roman"/>
          <w:i/>
          <w:highlight w:val="yellow"/>
        </w:rPr>
        <w:t>INTERNAL_IP4_ADDRESS or INTERNAL_IP6_SUBNET attribute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 of the CFG_REPLY Configuration Payload. In the latter case, the IP address preservation is not possible.</w:t>
      </w:r>
      <w:r w:rsidRPr="00B42517">
        <w:rPr>
          <w:rFonts w:ascii="Times New Roman" w:hAnsi="Times New Roman"/>
          <w:i/>
          <w:lang w:val="en-US" w:eastAsia="zh-CN"/>
        </w:rPr>
        <w:t>”</w:t>
      </w:r>
    </w:p>
    <w:p w:rsidR="00723073" w:rsidRPr="003E426E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87689B" w:rsidRDefault="003E426E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Regarding the above two paragraphs from TS 23.402 subclause </w:t>
      </w:r>
      <w:r>
        <w:rPr>
          <w:rFonts w:ascii="Arial" w:hAnsi="Arial" w:cs="Arial" w:hint="eastAsia"/>
          <w:lang w:eastAsia="zh-CN"/>
        </w:rPr>
        <w:t>7.2.2</w:t>
      </w:r>
      <w:r>
        <w:rPr>
          <w:rFonts w:ascii="Arial" w:hAnsi="Arial" w:cs="Arial" w:hint="eastAsia"/>
          <w:lang w:val="en-US" w:eastAsia="zh-CN"/>
        </w:rPr>
        <w:t>, questions to CT1</w:t>
      </w:r>
      <w:r w:rsidR="00723073">
        <w:rPr>
          <w:rFonts w:ascii="Arial" w:hAnsi="Arial" w:cs="Arial" w:hint="eastAsia"/>
          <w:lang w:val="en-US" w:eastAsia="zh-CN"/>
        </w:rPr>
        <w:t>:</w:t>
      </w:r>
    </w:p>
    <w:p w:rsidR="00723073" w:rsidRPr="003E426E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 For the first paragraph,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indicate</w:t>
      </w:r>
      <w:r>
        <w:rPr>
          <w:rFonts w:ascii="Arial" w:hAnsi="Arial" w:cs="Arial" w:hint="eastAsia"/>
          <w:lang w:eastAsia="zh-CN"/>
        </w:rPr>
        <w:t xml:space="preserve"> whether the UE is allowed to establish another PDN connection without the IP address information in the Notification Data field to the same APN?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Yes, the UE is allowed to establish another PDN connection without the IP address information in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t</w:t>
      </w:r>
      <w:r w:rsidR="0045029E" w:rsidRPr="0045029E">
        <w:rPr>
          <w:rFonts w:ascii="Arial" w:hAnsi="Arial" w:cs="Arial"/>
          <w:b/>
          <w:bCs/>
          <w:lang w:val="en-US" w:eastAsia="zh-CN"/>
        </w:rPr>
        <w:t xml:space="preserve">he Configuration Payload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field to the same APN. 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This </w:t>
      </w:r>
      <w:r w:rsidR="00FE118D">
        <w:rPr>
          <w:rFonts w:ascii="Arial" w:hAnsi="Arial" w:cs="Arial"/>
          <w:b/>
          <w:bCs/>
          <w:lang w:val="en-US" w:eastAsia="zh-CN"/>
        </w:rPr>
        <w:t>is also aligned with the requirements stated in stage 2 in TS 23.402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Please find the attached agreed C1-15xx. </w:t>
      </w:r>
    </w:p>
    <w:p w:rsidR="00723073" w:rsidRPr="00344BC5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Q2:  For the second </w:t>
      </w:r>
      <w:r>
        <w:rPr>
          <w:rFonts w:ascii="Arial" w:hAnsi="Arial" w:cs="Arial"/>
          <w:lang w:eastAsia="zh-CN"/>
        </w:rPr>
        <w:t>paragraph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CT4 is of the understanding that it is allowed for the network to continue the handover procedure without IP address preservation.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confirm if this understanding is correct.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306CD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60456">
        <w:rPr>
          <w:rFonts w:ascii="Arial" w:hAnsi="Arial" w:cs="Arial" w:hint="eastAsia"/>
          <w:b/>
          <w:bCs/>
          <w:lang w:val="en-US" w:eastAsia="zh-CN"/>
        </w:rPr>
        <w:t>I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 PMIP is used </w:t>
      </w:r>
      <w:r w:rsidR="00A60456">
        <w:rPr>
          <w:rFonts w:ascii="Arial" w:hAnsi="Arial" w:cs="Arial" w:hint="eastAsia"/>
          <w:b/>
          <w:bCs/>
          <w:lang w:val="en-US" w:eastAsia="zh-CN"/>
        </w:rPr>
        <w:t>on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S2b, the network is allowed to continue the handover procedure without IP address preservation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as defined </w:t>
      </w:r>
      <w:r w:rsidR="00FE118D">
        <w:rPr>
          <w:rFonts w:ascii="Arial" w:hAnsi="Arial" w:cs="Arial"/>
          <w:b/>
          <w:bCs/>
          <w:lang w:val="en-US" w:eastAsia="zh-CN"/>
        </w:rPr>
        <w:t>in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stage 2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(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TS 23.402 subclause </w:t>
      </w:r>
      <w:r w:rsidR="00ED207F" w:rsidRPr="0045029E">
        <w:rPr>
          <w:rFonts w:ascii="Arial" w:hAnsi="Arial" w:cs="Arial"/>
          <w:b/>
          <w:bCs/>
          <w:lang w:val="en-US" w:eastAsia="zh-CN"/>
        </w:rPr>
        <w:t>4.1.3.2.3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. bullet c), f) and </w:t>
      </w:r>
      <w:r w:rsidR="00ED207F">
        <w:rPr>
          <w:rFonts w:ascii="Arial" w:hAnsi="Arial" w:cs="Arial" w:hint="eastAsia"/>
          <w:b/>
          <w:bCs/>
          <w:lang w:val="en-US" w:eastAsia="zh-CN"/>
        </w:rPr>
        <w:lastRenderedPageBreak/>
        <w:t>NOTE1</w:t>
      </w:r>
      <w:r w:rsidR="00FE118D">
        <w:rPr>
          <w:rFonts w:ascii="Arial" w:hAnsi="Arial" w:cs="Arial"/>
          <w:b/>
          <w:bCs/>
          <w:lang w:val="en-US" w:eastAsia="zh-CN"/>
        </w:rPr>
        <w:t>)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45029E">
        <w:rPr>
          <w:rFonts w:ascii="Arial" w:hAnsi="Arial" w:cs="Arial" w:hint="eastAsia"/>
          <w:b/>
          <w:bCs/>
          <w:lang w:val="en-US" w:eastAsia="zh-CN"/>
        </w:rPr>
        <w:t>Th</w:t>
      </w:r>
      <w:r w:rsidR="00ED207F">
        <w:rPr>
          <w:rFonts w:ascii="Arial" w:hAnsi="Arial" w:cs="Arial" w:hint="eastAsia"/>
          <w:b/>
          <w:bCs/>
          <w:lang w:val="en-US" w:eastAsia="zh-CN"/>
        </w:rPr>
        <w:t>e UE hehavior</w:t>
      </w:r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D207F">
        <w:rPr>
          <w:rFonts w:ascii="Arial" w:hAnsi="Arial" w:cs="Arial" w:hint="eastAsia"/>
          <w:b/>
          <w:bCs/>
          <w:lang w:val="en-US" w:eastAsia="zh-CN"/>
        </w:rPr>
        <w:t>defined in the second paragraph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is to satisfy </w:t>
      </w:r>
      <w:r w:rsidR="00E04DC3">
        <w:rPr>
          <w:rFonts w:ascii="Arial" w:hAnsi="Arial" w:cs="Arial" w:hint="eastAsia"/>
          <w:b/>
          <w:bCs/>
          <w:lang w:val="en-US" w:eastAsia="zh-CN"/>
        </w:rPr>
        <w:t>this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C73E8">
        <w:rPr>
          <w:rFonts w:ascii="Arial" w:hAnsi="Arial" w:cs="Arial"/>
          <w:b/>
          <w:bCs/>
          <w:lang w:val="en-US" w:eastAsia="zh-CN"/>
        </w:rPr>
        <w:t>stage 2 specified</w:t>
      </w:r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5029E">
        <w:rPr>
          <w:rFonts w:ascii="Arial" w:hAnsi="Arial" w:cs="Arial" w:hint="eastAsia"/>
          <w:b/>
          <w:bCs/>
          <w:lang w:val="en-US" w:eastAsia="zh-CN"/>
        </w:rPr>
        <w:t>requirement</w:t>
      </w:r>
      <w:r w:rsidR="005A563C">
        <w:rPr>
          <w:rFonts w:ascii="Arial" w:hAnsi="Arial" w:cs="Arial" w:hint="eastAsia"/>
          <w:b/>
          <w:bCs/>
          <w:lang w:val="en-US" w:eastAsia="zh-CN"/>
        </w:rPr>
        <w:t xml:space="preserve">. </w:t>
      </w:r>
    </w:p>
    <w:p w:rsidR="00723073" w:rsidRPr="0045029E" w:rsidRDefault="005A563C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the GTP case,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A60456">
        <w:rPr>
          <w:rFonts w:ascii="Arial" w:hAnsi="Arial" w:cs="Arial" w:hint="eastAsia"/>
          <w:b/>
          <w:bCs/>
          <w:lang w:val="en-US" w:eastAsia="zh-CN"/>
        </w:rPr>
        <w:t xml:space="preserve">UE should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receive the </w:t>
      </w:r>
      <w:r w:rsidR="003E426E" w:rsidRPr="003E426E">
        <w:rPr>
          <w:rFonts w:ascii="Arial" w:hAnsi="Arial" w:cs="Arial"/>
          <w:b/>
          <w:bCs/>
          <w:lang w:val="en-US" w:eastAsia="zh-CN"/>
        </w:rPr>
        <w:t>PDN_CONNECTION_REJECTION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with an IP address information in </w:t>
      </w:r>
      <w:r w:rsidR="003E426E">
        <w:rPr>
          <w:rFonts w:ascii="Arial" w:hAnsi="Arial" w:cs="Arial"/>
          <w:b/>
          <w:bCs/>
          <w:lang w:val="en-US" w:eastAsia="zh-CN"/>
        </w:rPr>
        <w:t>the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Notification Data field as defined in the first paragraph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ED207F">
        <w:rPr>
          <w:rFonts w:ascii="Arial" w:hAnsi="Arial" w:cs="Arial"/>
          <w:b/>
          <w:bCs/>
          <w:lang w:val="en-US" w:eastAsia="zh-CN"/>
        </w:rPr>
        <w:t>T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he UE should not continue the </w:t>
      </w:r>
      <w:r w:rsidR="00A60456">
        <w:rPr>
          <w:rFonts w:ascii="Arial" w:hAnsi="Arial" w:cs="Arial" w:hint="eastAsia"/>
          <w:b/>
          <w:bCs/>
          <w:lang w:val="en-US" w:eastAsia="zh-CN"/>
        </w:rPr>
        <w:t>H</w:t>
      </w:r>
      <w:r w:rsidR="00A60456">
        <w:rPr>
          <w:rFonts w:ascii="Arial" w:hAnsi="Arial" w:cs="Arial"/>
          <w:b/>
          <w:bCs/>
          <w:lang w:val="en-US" w:eastAsia="zh-CN"/>
        </w:rPr>
        <w:t>a</w:t>
      </w:r>
      <w:r w:rsidR="00A60456">
        <w:rPr>
          <w:rFonts w:ascii="Arial" w:hAnsi="Arial" w:cs="Arial" w:hint="eastAsia"/>
          <w:b/>
          <w:bCs/>
          <w:lang w:val="en-US" w:eastAsia="zh-CN"/>
        </w:rPr>
        <w:t>ndover procedure</w:t>
      </w:r>
      <w:r w:rsidR="00344BC5">
        <w:rPr>
          <w:rFonts w:ascii="Arial" w:hAnsi="Arial" w:cs="Arial" w:hint="eastAsia"/>
          <w:b/>
          <w:bCs/>
          <w:lang w:val="en-US" w:eastAsia="zh-CN"/>
        </w:rPr>
        <w:t>.</w:t>
      </w:r>
      <w:r w:rsidR="001306CD"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Q3. CT4 also asks CT1 to clarify, what the UE does with the IP address allocated on the 3GPP access when </w:t>
      </w:r>
    </w:p>
    <w:p w:rsidR="00723073" w:rsidRDefault="00723073" w:rsidP="00723073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non-3GPP access network rejects the handover request</w:t>
      </w:r>
    </w:p>
    <w:p w:rsidR="00723073" w:rsidRDefault="00723073" w:rsidP="00723073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non-3gpp access network accepts the handover attach but without IP address preservation by providing a different IP address</w:t>
      </w:r>
    </w:p>
    <w:p w:rsidR="00723073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3: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In case a, 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the UE shall </w:t>
      </w:r>
      <w:r w:rsidR="0099374A">
        <w:rPr>
          <w:rFonts w:ascii="Arial" w:hAnsi="Arial" w:cs="Arial"/>
          <w:b/>
          <w:bCs/>
          <w:lang w:val="en-US" w:eastAsia="zh-CN"/>
        </w:rPr>
        <w:t>not attempt to re-establish th</w:t>
      </w:r>
      <w:r w:rsidR="0099374A">
        <w:rPr>
          <w:rFonts w:ascii="Arial" w:hAnsi="Arial" w:cs="Arial" w:hint="eastAsia"/>
          <w:b/>
          <w:bCs/>
          <w:lang w:val="en-US" w:eastAsia="zh-CN"/>
        </w:rPr>
        <w:t>e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 PDN connection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with the 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same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IP address allocated on 3GPP side </w:t>
      </w:r>
      <w:r w:rsidR="0099374A" w:rsidRPr="0099374A">
        <w:rPr>
          <w:rFonts w:ascii="Arial" w:hAnsi="Arial" w:cs="Arial"/>
          <w:b/>
          <w:bCs/>
          <w:lang w:val="en-US" w:eastAsia="zh-CN"/>
        </w:rPr>
        <w:t>while connected to the current ePDG and the UE shall close the related IKEv2 security association states.</w:t>
      </w:r>
    </w:p>
    <w:p w:rsidR="0099374A" w:rsidRPr="0099374A" w:rsidRDefault="0099374A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In case b, the UE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shall </w:t>
      </w:r>
      <w:r>
        <w:rPr>
          <w:rFonts w:ascii="Arial" w:hAnsi="Arial" w:cs="Arial" w:hint="eastAsia"/>
          <w:b/>
          <w:bCs/>
          <w:lang w:val="en-US" w:eastAsia="zh-CN"/>
        </w:rPr>
        <w:t xml:space="preserve">use the new IP address allocated on non-3GPP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access </w:t>
      </w:r>
      <w:r>
        <w:rPr>
          <w:rFonts w:ascii="Arial" w:hAnsi="Arial" w:cs="Arial" w:hint="eastAsia"/>
          <w:b/>
          <w:bCs/>
          <w:lang w:val="en-US" w:eastAsia="zh-CN"/>
        </w:rPr>
        <w:t>to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replace the IP address allocated on the 3GPP access and</w:t>
      </w:r>
      <w:r>
        <w:rPr>
          <w:rFonts w:ascii="Arial" w:hAnsi="Arial" w:cs="Arial" w:hint="eastAsia"/>
          <w:b/>
          <w:bCs/>
          <w:lang w:val="en-US" w:eastAsia="zh-CN"/>
        </w:rPr>
        <w:t xml:space="preserve"> keep the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 related</w:t>
      </w:r>
      <w:r>
        <w:rPr>
          <w:rFonts w:ascii="Arial" w:hAnsi="Arial" w:cs="Arial" w:hint="eastAsia"/>
          <w:b/>
          <w:bCs/>
          <w:lang w:val="en-US" w:eastAsia="zh-CN"/>
        </w:rPr>
        <w:t xml:space="preserve"> IKEv2 security association states. </w:t>
      </w:r>
    </w:p>
    <w:p w:rsidR="00723073" w:rsidRPr="0099374A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3E426E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23073" w:rsidRPr="00C20C2C">
        <w:rPr>
          <w:rFonts w:ascii="Arial" w:hAnsi="Arial" w:cs="Arial" w:hint="eastAsia"/>
          <w:b/>
        </w:rPr>
        <w:t xml:space="preserve">SA2 </w:t>
      </w:r>
      <w:r>
        <w:rPr>
          <w:rFonts w:ascii="Arial" w:hAnsi="Arial" w:cs="Arial"/>
          <w:b/>
        </w:rPr>
        <w:t xml:space="preserve"> group.</w:t>
      </w:r>
    </w:p>
    <w:p w:rsidR="0017439C" w:rsidRPr="00723073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723073">
        <w:rPr>
          <w:rFonts w:ascii="Arial" w:hAnsi="Arial" w:cs="Arial" w:hint="eastAsia"/>
          <w:lang w:eastAsia="zh-CN"/>
        </w:rPr>
        <w:t xml:space="preserve">CT4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7C" w:rsidRDefault="004D647C" w:rsidP="0017439C">
      <w:r>
        <w:separator/>
      </w:r>
    </w:p>
  </w:endnote>
  <w:endnote w:type="continuationSeparator" w:id="0">
    <w:p w:rsidR="004D647C" w:rsidRDefault="004D647C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7C" w:rsidRDefault="004D647C" w:rsidP="0017439C">
      <w:r>
        <w:separator/>
      </w:r>
    </w:p>
  </w:footnote>
  <w:footnote w:type="continuationSeparator" w:id="0">
    <w:p w:rsidR="004D647C" w:rsidRDefault="004D647C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1E91"/>
    <w:rsid w:val="000025D4"/>
    <w:rsid w:val="000309A3"/>
    <w:rsid w:val="000713AE"/>
    <w:rsid w:val="00075FEF"/>
    <w:rsid w:val="00082990"/>
    <w:rsid w:val="00097EC9"/>
    <w:rsid w:val="00097FF7"/>
    <w:rsid w:val="000A65BC"/>
    <w:rsid w:val="000D6E62"/>
    <w:rsid w:val="000F0217"/>
    <w:rsid w:val="00111BE5"/>
    <w:rsid w:val="001242B8"/>
    <w:rsid w:val="001306CD"/>
    <w:rsid w:val="00137D7D"/>
    <w:rsid w:val="00145E66"/>
    <w:rsid w:val="00163D85"/>
    <w:rsid w:val="001658F2"/>
    <w:rsid w:val="00166466"/>
    <w:rsid w:val="0017439C"/>
    <w:rsid w:val="00192C55"/>
    <w:rsid w:val="00195AA8"/>
    <w:rsid w:val="001B2FB8"/>
    <w:rsid w:val="001C374E"/>
    <w:rsid w:val="001C7B42"/>
    <w:rsid w:val="001D42A8"/>
    <w:rsid w:val="002103E9"/>
    <w:rsid w:val="002115F1"/>
    <w:rsid w:val="002308AC"/>
    <w:rsid w:val="002468F9"/>
    <w:rsid w:val="00251DDC"/>
    <w:rsid w:val="00262728"/>
    <w:rsid w:val="00270CA0"/>
    <w:rsid w:val="00274ADD"/>
    <w:rsid w:val="002A69E5"/>
    <w:rsid w:val="002B0B40"/>
    <w:rsid w:val="002E2C27"/>
    <w:rsid w:val="002F3038"/>
    <w:rsid w:val="002F6736"/>
    <w:rsid w:val="00301A04"/>
    <w:rsid w:val="003127FF"/>
    <w:rsid w:val="00324A3A"/>
    <w:rsid w:val="00344BC5"/>
    <w:rsid w:val="0036432D"/>
    <w:rsid w:val="00376862"/>
    <w:rsid w:val="003819EB"/>
    <w:rsid w:val="00393AA1"/>
    <w:rsid w:val="003A2D42"/>
    <w:rsid w:val="003D23EA"/>
    <w:rsid w:val="003E426E"/>
    <w:rsid w:val="00425DF4"/>
    <w:rsid w:val="004335AB"/>
    <w:rsid w:val="0045029E"/>
    <w:rsid w:val="00471A2B"/>
    <w:rsid w:val="00477AAF"/>
    <w:rsid w:val="00495362"/>
    <w:rsid w:val="004D647C"/>
    <w:rsid w:val="004E60F3"/>
    <w:rsid w:val="0053309C"/>
    <w:rsid w:val="005330B2"/>
    <w:rsid w:val="005727DC"/>
    <w:rsid w:val="00576378"/>
    <w:rsid w:val="00581254"/>
    <w:rsid w:val="005928CF"/>
    <w:rsid w:val="005945B4"/>
    <w:rsid w:val="005A563C"/>
    <w:rsid w:val="005B1A56"/>
    <w:rsid w:val="005E0705"/>
    <w:rsid w:val="005F77A8"/>
    <w:rsid w:val="00617923"/>
    <w:rsid w:val="0067066A"/>
    <w:rsid w:val="00695D9C"/>
    <w:rsid w:val="006B1564"/>
    <w:rsid w:val="006C48EC"/>
    <w:rsid w:val="006D45CD"/>
    <w:rsid w:val="006E2A42"/>
    <w:rsid w:val="00716E5F"/>
    <w:rsid w:val="00723073"/>
    <w:rsid w:val="007639B5"/>
    <w:rsid w:val="007852F7"/>
    <w:rsid w:val="00785826"/>
    <w:rsid w:val="007C6FC5"/>
    <w:rsid w:val="008307AD"/>
    <w:rsid w:val="00836D33"/>
    <w:rsid w:val="008A651E"/>
    <w:rsid w:val="008B0076"/>
    <w:rsid w:val="008B4715"/>
    <w:rsid w:val="008F4B35"/>
    <w:rsid w:val="00973176"/>
    <w:rsid w:val="0099374A"/>
    <w:rsid w:val="009A673B"/>
    <w:rsid w:val="009B3E9C"/>
    <w:rsid w:val="009C01C7"/>
    <w:rsid w:val="009E3F5C"/>
    <w:rsid w:val="00A02892"/>
    <w:rsid w:val="00A06DCF"/>
    <w:rsid w:val="00A22D1D"/>
    <w:rsid w:val="00A36F23"/>
    <w:rsid w:val="00A60456"/>
    <w:rsid w:val="00A7623B"/>
    <w:rsid w:val="00AB482F"/>
    <w:rsid w:val="00AB7C16"/>
    <w:rsid w:val="00AC181D"/>
    <w:rsid w:val="00AD3A5C"/>
    <w:rsid w:val="00AE6F04"/>
    <w:rsid w:val="00AF1954"/>
    <w:rsid w:val="00B02463"/>
    <w:rsid w:val="00B54DDF"/>
    <w:rsid w:val="00B74108"/>
    <w:rsid w:val="00BB2557"/>
    <w:rsid w:val="00BB5878"/>
    <w:rsid w:val="00BE0147"/>
    <w:rsid w:val="00BE1D3D"/>
    <w:rsid w:val="00C11033"/>
    <w:rsid w:val="00C17695"/>
    <w:rsid w:val="00C20C2C"/>
    <w:rsid w:val="00C30C2B"/>
    <w:rsid w:val="00C737A6"/>
    <w:rsid w:val="00C75AD2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F14D4"/>
    <w:rsid w:val="00DF5FF3"/>
    <w:rsid w:val="00E04DC3"/>
    <w:rsid w:val="00E243D8"/>
    <w:rsid w:val="00E312E6"/>
    <w:rsid w:val="00E54D06"/>
    <w:rsid w:val="00E66D82"/>
    <w:rsid w:val="00ED17FB"/>
    <w:rsid w:val="00ED207F"/>
    <w:rsid w:val="00EE6A6D"/>
    <w:rsid w:val="00F037D5"/>
    <w:rsid w:val="00F27919"/>
    <w:rsid w:val="00F613B5"/>
    <w:rsid w:val="00F74415"/>
    <w:rsid w:val="00F7599D"/>
    <w:rsid w:val="00FC15DD"/>
    <w:rsid w:val="00FC73E8"/>
    <w:rsid w:val="00FE118D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7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7637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63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763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76378"/>
  </w:style>
  <w:style w:type="paragraph" w:customStyle="1" w:styleId="B1">
    <w:name w:val="B1"/>
    <w:basedOn w:val="Normal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7637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763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76378"/>
    <w:rPr>
      <w:sz w:val="16"/>
    </w:rPr>
  </w:style>
  <w:style w:type="paragraph" w:customStyle="1" w:styleId="DECISION">
    <w:name w:val="DECISION"/>
    <w:basedOn w:val="Normal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76378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29343_CR0004R1_eProSe-Ext-CT_(Rel-13)</cp:lastModifiedBy>
  <cp:revision>2</cp:revision>
  <cp:lastPrinted>2002-04-23T07:10:00Z</cp:lastPrinted>
  <dcterms:created xsi:type="dcterms:W3CDTF">2015-09-19T16:41:00Z</dcterms:created>
  <dcterms:modified xsi:type="dcterms:W3CDTF">2015-09-19T16:41:00Z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