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051" w:rsidRPr="009F2D2D" w:rsidRDefault="00646C91" w:rsidP="00475051">
      <w:pPr>
        <w:pBdr>
          <w:bottom w:val="single" w:sz="4" w:space="1" w:color="auto"/>
        </w:pBdr>
        <w:tabs>
          <w:tab w:val="right" w:pos="9214"/>
        </w:tabs>
        <w:rPr>
          <w:rFonts w:ascii="Arial" w:eastAsia="SimSun" w:hAnsi="Arial" w:cs="Arial"/>
          <w:b/>
          <w:lang w:eastAsia="zh-CN"/>
        </w:rPr>
      </w:pPr>
      <w:r w:rsidRPr="009F2D2D">
        <w:rPr>
          <w:rFonts w:ascii="Arial" w:hAnsi="Arial" w:cs="Arial"/>
          <w:b/>
        </w:rPr>
        <w:t>3GPP TSG-SA WG1</w:t>
      </w:r>
      <w:r w:rsidR="00475051" w:rsidRPr="009F2D2D">
        <w:rPr>
          <w:rFonts w:ascii="Arial" w:hAnsi="Arial" w:cs="Arial"/>
          <w:b/>
        </w:rPr>
        <w:tab/>
        <w:t>S1-</w:t>
      </w:r>
      <w:r w:rsidR="008957FD">
        <w:rPr>
          <w:rFonts w:ascii="Arial" w:hAnsi="Arial" w:cs="Arial"/>
          <w:b/>
        </w:rPr>
        <w:t>163037</w:t>
      </w:r>
      <w:bookmarkStart w:id="0" w:name="_GoBack"/>
      <w:bookmarkEnd w:id="0"/>
    </w:p>
    <w:p w:rsidR="003948C7" w:rsidRPr="009F2D2D" w:rsidRDefault="00163978" w:rsidP="00475051">
      <w:pPr>
        <w:pBdr>
          <w:bottom w:val="single" w:sz="4" w:space="1" w:color="auto"/>
        </w:pBdr>
        <w:tabs>
          <w:tab w:val="right" w:pos="9214"/>
        </w:tabs>
        <w:rPr>
          <w:rFonts w:ascii="Arial" w:hAnsi="Arial" w:cs="Arial"/>
          <w:b/>
        </w:rPr>
      </w:pPr>
      <w:r w:rsidRPr="009F2D2D">
        <w:rPr>
          <w:rFonts w:ascii="Arial" w:hAnsi="Arial" w:cs="Arial"/>
          <w:b/>
        </w:rPr>
        <w:t>Tenerife Spain</w:t>
      </w:r>
      <w:r w:rsidR="00646C91" w:rsidRPr="009F2D2D">
        <w:rPr>
          <w:rFonts w:ascii="Arial" w:hAnsi="Arial" w:cs="Arial"/>
          <w:b/>
        </w:rPr>
        <w:t xml:space="preserve">, </w:t>
      </w:r>
      <w:r w:rsidRPr="009F2D2D">
        <w:rPr>
          <w:rFonts w:ascii="Arial" w:hAnsi="Arial" w:cs="Arial"/>
          <w:b/>
        </w:rPr>
        <w:t>7</w:t>
      </w:r>
      <w:r w:rsidRPr="009F2D2D">
        <w:rPr>
          <w:rFonts w:ascii="Arial" w:hAnsi="Arial" w:cs="Arial"/>
          <w:b/>
          <w:vertAlign w:val="superscript"/>
        </w:rPr>
        <w:t>th</w:t>
      </w:r>
      <w:r w:rsidRPr="009F2D2D">
        <w:rPr>
          <w:rFonts w:ascii="Arial" w:hAnsi="Arial" w:cs="Arial"/>
          <w:b/>
        </w:rPr>
        <w:t xml:space="preserve"> -11</w:t>
      </w:r>
      <w:r w:rsidRPr="009F2D2D">
        <w:rPr>
          <w:rFonts w:ascii="Arial" w:hAnsi="Arial" w:cs="Arial"/>
          <w:b/>
          <w:vertAlign w:val="superscript"/>
        </w:rPr>
        <w:t>th</w:t>
      </w:r>
      <w:r w:rsidRPr="009F2D2D">
        <w:rPr>
          <w:rFonts w:ascii="Arial" w:hAnsi="Arial" w:cs="Arial"/>
          <w:b/>
        </w:rPr>
        <w:t xml:space="preserve"> November</w:t>
      </w:r>
      <w:r w:rsidR="00240874" w:rsidRPr="009F2D2D">
        <w:rPr>
          <w:rFonts w:ascii="Arial" w:hAnsi="Arial" w:cs="Arial"/>
          <w:b/>
        </w:rPr>
        <w:t xml:space="preserve"> </w:t>
      </w:r>
      <w:r w:rsidR="005E3D7F" w:rsidRPr="009F2D2D">
        <w:rPr>
          <w:rFonts w:ascii="Arial" w:hAnsi="Arial" w:cs="Arial"/>
          <w:b/>
        </w:rPr>
        <w:t>2016</w:t>
      </w:r>
      <w:r w:rsidR="00957B24" w:rsidRPr="009F2D2D">
        <w:rPr>
          <w:rFonts w:ascii="Arial" w:hAnsi="Arial" w:cs="Arial"/>
          <w:b/>
        </w:rPr>
        <w:t xml:space="preserve"> </w:t>
      </w:r>
      <w:r w:rsidR="009E040B" w:rsidRPr="009F2D2D">
        <w:rPr>
          <w:rFonts w:ascii="Arial" w:hAnsi="Arial" w:cs="Arial"/>
          <w:b/>
        </w:rPr>
        <w:t xml:space="preserve">   </w:t>
      </w:r>
      <w:r w:rsidR="003948C7" w:rsidRPr="009F2D2D">
        <w:rPr>
          <w:rFonts w:ascii="Arial" w:hAnsi="Arial" w:cs="Arial"/>
          <w:b/>
        </w:rPr>
        <w:tab/>
      </w:r>
    </w:p>
    <w:p w:rsidR="00A45CBF" w:rsidRPr="009F2D2D" w:rsidRDefault="00A45CBF" w:rsidP="00A45CBF">
      <w:pPr>
        <w:rPr>
          <w:rFonts w:ascii="Arial" w:hAnsi="Arial"/>
        </w:rPr>
      </w:pPr>
    </w:p>
    <w:p w:rsidR="00A45CBF" w:rsidRPr="009F2D2D" w:rsidRDefault="003812EE" w:rsidP="0011726F">
      <w:pPr>
        <w:tabs>
          <w:tab w:val="left" w:pos="1701"/>
        </w:tabs>
        <w:overflowPunct w:val="0"/>
        <w:autoSpaceDE w:val="0"/>
        <w:autoSpaceDN w:val="0"/>
        <w:adjustRightInd w:val="0"/>
        <w:spacing w:after="180"/>
        <w:ind w:left="1695" w:hanging="1695"/>
        <w:textAlignment w:val="baseline"/>
        <w:rPr>
          <w:rFonts w:ascii="Arial" w:eastAsia="SimSun" w:hAnsi="Arial"/>
          <w:lang w:eastAsia="zh-CN"/>
        </w:rPr>
      </w:pPr>
      <w:r w:rsidRPr="009F2D2D">
        <w:rPr>
          <w:rFonts w:ascii="Arial" w:eastAsia="SimSun" w:hAnsi="Arial"/>
          <w:lang w:eastAsia="en-GB"/>
        </w:rPr>
        <w:t>Title:</w:t>
      </w:r>
      <w:r w:rsidRPr="009F2D2D">
        <w:rPr>
          <w:rFonts w:ascii="Arial" w:eastAsia="SimSun" w:hAnsi="Arial"/>
          <w:lang w:eastAsia="en-GB"/>
        </w:rPr>
        <w:tab/>
      </w:r>
      <w:r w:rsidR="00163978" w:rsidRPr="009F2D2D">
        <w:rPr>
          <w:rFonts w:ascii="Arial" w:eastAsia="SimSun" w:hAnsi="Arial"/>
          <w:lang w:eastAsia="en-GB"/>
        </w:rPr>
        <w:tab/>
      </w:r>
      <w:r w:rsidR="00E23BF5" w:rsidRPr="009F2D2D">
        <w:rPr>
          <w:rFonts w:ascii="Arial" w:eastAsia="SimSun" w:hAnsi="Arial"/>
          <w:b/>
          <w:lang w:eastAsia="en-GB"/>
        </w:rPr>
        <w:t>Proposal f</w:t>
      </w:r>
      <w:r w:rsidR="00334A32">
        <w:rPr>
          <w:rFonts w:ascii="Arial" w:eastAsia="SimSun" w:hAnsi="Arial"/>
          <w:b/>
          <w:lang w:eastAsia="en-GB"/>
        </w:rPr>
        <w:t xml:space="preserve">or </w:t>
      </w:r>
      <w:r w:rsidR="0011726F">
        <w:rPr>
          <w:rFonts w:ascii="Arial" w:eastAsia="SimSun" w:hAnsi="Arial"/>
          <w:b/>
          <w:lang w:eastAsia="en-GB"/>
        </w:rPr>
        <w:t xml:space="preserve">category classification and </w:t>
      </w:r>
      <w:r w:rsidR="00334A32">
        <w:rPr>
          <w:rFonts w:ascii="Arial" w:eastAsia="SimSun" w:hAnsi="Arial"/>
          <w:b/>
          <w:lang w:eastAsia="en-GB"/>
        </w:rPr>
        <w:t>consolidated</w:t>
      </w:r>
      <w:r w:rsidR="0011726F">
        <w:rPr>
          <w:rFonts w:ascii="Arial" w:eastAsia="SimSun" w:hAnsi="Arial"/>
          <w:b/>
          <w:lang w:eastAsia="en-GB"/>
        </w:rPr>
        <w:t xml:space="preserve"> of</w:t>
      </w:r>
      <w:r w:rsidR="00334A32">
        <w:rPr>
          <w:rFonts w:ascii="Arial" w:eastAsia="SimSun" w:hAnsi="Arial"/>
          <w:b/>
          <w:lang w:eastAsia="en-GB"/>
        </w:rPr>
        <w:t xml:space="preserve"> </w:t>
      </w:r>
      <w:r w:rsidR="0011726F">
        <w:rPr>
          <w:rFonts w:ascii="Arial" w:eastAsia="SimSun" w:hAnsi="Arial"/>
          <w:b/>
          <w:lang w:eastAsia="en-GB"/>
        </w:rPr>
        <w:t xml:space="preserve">potential </w:t>
      </w:r>
      <w:r w:rsidR="00334A32">
        <w:rPr>
          <w:rFonts w:ascii="Arial" w:eastAsia="SimSun" w:hAnsi="Arial"/>
          <w:b/>
          <w:lang w:eastAsia="en-GB"/>
        </w:rPr>
        <w:t>requirements in TR 22.886</w:t>
      </w:r>
    </w:p>
    <w:p w:rsidR="00B80D3B" w:rsidRPr="009F2D2D" w:rsidRDefault="007024F8" w:rsidP="00841236">
      <w:pPr>
        <w:tabs>
          <w:tab w:val="left" w:pos="1701"/>
        </w:tabs>
        <w:overflowPunct w:val="0"/>
        <w:autoSpaceDE w:val="0"/>
        <w:autoSpaceDN w:val="0"/>
        <w:adjustRightInd w:val="0"/>
        <w:spacing w:after="180"/>
        <w:ind w:left="1695" w:hanging="1695"/>
        <w:textAlignment w:val="baseline"/>
        <w:rPr>
          <w:rFonts w:ascii="Arial" w:eastAsia="SimSun" w:hAnsi="Arial"/>
          <w:lang w:eastAsia="en-GB"/>
        </w:rPr>
      </w:pPr>
      <w:r w:rsidRPr="009F2D2D">
        <w:rPr>
          <w:rFonts w:ascii="Arial" w:eastAsia="SimSun" w:hAnsi="Arial"/>
          <w:lang w:eastAsia="en-GB"/>
        </w:rPr>
        <w:t>Agenda</w:t>
      </w:r>
      <w:r w:rsidR="00F613B4" w:rsidRPr="009F2D2D">
        <w:rPr>
          <w:rFonts w:ascii="Arial" w:eastAsia="SimSun" w:hAnsi="Arial"/>
          <w:lang w:eastAsia="en-GB"/>
        </w:rPr>
        <w:t xml:space="preserve"> Item:</w:t>
      </w:r>
      <w:r w:rsidR="003812EE" w:rsidRPr="009F2D2D">
        <w:rPr>
          <w:rFonts w:ascii="Arial" w:eastAsia="SimSun" w:hAnsi="Arial"/>
          <w:lang w:eastAsia="en-GB"/>
        </w:rPr>
        <w:tab/>
      </w:r>
      <w:r w:rsidR="00841236">
        <w:rPr>
          <w:rFonts w:ascii="Arial" w:eastAsia="SimSun" w:hAnsi="Arial"/>
          <w:lang w:eastAsia="en-GB"/>
        </w:rPr>
        <w:t>8.1</w:t>
      </w:r>
      <w:r w:rsidR="00C15B2D" w:rsidRPr="009F2D2D">
        <w:rPr>
          <w:rFonts w:ascii="Arial" w:eastAsia="SimSun" w:hAnsi="Arial"/>
          <w:lang w:eastAsia="en-GB"/>
        </w:rPr>
        <w:tab/>
      </w:r>
      <w:r w:rsidR="00841236" w:rsidRPr="00841236">
        <w:rPr>
          <w:rFonts w:ascii="Arial" w:eastAsia="SimSun" w:hAnsi="Arial"/>
          <w:lang w:eastAsia="en-GB"/>
        </w:rPr>
        <w:t>FS_eV2X: Study on Enhancement of 3GPP support for V2X services [</w:t>
      </w:r>
      <w:r w:rsidR="00841236" w:rsidRPr="00841236">
        <w:rPr>
          <w:rFonts w:ascii="Arial" w:eastAsia="SimSun" w:hAnsi="Arial"/>
          <w:bCs/>
          <w:lang w:eastAsia="en-GB"/>
        </w:rPr>
        <w:t>SP-160504]</w:t>
      </w:r>
    </w:p>
    <w:p w:rsidR="00A45CBF" w:rsidRPr="009F2D2D"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9F2D2D">
        <w:rPr>
          <w:rFonts w:ascii="Arial" w:eastAsia="SimSun" w:hAnsi="Arial"/>
          <w:lang w:eastAsia="en-GB"/>
        </w:rPr>
        <w:t>Source:</w:t>
      </w:r>
      <w:r w:rsidRPr="009F2D2D">
        <w:rPr>
          <w:rFonts w:ascii="Arial" w:eastAsia="SimSun" w:hAnsi="Arial"/>
          <w:lang w:eastAsia="en-GB"/>
        </w:rPr>
        <w:tab/>
      </w:r>
      <w:r w:rsidR="004A26DE" w:rsidRPr="009F2D2D">
        <w:rPr>
          <w:rFonts w:ascii="Arial" w:eastAsia="SimSun" w:hAnsi="Arial"/>
          <w:lang w:eastAsia="zh-CN"/>
        </w:rPr>
        <w:t>Fujitsu</w:t>
      </w:r>
      <w:r w:rsidR="004873FC" w:rsidRPr="009F2D2D">
        <w:rPr>
          <w:rFonts w:ascii="Arial" w:eastAsia="SimSun" w:hAnsi="Arial"/>
          <w:lang w:eastAsia="zh-CN"/>
        </w:rPr>
        <w:t xml:space="preserve">, </w:t>
      </w:r>
    </w:p>
    <w:p w:rsidR="00BA5E0B" w:rsidRPr="009F2D2D"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9F2D2D">
        <w:rPr>
          <w:rFonts w:ascii="Arial" w:eastAsia="SimSun" w:hAnsi="Arial"/>
          <w:lang w:eastAsia="en-GB"/>
        </w:rPr>
        <w:t>Contact:</w:t>
      </w:r>
      <w:r w:rsidRPr="009F2D2D">
        <w:rPr>
          <w:rFonts w:ascii="Arial" w:eastAsia="SimSun" w:hAnsi="Arial"/>
          <w:lang w:eastAsia="en-GB"/>
        </w:rPr>
        <w:tab/>
      </w:r>
      <w:r w:rsidR="004A26DE" w:rsidRPr="009F2D2D">
        <w:rPr>
          <w:rFonts w:ascii="Arial" w:eastAsia="SimSun" w:hAnsi="Arial"/>
          <w:lang w:eastAsia="zh-CN"/>
        </w:rPr>
        <w:t>Jumoke Ogunbekun</w:t>
      </w:r>
      <w:r w:rsidR="00BA5E0B" w:rsidRPr="009F2D2D">
        <w:rPr>
          <w:rFonts w:ascii="Arial" w:eastAsia="SimSun" w:hAnsi="Arial"/>
          <w:lang w:eastAsia="zh-CN"/>
        </w:rPr>
        <w:t xml:space="preserve"> (</w:t>
      </w:r>
      <w:hyperlink r:id="rId8" w:history="1">
        <w:r w:rsidR="00BA5E0B" w:rsidRPr="009F2D2D">
          <w:rPr>
            <w:rStyle w:val="Hyperlink"/>
            <w:rFonts w:ascii="Arial" w:eastAsia="SimSun" w:hAnsi="Arial"/>
            <w:lang w:eastAsia="zh-CN"/>
          </w:rPr>
          <w:t>jogunbekun@yahoo.com</w:t>
        </w:r>
      </w:hyperlink>
      <w:r w:rsidR="00BA5E0B" w:rsidRPr="009F2D2D">
        <w:rPr>
          <w:rFonts w:ascii="Arial" w:eastAsia="SimSun" w:hAnsi="Arial"/>
          <w:lang w:eastAsia="zh-CN"/>
        </w:rPr>
        <w:t xml:space="preserve">); </w:t>
      </w:r>
    </w:p>
    <w:p w:rsidR="00A45CBF" w:rsidRPr="009F2D2D" w:rsidRDefault="00BA5E0B" w:rsidP="007564A7">
      <w:pPr>
        <w:tabs>
          <w:tab w:val="left" w:pos="1701"/>
        </w:tabs>
        <w:overflowPunct w:val="0"/>
        <w:autoSpaceDE w:val="0"/>
        <w:autoSpaceDN w:val="0"/>
        <w:adjustRightInd w:val="0"/>
        <w:spacing w:after="180"/>
        <w:textAlignment w:val="baseline"/>
        <w:rPr>
          <w:rFonts w:ascii="Arial" w:eastAsia="SimSun" w:hAnsi="Arial"/>
          <w:i/>
          <w:lang w:eastAsia="zh-CN"/>
        </w:rPr>
      </w:pPr>
      <w:r w:rsidRPr="009F2D2D">
        <w:rPr>
          <w:rFonts w:ascii="Arial" w:eastAsia="SimSun" w:hAnsi="Arial"/>
          <w:lang w:eastAsia="zh-CN"/>
        </w:rPr>
        <w:tab/>
      </w:r>
      <w:r w:rsidRPr="009F2D2D">
        <w:rPr>
          <w:rFonts w:ascii="Arial" w:eastAsia="SimSun" w:hAnsi="Arial"/>
          <w:i/>
          <w:lang w:eastAsia="zh-CN"/>
        </w:rPr>
        <w:t xml:space="preserve"> </w:t>
      </w:r>
    </w:p>
    <w:p w:rsidR="00A45CBF" w:rsidRPr="009F2D2D" w:rsidRDefault="00A45CBF" w:rsidP="00A45CBF">
      <w:pPr>
        <w:pBdr>
          <w:bottom w:val="single" w:sz="6" w:space="1" w:color="auto"/>
        </w:pBdr>
      </w:pPr>
    </w:p>
    <w:p w:rsidR="00334A32" w:rsidRDefault="002C3678" w:rsidP="00771107">
      <w:pPr>
        <w:spacing w:after="200" w:line="276" w:lineRule="auto"/>
        <w:rPr>
          <w:rFonts w:eastAsia="Malgun Gothic"/>
          <w:i/>
          <w:lang w:eastAsia="ko-KR"/>
        </w:rPr>
      </w:pPr>
      <w:r w:rsidRPr="009F2D2D">
        <w:rPr>
          <w:rFonts w:eastAsia="Calibri"/>
          <w:sz w:val="28"/>
          <w:szCs w:val="28"/>
          <w:lang w:eastAsia="en-US"/>
        </w:rPr>
        <w:t>Abstract:</w:t>
      </w:r>
      <w:r w:rsidR="00475051" w:rsidRPr="009F2D2D">
        <w:rPr>
          <w:rFonts w:eastAsia="Malgun Gothic"/>
          <w:sz w:val="28"/>
          <w:szCs w:val="28"/>
          <w:lang w:eastAsia="ko-KR"/>
        </w:rPr>
        <w:t xml:space="preserve"> </w:t>
      </w:r>
      <w:r w:rsidR="00B80D3B" w:rsidRPr="009F2D2D">
        <w:rPr>
          <w:rFonts w:eastAsia="Malgun Gothic"/>
          <w:sz w:val="28"/>
          <w:szCs w:val="28"/>
          <w:lang w:eastAsia="ko-KR"/>
        </w:rPr>
        <w:t xml:space="preserve"> </w:t>
      </w:r>
      <w:r w:rsidR="00B80D3B" w:rsidRPr="009F2D2D">
        <w:rPr>
          <w:rFonts w:eastAsia="Malgun Gothic"/>
          <w:i/>
          <w:lang w:eastAsia="ko-KR"/>
        </w:rPr>
        <w:t>This document describe</w:t>
      </w:r>
      <w:r w:rsidR="00163978" w:rsidRPr="009F2D2D">
        <w:rPr>
          <w:rFonts w:eastAsia="Malgun Gothic"/>
          <w:i/>
          <w:lang w:eastAsia="ko-KR"/>
        </w:rPr>
        <w:t xml:space="preserve">s </w:t>
      </w:r>
      <w:r w:rsidR="009F2D2D" w:rsidRPr="009F2D2D">
        <w:rPr>
          <w:rFonts w:eastAsia="Malgun Gothic"/>
          <w:i/>
          <w:lang w:eastAsia="ko-KR"/>
        </w:rPr>
        <w:t xml:space="preserve">a </w:t>
      </w:r>
      <w:r w:rsidR="00163978" w:rsidRPr="009F2D2D">
        <w:rPr>
          <w:rFonts w:eastAsia="Malgun Gothic"/>
          <w:i/>
          <w:lang w:eastAsia="ko-KR"/>
        </w:rPr>
        <w:t xml:space="preserve">proposal </w:t>
      </w:r>
      <w:r w:rsidR="005B4176">
        <w:rPr>
          <w:rFonts w:eastAsia="Malgun Gothic"/>
          <w:i/>
          <w:lang w:eastAsia="ko-KR"/>
        </w:rPr>
        <w:t xml:space="preserve">on </w:t>
      </w:r>
      <w:r w:rsidR="00334A32">
        <w:rPr>
          <w:rFonts w:eastAsia="Malgun Gothic"/>
          <w:i/>
          <w:lang w:eastAsia="ko-KR"/>
        </w:rPr>
        <w:t xml:space="preserve">possible </w:t>
      </w:r>
      <w:r w:rsidR="0011726F">
        <w:rPr>
          <w:rFonts w:eastAsia="Malgun Gothic"/>
          <w:i/>
          <w:lang w:eastAsia="ko-KR"/>
        </w:rPr>
        <w:t xml:space="preserve">category and </w:t>
      </w:r>
      <w:r w:rsidR="00334A32">
        <w:rPr>
          <w:rFonts w:eastAsia="Malgun Gothic"/>
          <w:i/>
          <w:lang w:eastAsia="ko-KR"/>
        </w:rPr>
        <w:t xml:space="preserve">consolidation of all the requirements in TR 22.886 V0.2.0 </w:t>
      </w:r>
      <w:r w:rsidR="0011726F">
        <w:rPr>
          <w:rFonts w:eastAsia="Malgun Gothic"/>
          <w:i/>
          <w:lang w:eastAsia="ko-KR"/>
        </w:rPr>
        <w:t xml:space="preserve">taking into consideration </w:t>
      </w:r>
      <w:r w:rsidR="00334A32">
        <w:rPr>
          <w:rFonts w:eastAsia="Malgun Gothic"/>
          <w:i/>
          <w:lang w:eastAsia="ko-KR"/>
        </w:rPr>
        <w:t>overlap</w:t>
      </w:r>
      <w:r w:rsidR="0011726F">
        <w:rPr>
          <w:rFonts w:eastAsia="Malgun Gothic"/>
          <w:i/>
          <w:lang w:eastAsia="ko-KR"/>
        </w:rPr>
        <w:t xml:space="preserve">s and </w:t>
      </w:r>
      <w:r w:rsidR="00334A32">
        <w:rPr>
          <w:rFonts w:eastAsia="Malgun Gothic"/>
          <w:i/>
          <w:lang w:eastAsia="ko-KR"/>
        </w:rPr>
        <w:t>conflicts in requirement.</w:t>
      </w:r>
    </w:p>
    <w:p w:rsidR="00240874" w:rsidRPr="009F2D2D" w:rsidRDefault="00240874" w:rsidP="00240874">
      <w:pPr>
        <w:spacing w:line="276" w:lineRule="auto"/>
        <w:rPr>
          <w:rFonts w:ascii="Arial" w:eastAsia="Malgun Gothic" w:hAnsi="Arial" w:cs="Arial"/>
          <w:sz w:val="22"/>
          <w:szCs w:val="22"/>
          <w:lang w:eastAsia="ko-KR"/>
        </w:rPr>
      </w:pPr>
    </w:p>
    <w:p w:rsidR="00240874" w:rsidRPr="009F2D2D" w:rsidRDefault="00D2141D" w:rsidP="00240874">
      <w:pPr>
        <w:spacing w:line="276" w:lineRule="auto"/>
        <w:rPr>
          <w:rFonts w:eastAsia="Calibri"/>
          <w:b/>
          <w:sz w:val="28"/>
          <w:szCs w:val="28"/>
          <w:lang w:eastAsia="en-US"/>
        </w:rPr>
      </w:pPr>
      <w:r>
        <w:rPr>
          <w:rFonts w:eastAsia="Calibri"/>
          <w:b/>
          <w:sz w:val="28"/>
          <w:szCs w:val="28"/>
          <w:lang w:eastAsia="en-US"/>
        </w:rPr>
        <w:t>Introduction</w:t>
      </w:r>
      <w:r w:rsidR="004873FC" w:rsidRPr="009F2D2D">
        <w:rPr>
          <w:rFonts w:eastAsia="Calibri"/>
          <w:b/>
          <w:sz w:val="28"/>
          <w:szCs w:val="28"/>
          <w:lang w:eastAsia="en-US"/>
        </w:rPr>
        <w:t>:</w:t>
      </w:r>
    </w:p>
    <w:p w:rsidR="001D48FF" w:rsidRDefault="001D48FF" w:rsidP="00240874">
      <w:pPr>
        <w:spacing w:line="276" w:lineRule="auto"/>
        <w:rPr>
          <w:rFonts w:eastAsia="Calibri"/>
          <w:b/>
          <w:sz w:val="28"/>
          <w:szCs w:val="28"/>
          <w:lang w:eastAsia="en-US"/>
        </w:rPr>
      </w:pPr>
    </w:p>
    <w:p w:rsidR="00BD7C06" w:rsidRDefault="001D48FF" w:rsidP="00240874">
      <w:pPr>
        <w:spacing w:line="276" w:lineRule="auto"/>
        <w:rPr>
          <w:rFonts w:ascii="Arial" w:eastAsia="Malgun Gothic" w:hAnsi="Arial" w:cs="Arial"/>
          <w:sz w:val="22"/>
          <w:szCs w:val="22"/>
          <w:lang w:eastAsia="ko-KR"/>
        </w:rPr>
      </w:pPr>
      <w:r>
        <w:rPr>
          <w:rFonts w:ascii="Arial" w:eastAsia="Malgun Gothic" w:hAnsi="Arial" w:cs="Arial"/>
          <w:sz w:val="22"/>
          <w:szCs w:val="22"/>
          <w:lang w:eastAsia="ko-KR"/>
        </w:rPr>
        <w:t>The table below has taken the requirements from the last meeting and reviewed the overlap/conflict in requirements, the requirements in red are proposed to be deleted and the others included the category suggested below.</w:t>
      </w:r>
    </w:p>
    <w:p w:rsidR="001D48FF" w:rsidRDefault="001D48FF" w:rsidP="00240874">
      <w:pPr>
        <w:spacing w:line="276" w:lineRule="auto"/>
        <w:rPr>
          <w:rFonts w:ascii="Arial" w:eastAsia="Malgun Gothic" w:hAnsi="Arial" w:cs="Arial"/>
          <w:sz w:val="22"/>
          <w:szCs w:val="22"/>
          <w:lang w:eastAsia="ko-KR"/>
        </w:rPr>
      </w:pPr>
    </w:p>
    <w:p w:rsidR="00BD7C06" w:rsidRDefault="00BD7C06" w:rsidP="00240874">
      <w:pPr>
        <w:spacing w:line="276" w:lineRule="auto"/>
        <w:rPr>
          <w:rFonts w:ascii="Arial" w:eastAsia="Malgun Gothic" w:hAnsi="Arial" w:cs="Arial"/>
          <w:sz w:val="22"/>
          <w:szCs w:val="22"/>
          <w:lang w:eastAsia="ko-KR"/>
        </w:rPr>
      </w:pPr>
    </w:p>
    <w:tbl>
      <w:tblPr>
        <w:tblW w:w="9540" w:type="dxa"/>
        <w:tblInd w:w="108" w:type="dxa"/>
        <w:tblLook w:val="04A0" w:firstRow="1" w:lastRow="0" w:firstColumn="1" w:lastColumn="0" w:noHBand="0" w:noVBand="1"/>
      </w:tblPr>
      <w:tblGrid>
        <w:gridCol w:w="2025"/>
        <w:gridCol w:w="1665"/>
        <w:gridCol w:w="5850"/>
      </w:tblGrid>
      <w:tr w:rsidR="00334A32" w:rsidRPr="00334A32" w:rsidTr="00334A32">
        <w:trPr>
          <w:trHeight w:val="510"/>
        </w:trPr>
        <w:tc>
          <w:tcPr>
            <w:tcW w:w="2025" w:type="dxa"/>
            <w:tcBorders>
              <w:top w:val="nil"/>
              <w:left w:val="nil"/>
              <w:bottom w:val="nil"/>
              <w:right w:val="nil"/>
            </w:tcBorders>
            <w:shd w:val="clear" w:color="auto" w:fill="auto"/>
            <w:noWrap/>
            <w:vAlign w:val="bottom"/>
            <w:hideMark/>
          </w:tcPr>
          <w:p w:rsidR="00334A32" w:rsidRPr="00334A32" w:rsidRDefault="00334A32" w:rsidP="00334A32">
            <w:pPr>
              <w:rPr>
                <w:rFonts w:eastAsia="Times New Roman"/>
                <w:color w:val="000000"/>
                <w:lang w:eastAsia="en-GB"/>
              </w:rPr>
            </w:pPr>
          </w:p>
        </w:tc>
        <w:tc>
          <w:tcPr>
            <w:tcW w:w="7515" w:type="dxa"/>
            <w:gridSpan w:val="2"/>
            <w:tcBorders>
              <w:top w:val="nil"/>
              <w:left w:val="nil"/>
              <w:bottom w:val="nil"/>
              <w:right w:val="nil"/>
            </w:tcBorders>
            <w:shd w:val="clear" w:color="auto" w:fill="auto"/>
            <w:noWrap/>
            <w:vAlign w:val="bottom"/>
            <w:hideMark/>
          </w:tcPr>
          <w:p w:rsidR="00334A32" w:rsidRPr="00334A32" w:rsidRDefault="00334A32" w:rsidP="00334A32">
            <w:pPr>
              <w:rPr>
                <w:rFonts w:eastAsia="Times New Roman"/>
                <w:b/>
                <w:bCs/>
                <w:color w:val="000000"/>
                <w:lang w:eastAsia="en-GB"/>
              </w:rPr>
            </w:pPr>
            <w:r w:rsidRPr="00334A32">
              <w:rPr>
                <w:rFonts w:eastAsia="Times New Roman"/>
                <w:b/>
                <w:bCs/>
                <w:color w:val="000000"/>
                <w:lang w:eastAsia="en-GB"/>
              </w:rPr>
              <w:t>Consolidated Requirements by Categories</w:t>
            </w:r>
          </w:p>
        </w:tc>
      </w:tr>
      <w:tr w:rsidR="00334A32" w:rsidRPr="00334A32" w:rsidTr="00334A32">
        <w:trPr>
          <w:trHeight w:val="600"/>
        </w:trPr>
        <w:tc>
          <w:tcPr>
            <w:tcW w:w="20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b/>
                <w:bCs/>
                <w:color w:val="000000"/>
                <w:sz w:val="20"/>
                <w:szCs w:val="20"/>
                <w:lang w:eastAsia="en-GB"/>
              </w:rPr>
            </w:pPr>
            <w:r w:rsidRPr="00334A32">
              <w:rPr>
                <w:rFonts w:eastAsia="Times New Roman"/>
                <w:b/>
                <w:bCs/>
                <w:color w:val="000000"/>
                <w:sz w:val="20"/>
                <w:szCs w:val="20"/>
                <w:lang w:eastAsia="en-GB"/>
              </w:rPr>
              <w:t>Communication Range</w:t>
            </w:r>
          </w:p>
        </w:tc>
        <w:tc>
          <w:tcPr>
            <w:tcW w:w="1665" w:type="dxa"/>
            <w:tcBorders>
              <w:top w:val="single" w:sz="4" w:space="0" w:color="auto"/>
              <w:left w:val="nil"/>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[PR.5.1.2-001]</w:t>
            </w:r>
          </w:p>
        </w:tc>
        <w:tc>
          <w:tcPr>
            <w:tcW w:w="5850" w:type="dxa"/>
            <w:tcBorders>
              <w:top w:val="single" w:sz="4" w:space="0" w:color="auto"/>
              <w:left w:val="nil"/>
              <w:bottom w:val="single" w:sz="4" w:space="0" w:color="auto"/>
              <w:right w:val="single" w:sz="4" w:space="0" w:color="auto"/>
            </w:tcBorders>
            <w:shd w:val="clear" w:color="auto" w:fill="auto"/>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able to control the communication range for a message based on the characteristic of the messages transmitted by a UE supporting V2X application.</w:t>
            </w:r>
          </w:p>
        </w:tc>
      </w:tr>
      <w:tr w:rsidR="00334A32" w:rsidRPr="00334A32" w:rsidTr="00334A32">
        <w:trPr>
          <w:trHeight w:val="885"/>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[PR.5.6.2-006]</w:t>
            </w:r>
          </w:p>
        </w:tc>
        <w:tc>
          <w:tcPr>
            <w:tcW w:w="5850" w:type="dxa"/>
            <w:tcBorders>
              <w:top w:val="nil"/>
              <w:left w:val="nil"/>
              <w:bottom w:val="single" w:sz="4" w:space="0" w:color="auto"/>
              <w:right w:val="single" w:sz="4" w:space="0" w:color="auto"/>
            </w:tcBorders>
            <w:shd w:val="clear" w:color="auto" w:fill="auto"/>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able to support [50Mbps] over large distance [1000meters].</w:t>
            </w:r>
          </w:p>
        </w:tc>
      </w:tr>
      <w:tr w:rsidR="00334A32" w:rsidRPr="00334A32" w:rsidTr="00334A32">
        <w:trPr>
          <w:trHeight w:val="6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[PR-5.x.2-009]</w:t>
            </w:r>
          </w:p>
        </w:tc>
        <w:tc>
          <w:tcPr>
            <w:tcW w:w="5850" w:type="dxa"/>
            <w:tcBorders>
              <w:top w:val="nil"/>
              <w:left w:val="nil"/>
              <w:bottom w:val="single" w:sz="4" w:space="0" w:color="auto"/>
              <w:right w:val="single" w:sz="4" w:space="0" w:color="auto"/>
            </w:tcBorders>
            <w:shd w:val="clear" w:color="000000" w:fill="FF0000"/>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a communication range sufficient to give the predictive information to the vehicles in proximity (e.g. [10] sec * (maximum relative speed) [m/s]).</w:t>
            </w:r>
          </w:p>
        </w:tc>
      </w:tr>
      <w:tr w:rsidR="00334A32" w:rsidRPr="00334A32" w:rsidTr="00334A32">
        <w:trPr>
          <w:trHeight w:val="6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[PR-5.z.2-006]</w:t>
            </w:r>
          </w:p>
        </w:tc>
        <w:tc>
          <w:tcPr>
            <w:tcW w:w="5850" w:type="dxa"/>
            <w:tcBorders>
              <w:top w:val="nil"/>
              <w:left w:val="nil"/>
              <w:bottom w:val="single" w:sz="4" w:space="0" w:color="auto"/>
              <w:right w:val="single" w:sz="4" w:space="0" w:color="auto"/>
            </w:tcBorders>
            <w:shd w:val="clear" w:color="auto" w:fill="auto"/>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a communication range sufficient to give the predictive information to the vehicles in proximity (e.g. [5] sec * (maximum relative speed) [m/s]).</w:t>
            </w:r>
          </w:p>
        </w:tc>
      </w:tr>
      <w:tr w:rsidR="00334A32" w:rsidRPr="00334A32" w:rsidTr="00334A32">
        <w:trPr>
          <w:trHeight w:val="6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[PR-5.y.2-009]</w:t>
            </w:r>
          </w:p>
        </w:tc>
        <w:tc>
          <w:tcPr>
            <w:tcW w:w="5850" w:type="dxa"/>
            <w:tcBorders>
              <w:top w:val="nil"/>
              <w:left w:val="nil"/>
              <w:bottom w:val="single" w:sz="4" w:space="0" w:color="auto"/>
              <w:right w:val="single" w:sz="4" w:space="0" w:color="auto"/>
            </w:tcBorders>
            <w:shd w:val="clear" w:color="000000" w:fill="FF0000"/>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a communication range sufficient to give the predictive information to the vehicles in proximity (e.g. [10] sec * (maximum relative speed) [m/s]).</w:t>
            </w:r>
          </w:p>
        </w:tc>
      </w:tr>
      <w:tr w:rsidR="00334A32" w:rsidRPr="00334A32" w:rsidTr="00334A32">
        <w:trPr>
          <w:trHeight w:val="6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[PR-5.w.2-006]</w:t>
            </w:r>
          </w:p>
        </w:tc>
        <w:tc>
          <w:tcPr>
            <w:tcW w:w="5850" w:type="dxa"/>
            <w:tcBorders>
              <w:top w:val="nil"/>
              <w:left w:val="nil"/>
              <w:bottom w:val="single" w:sz="4" w:space="0" w:color="auto"/>
              <w:right w:val="single" w:sz="4" w:space="0" w:color="auto"/>
            </w:tcBorders>
            <w:shd w:val="clear" w:color="000000" w:fill="FF0000"/>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a communication range sufficient to give the predictive information to the vehicles in proximity (e.g. [5] sec * (maximum relative speed) [m/s]).</w:t>
            </w:r>
          </w:p>
        </w:tc>
      </w:tr>
      <w:tr w:rsidR="00334A32" w:rsidRPr="00334A32" w:rsidTr="00334A32">
        <w:trPr>
          <w:trHeight w:val="6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b/>
                <w:bCs/>
                <w:color w:val="000000"/>
                <w:sz w:val="20"/>
                <w:szCs w:val="20"/>
                <w:lang w:eastAsia="en-GB"/>
              </w:rPr>
            </w:pPr>
            <w:r w:rsidRPr="00334A32">
              <w:rPr>
                <w:rFonts w:eastAsia="Times New Roman"/>
                <w:b/>
                <w:bCs/>
                <w:color w:val="000000"/>
                <w:sz w:val="20"/>
                <w:szCs w:val="20"/>
                <w:lang w:eastAsia="en-GB"/>
              </w:rPr>
              <w:t>Frequency</w:t>
            </w:r>
          </w:p>
        </w:tc>
        <w:tc>
          <w:tcPr>
            <w:tcW w:w="1665" w:type="dxa"/>
            <w:tcBorders>
              <w:top w:val="nil"/>
              <w:left w:val="nil"/>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[PR.5.2.2-002] </w:t>
            </w:r>
          </w:p>
        </w:tc>
        <w:tc>
          <w:tcPr>
            <w:tcW w:w="5850" w:type="dxa"/>
            <w:tcBorders>
              <w:top w:val="nil"/>
              <w:left w:val="nil"/>
              <w:bottom w:val="single" w:sz="4" w:space="0" w:color="auto"/>
              <w:right w:val="single" w:sz="4" w:space="0" w:color="auto"/>
            </w:tcBorders>
            <w:shd w:val="clear" w:color="auto" w:fill="auto"/>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able to support the transport of [TBD] V2X messages per second between a UE supporting V2X application and a RSU via another UE supporting V2X application</w:t>
            </w:r>
            <w:proofErr w:type="gramStart"/>
            <w:r w:rsidRPr="00334A32">
              <w:rPr>
                <w:rFonts w:eastAsia="Times New Roman"/>
                <w:color w:val="000000"/>
                <w:sz w:val="20"/>
                <w:szCs w:val="20"/>
                <w:lang w:eastAsia="en-GB"/>
              </w:rPr>
              <w:t>..</w:t>
            </w:r>
            <w:proofErr w:type="gramEnd"/>
            <w:r w:rsidRPr="00334A32">
              <w:rPr>
                <w:rFonts w:eastAsia="Times New Roman"/>
                <w:color w:val="000000"/>
                <w:sz w:val="20"/>
                <w:szCs w:val="20"/>
                <w:lang w:eastAsia="en-GB"/>
              </w:rPr>
              <w:t xml:space="preserve"> </w:t>
            </w:r>
          </w:p>
        </w:tc>
      </w:tr>
      <w:tr w:rsidR="00334A32" w:rsidRPr="00334A32" w:rsidTr="00334A32">
        <w:trPr>
          <w:trHeight w:val="3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[PR-5.3.2-003]</w:t>
            </w:r>
          </w:p>
        </w:tc>
        <w:tc>
          <w:tcPr>
            <w:tcW w:w="5850" w:type="dxa"/>
            <w:tcBorders>
              <w:top w:val="nil"/>
              <w:left w:val="nil"/>
              <w:bottom w:val="single" w:sz="4" w:space="0" w:color="auto"/>
              <w:right w:val="single" w:sz="4" w:space="0" w:color="auto"/>
            </w:tcBorders>
            <w:shd w:val="clear" w:color="auto" w:fill="auto"/>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support burst transmission of large quantities of data [TBD </w:t>
            </w:r>
            <w:proofErr w:type="spellStart"/>
            <w:r w:rsidRPr="00334A32">
              <w:rPr>
                <w:rFonts w:eastAsia="Times New Roman"/>
                <w:color w:val="000000"/>
                <w:sz w:val="20"/>
                <w:szCs w:val="20"/>
                <w:lang w:eastAsia="en-GB"/>
              </w:rPr>
              <w:t>Mbs</w:t>
            </w:r>
            <w:proofErr w:type="spellEnd"/>
            <w:r w:rsidRPr="00334A32">
              <w:rPr>
                <w:rFonts w:eastAsia="Times New Roman"/>
                <w:color w:val="000000"/>
                <w:sz w:val="20"/>
                <w:szCs w:val="20"/>
                <w:lang w:eastAsia="en-GB"/>
              </w:rPr>
              <w:t>]</w:t>
            </w:r>
          </w:p>
        </w:tc>
      </w:tr>
      <w:tr w:rsidR="00334A32" w:rsidRPr="00334A32" w:rsidTr="00334A32">
        <w:trPr>
          <w:trHeight w:val="6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[PR.5.4.2-001]</w:t>
            </w:r>
          </w:p>
        </w:tc>
        <w:tc>
          <w:tcPr>
            <w:tcW w:w="5850" w:type="dxa"/>
            <w:tcBorders>
              <w:top w:val="nil"/>
              <w:left w:val="nil"/>
              <w:bottom w:val="single" w:sz="4" w:space="0" w:color="auto"/>
              <w:right w:val="single" w:sz="4" w:space="0" w:color="auto"/>
            </w:tcBorders>
            <w:shd w:val="clear" w:color="auto" w:fill="auto"/>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support user experienced data rate up to [5] Mbps at DL and [50] Mbps at UL for UE supporting V2X application up to [250] km/h.</w:t>
            </w:r>
          </w:p>
        </w:tc>
      </w:tr>
      <w:tr w:rsidR="00334A32" w:rsidRPr="00334A32" w:rsidTr="00334A32">
        <w:trPr>
          <w:trHeight w:val="6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lastRenderedPageBreak/>
              <w:t> </w:t>
            </w:r>
          </w:p>
        </w:tc>
        <w:tc>
          <w:tcPr>
            <w:tcW w:w="1665" w:type="dxa"/>
            <w:tcBorders>
              <w:top w:val="nil"/>
              <w:left w:val="nil"/>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[PR.5.6.2-007]</w:t>
            </w:r>
          </w:p>
        </w:tc>
        <w:tc>
          <w:tcPr>
            <w:tcW w:w="5850" w:type="dxa"/>
            <w:tcBorders>
              <w:top w:val="nil"/>
              <w:left w:val="nil"/>
              <w:bottom w:val="single" w:sz="4" w:space="0" w:color="auto"/>
              <w:right w:val="single" w:sz="4" w:space="0" w:color="auto"/>
            </w:tcBorders>
            <w:shd w:val="clear" w:color="auto" w:fill="auto"/>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able to support peak data rate of [1Gbps] for a single UE for a short period of time in range of [50meters], in case of imminent collision.</w:t>
            </w:r>
          </w:p>
        </w:tc>
      </w:tr>
      <w:tr w:rsidR="00334A32" w:rsidRPr="00334A32" w:rsidTr="00334A32">
        <w:trPr>
          <w:trHeight w:val="6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[PR-5.x.2-001]</w:t>
            </w:r>
          </w:p>
        </w:tc>
        <w:tc>
          <w:tcPr>
            <w:tcW w:w="5850" w:type="dxa"/>
            <w:tcBorders>
              <w:top w:val="nil"/>
              <w:left w:val="nil"/>
              <w:bottom w:val="single" w:sz="4" w:space="0" w:color="auto"/>
              <w:right w:val="single" w:sz="4" w:space="0" w:color="auto"/>
            </w:tcBorders>
            <w:shd w:val="clear" w:color="auto" w:fill="auto"/>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network shall enable communication between UEs to support message exchange with [10 Mbps] data throughput with less than [10 </w:t>
            </w:r>
            <w:proofErr w:type="spellStart"/>
            <w:r w:rsidRPr="00334A32">
              <w:rPr>
                <w:rFonts w:eastAsia="Times New Roman"/>
                <w:color w:val="000000"/>
                <w:sz w:val="20"/>
                <w:szCs w:val="20"/>
                <w:lang w:eastAsia="en-GB"/>
              </w:rPr>
              <w:t>ms</w:t>
            </w:r>
            <w:proofErr w:type="spellEnd"/>
            <w:r w:rsidRPr="00334A32">
              <w:rPr>
                <w:rFonts w:eastAsia="Times New Roman"/>
                <w:color w:val="000000"/>
                <w:sz w:val="20"/>
                <w:szCs w:val="20"/>
                <w:lang w:eastAsia="en-GB"/>
              </w:rPr>
              <w:t xml:space="preserve">] latency. </w:t>
            </w:r>
          </w:p>
        </w:tc>
      </w:tr>
      <w:tr w:rsidR="00334A32" w:rsidRPr="00334A32" w:rsidTr="00334A32">
        <w:trPr>
          <w:trHeight w:val="3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[PR-5.x.2-001]</w:t>
            </w:r>
          </w:p>
        </w:tc>
        <w:tc>
          <w:tcPr>
            <w:tcW w:w="5850" w:type="dxa"/>
            <w:tcBorders>
              <w:top w:val="nil"/>
              <w:left w:val="nil"/>
              <w:bottom w:val="single" w:sz="4" w:space="0" w:color="auto"/>
              <w:right w:val="single" w:sz="4" w:space="0" w:color="auto"/>
            </w:tcBorders>
            <w:shd w:val="clear" w:color="auto" w:fill="auto"/>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user experienced data rate of [0.55] Mbps between UEs supporting V2X application.</w:t>
            </w:r>
          </w:p>
        </w:tc>
      </w:tr>
      <w:tr w:rsidR="00334A32" w:rsidRPr="00334A32" w:rsidTr="00334A32">
        <w:trPr>
          <w:trHeight w:val="6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[PR-5.x.2-002]</w:t>
            </w:r>
          </w:p>
        </w:tc>
        <w:tc>
          <w:tcPr>
            <w:tcW w:w="5850" w:type="dxa"/>
            <w:tcBorders>
              <w:top w:val="nil"/>
              <w:left w:val="nil"/>
              <w:bottom w:val="single" w:sz="4" w:space="0" w:color="auto"/>
              <w:right w:val="single" w:sz="4" w:space="0" w:color="auto"/>
            </w:tcBorders>
            <w:shd w:val="clear" w:color="auto" w:fill="auto"/>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be capable of supporting user experienced data rate of [0.5] </w:t>
            </w:r>
            <w:r w:rsidRPr="00334A32">
              <w:rPr>
                <w:rFonts w:eastAsia="Times New Roman"/>
                <w:color w:val="FF0000"/>
                <w:sz w:val="20"/>
                <w:szCs w:val="20"/>
                <w:lang w:eastAsia="en-GB"/>
              </w:rPr>
              <w:t xml:space="preserve">(minimum) </w:t>
            </w:r>
            <w:r w:rsidRPr="00334A32">
              <w:rPr>
                <w:rFonts w:eastAsia="Times New Roman"/>
                <w:color w:val="000000"/>
                <w:sz w:val="20"/>
                <w:szCs w:val="20"/>
                <w:lang w:eastAsia="en-GB"/>
              </w:rPr>
              <w:t>Mbps between a UE supporting V2X application and an RSU.</w:t>
            </w:r>
          </w:p>
        </w:tc>
      </w:tr>
      <w:tr w:rsidR="00334A32" w:rsidRPr="00334A32" w:rsidTr="00334A32">
        <w:trPr>
          <w:trHeight w:val="3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[PR-5.x.2-005]</w:t>
            </w:r>
          </w:p>
        </w:tc>
        <w:tc>
          <w:tcPr>
            <w:tcW w:w="5850" w:type="dxa"/>
            <w:tcBorders>
              <w:top w:val="nil"/>
              <w:left w:val="nil"/>
              <w:bottom w:val="single" w:sz="4" w:space="0" w:color="auto"/>
              <w:right w:val="single" w:sz="4" w:space="0" w:color="auto"/>
            </w:tcBorders>
            <w:shd w:val="clear" w:color="auto" w:fill="auto"/>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a maximum frequency of [10] messages per second per transmitting UE.</w:t>
            </w:r>
          </w:p>
        </w:tc>
      </w:tr>
      <w:tr w:rsidR="00334A32" w:rsidRPr="00334A32" w:rsidTr="00334A32">
        <w:trPr>
          <w:trHeight w:val="3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[PR-5.z.2-001]</w:t>
            </w:r>
          </w:p>
        </w:tc>
        <w:tc>
          <w:tcPr>
            <w:tcW w:w="5850" w:type="dxa"/>
            <w:tcBorders>
              <w:top w:val="nil"/>
              <w:left w:val="nil"/>
              <w:bottom w:val="single" w:sz="4" w:space="0" w:color="auto"/>
              <w:right w:val="single" w:sz="4" w:space="0" w:color="auto"/>
            </w:tcBorders>
            <w:shd w:val="clear" w:color="000000" w:fill="FF0000"/>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user experienced data rate of [53] Mbps between UEs supporting V2X application.</w:t>
            </w:r>
          </w:p>
        </w:tc>
      </w:tr>
      <w:tr w:rsidR="00334A32" w:rsidRPr="00334A32" w:rsidTr="00334A32">
        <w:trPr>
          <w:trHeight w:val="6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[PR-5.z.2-002]</w:t>
            </w:r>
          </w:p>
        </w:tc>
        <w:tc>
          <w:tcPr>
            <w:tcW w:w="5850" w:type="dxa"/>
            <w:tcBorders>
              <w:top w:val="nil"/>
              <w:left w:val="nil"/>
              <w:bottom w:val="single" w:sz="4" w:space="0" w:color="auto"/>
              <w:right w:val="single" w:sz="4" w:space="0" w:color="auto"/>
            </w:tcBorders>
            <w:shd w:val="clear" w:color="000000" w:fill="FF0000"/>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user experienced data rate of [50] Mbps between a UE supporting V2X application and an RSU.</w:t>
            </w:r>
          </w:p>
        </w:tc>
      </w:tr>
      <w:tr w:rsidR="00334A32" w:rsidRPr="00334A32" w:rsidTr="00334A32">
        <w:trPr>
          <w:trHeight w:val="3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[PR-5.y.2-001]</w:t>
            </w:r>
          </w:p>
        </w:tc>
        <w:tc>
          <w:tcPr>
            <w:tcW w:w="5850" w:type="dxa"/>
            <w:tcBorders>
              <w:top w:val="nil"/>
              <w:left w:val="nil"/>
              <w:bottom w:val="single" w:sz="4" w:space="0" w:color="auto"/>
              <w:right w:val="single" w:sz="4" w:space="0" w:color="auto"/>
            </w:tcBorders>
            <w:shd w:val="clear" w:color="000000" w:fill="FF0000"/>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user experienced data rate of [2.75] Mbps between UEs supporting V2X application.</w:t>
            </w:r>
          </w:p>
        </w:tc>
      </w:tr>
      <w:tr w:rsidR="00334A32" w:rsidRPr="00334A32" w:rsidTr="00334A32">
        <w:trPr>
          <w:trHeight w:val="9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[PR-5.y.2-002]</w:t>
            </w:r>
          </w:p>
        </w:tc>
        <w:tc>
          <w:tcPr>
            <w:tcW w:w="5850" w:type="dxa"/>
            <w:tcBorders>
              <w:top w:val="nil"/>
              <w:left w:val="nil"/>
              <w:bottom w:val="single" w:sz="4" w:space="0" w:color="auto"/>
              <w:right w:val="single" w:sz="4" w:space="0" w:color="auto"/>
            </w:tcBorders>
            <w:shd w:val="clear" w:color="auto" w:fill="auto"/>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user experienced data rate of [2.5] (</w:t>
            </w:r>
            <w:proofErr w:type="gramStart"/>
            <w:r w:rsidRPr="00334A32">
              <w:rPr>
                <w:rFonts w:eastAsia="Times New Roman"/>
                <w:color w:val="FF0000"/>
                <w:sz w:val="20"/>
                <w:szCs w:val="20"/>
                <w:lang w:eastAsia="en-GB"/>
              </w:rPr>
              <w:t>minimum )</w:t>
            </w:r>
            <w:proofErr w:type="gramEnd"/>
            <w:r w:rsidRPr="00334A32">
              <w:rPr>
                <w:rFonts w:eastAsia="Times New Roman"/>
                <w:color w:val="000000"/>
                <w:sz w:val="20"/>
                <w:szCs w:val="20"/>
                <w:lang w:eastAsia="en-GB"/>
              </w:rPr>
              <w:t xml:space="preserve"> Mbps between a UE supporting V2X application and an RSU.</w:t>
            </w:r>
            <w:r w:rsidRPr="00334A32">
              <w:rPr>
                <w:rFonts w:eastAsia="Times New Roman"/>
                <w:color w:val="000000"/>
                <w:sz w:val="20"/>
                <w:szCs w:val="20"/>
                <w:lang w:eastAsia="en-GB"/>
              </w:rPr>
              <w:br/>
            </w:r>
            <w:r w:rsidRPr="00334A32">
              <w:rPr>
                <w:rFonts w:eastAsia="Times New Roman"/>
                <w:color w:val="FF0000"/>
                <w:sz w:val="20"/>
                <w:szCs w:val="20"/>
                <w:lang w:eastAsia="en-GB"/>
              </w:rPr>
              <w:t>Note: this value should cover all other values</w:t>
            </w:r>
          </w:p>
        </w:tc>
      </w:tr>
      <w:tr w:rsidR="00334A32" w:rsidRPr="00334A32" w:rsidTr="00334A32">
        <w:trPr>
          <w:trHeight w:val="3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[PR-5.y.2-005]</w:t>
            </w:r>
          </w:p>
        </w:tc>
        <w:tc>
          <w:tcPr>
            <w:tcW w:w="5850" w:type="dxa"/>
            <w:tcBorders>
              <w:top w:val="nil"/>
              <w:left w:val="nil"/>
              <w:bottom w:val="single" w:sz="4" w:space="0" w:color="auto"/>
              <w:right w:val="single" w:sz="4" w:space="0" w:color="auto"/>
            </w:tcBorders>
            <w:shd w:val="clear" w:color="000000" w:fill="FF0000"/>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a maximum frequency of [50] messages per second per transmitting UE.</w:t>
            </w:r>
          </w:p>
        </w:tc>
      </w:tr>
      <w:tr w:rsidR="00334A32" w:rsidRPr="00334A32" w:rsidTr="00334A32">
        <w:trPr>
          <w:trHeight w:val="3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[PR-5.w.2-001]</w:t>
            </w:r>
          </w:p>
        </w:tc>
        <w:tc>
          <w:tcPr>
            <w:tcW w:w="5850" w:type="dxa"/>
            <w:tcBorders>
              <w:top w:val="nil"/>
              <w:left w:val="nil"/>
              <w:bottom w:val="single" w:sz="4" w:space="0" w:color="auto"/>
              <w:right w:val="single" w:sz="4" w:space="0" w:color="auto"/>
            </w:tcBorders>
            <w:shd w:val="clear" w:color="000000" w:fill="FF0000"/>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user experienced data rate of [65] Mbps between UEs supporting V2X application.</w:t>
            </w:r>
          </w:p>
        </w:tc>
      </w:tr>
      <w:tr w:rsidR="00334A32" w:rsidRPr="00334A32" w:rsidTr="00334A32">
        <w:trPr>
          <w:trHeight w:val="6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[PR-5.w.2-002]</w:t>
            </w:r>
          </w:p>
        </w:tc>
        <w:tc>
          <w:tcPr>
            <w:tcW w:w="5850" w:type="dxa"/>
            <w:tcBorders>
              <w:top w:val="nil"/>
              <w:left w:val="nil"/>
              <w:bottom w:val="single" w:sz="4" w:space="0" w:color="auto"/>
              <w:right w:val="single" w:sz="4" w:space="0" w:color="auto"/>
            </w:tcBorders>
            <w:shd w:val="clear" w:color="000000" w:fill="FF0000"/>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user experienced data rate of [50] Mbps between a UE supporting V2X application and an RSU.</w:t>
            </w:r>
          </w:p>
        </w:tc>
      </w:tr>
      <w:tr w:rsidR="00334A32" w:rsidRPr="00334A32" w:rsidTr="00334A32">
        <w:trPr>
          <w:trHeight w:val="4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b/>
                <w:bCs/>
                <w:color w:val="000000"/>
                <w:sz w:val="20"/>
                <w:szCs w:val="20"/>
                <w:lang w:eastAsia="en-GB"/>
              </w:rPr>
            </w:pPr>
            <w:r w:rsidRPr="00334A32">
              <w:rPr>
                <w:rFonts w:eastAsia="Times New Roman"/>
                <w:b/>
                <w:bCs/>
                <w:color w:val="000000"/>
                <w:sz w:val="20"/>
                <w:szCs w:val="20"/>
                <w:lang w:eastAsia="en-GB"/>
              </w:rPr>
              <w:t>Frequency/Latency</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[PR.5.X.2-001]</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network shall enable communication between UEs with [10Mbps] data rate, less than [50ms] latency and [90%] reliability within a communication range of [100m].</w:t>
            </w:r>
          </w:p>
        </w:tc>
      </w:tr>
      <w:tr w:rsidR="00334A32" w:rsidRPr="00334A32" w:rsidTr="00334A32">
        <w:trPr>
          <w:trHeight w:val="4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[PR.5.X.2-002]</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network shall enable communication with up to [700Mbitps] data rate, less than [10ms] latency and [99.99%] reliability within communication range of [500m].</w:t>
            </w:r>
          </w:p>
        </w:tc>
      </w:tr>
      <w:tr w:rsidR="00334A32" w:rsidRPr="00334A32" w:rsidTr="00334A32">
        <w:trPr>
          <w:trHeight w:val="4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[PR-5.x.2-001]</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network shall enable communication between a UE and a server (e.g. far end server or a server hosted by another UE), to exchange messages to support [15Mbps] in uplink and downlink direction with less than [20ms] end-to-end latency and [99.999%] reliability.</w:t>
            </w:r>
          </w:p>
        </w:tc>
      </w:tr>
      <w:tr w:rsidR="00334A32" w:rsidRPr="00334A32" w:rsidTr="00334A32">
        <w:trPr>
          <w:trHeight w:val="3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b/>
                <w:bCs/>
                <w:color w:val="000000"/>
                <w:sz w:val="20"/>
                <w:szCs w:val="20"/>
                <w:lang w:eastAsia="en-GB"/>
              </w:rPr>
            </w:pPr>
            <w:r w:rsidRPr="00334A32">
              <w:rPr>
                <w:rFonts w:eastAsia="Times New Roman"/>
                <w:b/>
                <w:bCs/>
                <w:color w:val="000000"/>
                <w:sz w:val="20"/>
                <w:szCs w:val="20"/>
                <w:lang w:eastAsia="en-GB"/>
              </w:rPr>
              <w:t>Group Management</w:t>
            </w:r>
          </w:p>
        </w:tc>
        <w:tc>
          <w:tcPr>
            <w:tcW w:w="1665" w:type="dxa"/>
            <w:tcBorders>
              <w:top w:val="nil"/>
              <w:left w:val="nil"/>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[PR.5.1.2-003]</w:t>
            </w:r>
          </w:p>
        </w:tc>
        <w:tc>
          <w:tcPr>
            <w:tcW w:w="5850" w:type="dxa"/>
            <w:tcBorders>
              <w:top w:val="nil"/>
              <w:left w:val="nil"/>
              <w:bottom w:val="single" w:sz="4" w:space="0" w:color="auto"/>
              <w:right w:val="single" w:sz="4" w:space="0" w:color="auto"/>
            </w:tcBorders>
            <w:shd w:val="clear" w:color="auto" w:fill="auto"/>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be able to create/destroy a group for UEs supporting V2X application. </w:t>
            </w:r>
          </w:p>
        </w:tc>
      </w:tr>
      <w:tr w:rsidR="00334A32" w:rsidRPr="00334A32" w:rsidTr="00334A32">
        <w:trPr>
          <w:trHeight w:val="3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[PR.5.1.2-004]</w:t>
            </w:r>
          </w:p>
        </w:tc>
        <w:tc>
          <w:tcPr>
            <w:tcW w:w="5850" w:type="dxa"/>
            <w:tcBorders>
              <w:top w:val="nil"/>
              <w:left w:val="nil"/>
              <w:bottom w:val="single" w:sz="4" w:space="0" w:color="auto"/>
              <w:right w:val="single" w:sz="4" w:space="0" w:color="auto"/>
            </w:tcBorders>
            <w:shd w:val="clear" w:color="auto" w:fill="auto"/>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be able to support up to [5] UEs for a group of UEs supporting V2X application. </w:t>
            </w:r>
          </w:p>
        </w:tc>
      </w:tr>
      <w:tr w:rsidR="00334A32" w:rsidRPr="00334A32" w:rsidTr="00334A32">
        <w:trPr>
          <w:trHeight w:val="3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[PR.5.1.2-005]</w:t>
            </w:r>
          </w:p>
        </w:tc>
        <w:tc>
          <w:tcPr>
            <w:tcW w:w="5850" w:type="dxa"/>
            <w:tcBorders>
              <w:top w:val="nil"/>
              <w:left w:val="nil"/>
              <w:bottom w:val="single" w:sz="4" w:space="0" w:color="auto"/>
              <w:right w:val="single" w:sz="4" w:space="0" w:color="auto"/>
            </w:tcBorders>
            <w:shd w:val="clear" w:color="auto" w:fill="auto"/>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be able to add/remove a UE supporting V2X application into a group of UEs supporting V2X application. </w:t>
            </w:r>
          </w:p>
        </w:tc>
      </w:tr>
      <w:tr w:rsidR="00334A32" w:rsidRPr="00334A32" w:rsidTr="00334A32">
        <w:trPr>
          <w:trHeight w:val="72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b/>
                <w:bCs/>
                <w:color w:val="000000"/>
                <w:sz w:val="20"/>
                <w:szCs w:val="20"/>
                <w:lang w:eastAsia="en-GB"/>
              </w:rPr>
            </w:pPr>
            <w:r w:rsidRPr="00334A32">
              <w:rPr>
                <w:rFonts w:eastAsia="Times New Roman"/>
                <w:b/>
                <w:bCs/>
                <w:color w:val="000000"/>
                <w:sz w:val="20"/>
                <w:szCs w:val="20"/>
                <w:lang w:eastAsia="en-GB"/>
              </w:rPr>
              <w:t>General Requirement</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[PR-5.x.2-001]</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[from 2360] The 3GPP system shall be able to support message transfer between UEs or between a UE and a UE-type RSU, regardless of whether or not they are subscriber of the same PLMN supporting V2X communications. In case they are subscribers to different PLMNs, there shall be no service degradation of the message transfer.</w:t>
            </w:r>
          </w:p>
        </w:tc>
      </w:tr>
      <w:tr w:rsidR="00334A32" w:rsidRPr="00334A32" w:rsidTr="00334A32">
        <w:trPr>
          <w:trHeight w:val="51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[PR-5.3.2-004]</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support efficient coordination of radio resources used for V2X communication to maximize the utilisation of the available spectrum and to ensure the required reliability.</w:t>
            </w:r>
          </w:p>
        </w:tc>
      </w:tr>
      <w:tr w:rsidR="00334A32" w:rsidRPr="00334A32" w:rsidTr="00334A32">
        <w:trPr>
          <w:trHeight w:val="765"/>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[PR-5.3.2-005]</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support high connection density for congested traffic, estimate below is for worst case US Freeway scenario that does not include arterial roads (i.e. onramps): 5 lanes in each direction or 10 lanes total per highway, for up to 3 highways intersecting = </w:t>
            </w:r>
            <w:r w:rsidRPr="00334A32">
              <w:rPr>
                <w:rFonts w:eastAsia="Times New Roman"/>
                <w:color w:val="000000"/>
                <w:sz w:val="20"/>
                <w:szCs w:val="20"/>
                <w:lang w:eastAsia="en-GB"/>
              </w:rPr>
              <w:lastRenderedPageBreak/>
              <w:t xml:space="preserve">15,840 cars </w:t>
            </w:r>
            <w:r w:rsidRPr="00334A32">
              <w:rPr>
                <w:rFonts w:eastAsia="Times New Roman"/>
                <w:color w:val="000000"/>
                <w:sz w:val="20"/>
                <w:szCs w:val="20"/>
                <w:lang w:eastAsia="en-GB"/>
              </w:rPr>
              <w:br/>
              <w:t>per mile.</w:t>
            </w:r>
          </w:p>
        </w:tc>
      </w:tr>
      <w:tr w:rsidR="00334A32" w:rsidRPr="00334A32" w:rsidTr="00334A32">
        <w:trPr>
          <w:trHeight w:val="3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lastRenderedPageBreak/>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[PR-5.5.2-007]</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r w:rsidR="00752E9A" w:rsidRPr="00752E9A">
              <w:rPr>
                <w:rFonts w:eastAsia="Times New Roman"/>
                <w:color w:val="000000"/>
                <w:sz w:val="20"/>
                <w:szCs w:val="20"/>
                <w:lang w:eastAsia="en-GB"/>
              </w:rPr>
              <w:t>The 3GPP system shall support relative lateral position accuracy of [0.1 m]</w:t>
            </w:r>
          </w:p>
        </w:tc>
      </w:tr>
      <w:tr w:rsidR="00334A32" w:rsidRPr="00334A32" w:rsidTr="00334A32">
        <w:trPr>
          <w:trHeight w:val="72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[PR-5.5.2-008]</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support relative longitudinal position accuracy of less than [0.5 m] for close vehicle following</w:t>
            </w:r>
          </w:p>
        </w:tc>
      </w:tr>
      <w:tr w:rsidR="00334A32" w:rsidRPr="00334A32" w:rsidTr="00334A32">
        <w:trPr>
          <w:trHeight w:val="12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[PR-5.5.2-010]</w:t>
            </w:r>
          </w:p>
        </w:tc>
        <w:tc>
          <w:tcPr>
            <w:tcW w:w="5850"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support high connection density for congested traffic, estimate below is for worst case US Freeway scenario that does not include arterial roads (i.e. onramps): 5 lanes in each direction or 10 lanes total per highway, for up to 3 highways intersecting = 15,840 cars per mile.</w:t>
            </w:r>
          </w:p>
        </w:tc>
      </w:tr>
      <w:tr w:rsidR="00334A32" w:rsidRPr="00334A32" w:rsidTr="00334A32">
        <w:trPr>
          <w:trHeight w:val="63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[PR-x.1.2-010]</w:t>
            </w:r>
          </w:p>
        </w:tc>
        <w:tc>
          <w:tcPr>
            <w:tcW w:w="5850"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a high connection density.</w:t>
            </w:r>
          </w:p>
        </w:tc>
      </w:tr>
      <w:tr w:rsidR="00334A32" w:rsidRPr="00334A32" w:rsidTr="00334A32">
        <w:trPr>
          <w:trHeight w:val="72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[PR-5.z.2-007]</w:t>
            </w:r>
          </w:p>
        </w:tc>
        <w:tc>
          <w:tcPr>
            <w:tcW w:w="5850"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a high connection density.</w:t>
            </w:r>
          </w:p>
        </w:tc>
      </w:tr>
      <w:tr w:rsidR="00334A32" w:rsidRPr="00334A32" w:rsidTr="00334A32">
        <w:trPr>
          <w:trHeight w:val="885"/>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[PR-5.w.2-007]</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a high connection density.</w:t>
            </w:r>
          </w:p>
        </w:tc>
      </w:tr>
      <w:tr w:rsidR="00334A32" w:rsidRPr="00334A32" w:rsidTr="00334A32">
        <w:trPr>
          <w:trHeight w:val="7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[PR.5.X.2-001]</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UE using 5G </w:t>
            </w:r>
            <w:proofErr w:type="gramStart"/>
            <w:r w:rsidRPr="00334A32">
              <w:rPr>
                <w:rFonts w:eastAsia="Times New Roman"/>
                <w:color w:val="000000"/>
                <w:sz w:val="20"/>
                <w:szCs w:val="20"/>
                <w:lang w:eastAsia="en-GB"/>
              </w:rPr>
              <w:t>RA(</w:t>
            </w:r>
            <w:proofErr w:type="gramEnd"/>
            <w:r w:rsidRPr="00334A32">
              <w:rPr>
                <w:rFonts w:eastAsia="Times New Roman"/>
                <w:color w:val="000000"/>
                <w:sz w:val="20"/>
                <w:szCs w:val="20"/>
                <w:lang w:eastAsia="en-GB"/>
              </w:rPr>
              <w:t>N) based V2X communication shall be able to communicate with UE using E-UTRA(N) based V2X communication.</w:t>
            </w:r>
          </w:p>
        </w:tc>
      </w:tr>
      <w:tr w:rsidR="00334A32" w:rsidRPr="00334A32" w:rsidTr="00334A32">
        <w:trPr>
          <w:trHeight w:val="72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[PR.5.X.2-002]</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Impact to E-</w:t>
            </w:r>
            <w:proofErr w:type="gramStart"/>
            <w:r w:rsidRPr="00334A32">
              <w:rPr>
                <w:rFonts w:eastAsia="Times New Roman"/>
                <w:color w:val="000000"/>
                <w:sz w:val="20"/>
                <w:szCs w:val="20"/>
                <w:lang w:eastAsia="en-GB"/>
              </w:rPr>
              <w:t>UTRA(</w:t>
            </w:r>
            <w:proofErr w:type="gramEnd"/>
            <w:r w:rsidRPr="00334A32">
              <w:rPr>
                <w:rFonts w:eastAsia="Times New Roman"/>
                <w:color w:val="000000"/>
                <w:sz w:val="20"/>
                <w:szCs w:val="20"/>
                <w:lang w:eastAsia="en-GB"/>
              </w:rPr>
              <w:t>N) by UE supporting only 5G RAT(s) based V2X communication shall be minimized.</w:t>
            </w:r>
          </w:p>
        </w:tc>
      </w:tr>
      <w:tr w:rsidR="00334A32" w:rsidRPr="00334A32" w:rsidTr="00334A32">
        <w:trPr>
          <w:trHeight w:val="645"/>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[PR.5.X.2-003]</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Impact to 5G </w:t>
            </w:r>
            <w:proofErr w:type="gramStart"/>
            <w:r w:rsidRPr="00334A32">
              <w:rPr>
                <w:rFonts w:eastAsia="Times New Roman"/>
                <w:color w:val="000000"/>
                <w:sz w:val="20"/>
                <w:szCs w:val="20"/>
                <w:lang w:eastAsia="en-GB"/>
              </w:rPr>
              <w:t>RA(</w:t>
            </w:r>
            <w:proofErr w:type="gramEnd"/>
            <w:r w:rsidRPr="00334A32">
              <w:rPr>
                <w:rFonts w:eastAsia="Times New Roman"/>
                <w:color w:val="000000"/>
                <w:sz w:val="20"/>
                <w:szCs w:val="20"/>
                <w:lang w:eastAsia="en-GB"/>
              </w:rPr>
              <w:t>N) by UE supporting only E-UTRA based V2X communication shall be minimized.</w:t>
            </w:r>
          </w:p>
        </w:tc>
      </w:tr>
      <w:tr w:rsidR="00334A32" w:rsidRPr="00334A32" w:rsidTr="00334A32">
        <w:trPr>
          <w:trHeight w:val="675"/>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[PR.5.X.2-001]</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network shall allow the operator to associate a V2X application to one or more 3GPP RATs in a UE supporting V2X application.</w:t>
            </w:r>
          </w:p>
        </w:tc>
      </w:tr>
      <w:tr w:rsidR="00334A32" w:rsidRPr="00334A32" w:rsidTr="00334A32">
        <w:trPr>
          <w:trHeight w:val="81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b/>
                <w:bCs/>
                <w:color w:val="000000"/>
                <w:sz w:val="20"/>
                <w:szCs w:val="20"/>
                <w:lang w:eastAsia="en-GB"/>
              </w:rPr>
            </w:pPr>
            <w:r w:rsidRPr="00334A32">
              <w:rPr>
                <w:rFonts w:eastAsia="Times New Roman"/>
                <w:b/>
                <w:bCs/>
                <w:color w:val="000000"/>
                <w:sz w:val="20"/>
                <w:szCs w:val="20"/>
                <w:lang w:eastAsia="en-GB"/>
              </w:rPr>
              <w:t>Latency</w:t>
            </w:r>
          </w:p>
        </w:tc>
        <w:tc>
          <w:tcPr>
            <w:tcW w:w="1665"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[PR.5.1.2-010]</w:t>
            </w:r>
          </w:p>
        </w:tc>
        <w:tc>
          <w:tcPr>
            <w:tcW w:w="5850"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be able to support [10] </w:t>
            </w:r>
            <w:proofErr w:type="spellStart"/>
            <w:r w:rsidRPr="00334A32">
              <w:rPr>
                <w:rFonts w:eastAsia="Times New Roman"/>
                <w:color w:val="000000"/>
                <w:sz w:val="20"/>
                <w:szCs w:val="20"/>
                <w:lang w:eastAsia="en-GB"/>
              </w:rPr>
              <w:t>ms</w:t>
            </w:r>
            <w:proofErr w:type="spellEnd"/>
            <w:r w:rsidRPr="00334A32">
              <w:rPr>
                <w:rFonts w:eastAsia="Times New Roman"/>
                <w:color w:val="000000"/>
                <w:sz w:val="20"/>
                <w:szCs w:val="20"/>
                <w:lang w:eastAsia="en-GB"/>
              </w:rPr>
              <w:t xml:space="preserve"> end-to-end latency for message transfer among a group of UEs supporting V2X application.</w:t>
            </w:r>
          </w:p>
        </w:tc>
      </w:tr>
      <w:tr w:rsidR="00334A32" w:rsidRPr="00334A32" w:rsidTr="00334A32">
        <w:trPr>
          <w:trHeight w:val="51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[PR.5.2.2-001] </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able to support a maximum latency of [TBD</w:t>
            </w:r>
            <w:proofErr w:type="gramStart"/>
            <w:r w:rsidRPr="00334A32">
              <w:rPr>
                <w:rFonts w:eastAsia="Times New Roman"/>
                <w:color w:val="000000"/>
                <w:sz w:val="20"/>
                <w:szCs w:val="20"/>
                <w:lang w:eastAsia="en-GB"/>
              </w:rPr>
              <w:t>]</w:t>
            </w:r>
            <w:proofErr w:type="spellStart"/>
            <w:r w:rsidRPr="00334A32">
              <w:rPr>
                <w:rFonts w:eastAsia="Times New Roman"/>
                <w:color w:val="000000"/>
                <w:sz w:val="20"/>
                <w:szCs w:val="20"/>
                <w:lang w:eastAsia="en-GB"/>
              </w:rPr>
              <w:t>ms</w:t>
            </w:r>
            <w:proofErr w:type="spellEnd"/>
            <w:proofErr w:type="gramEnd"/>
            <w:r w:rsidRPr="00334A32">
              <w:rPr>
                <w:rFonts w:eastAsia="Times New Roman"/>
                <w:color w:val="000000"/>
                <w:sz w:val="20"/>
                <w:szCs w:val="20"/>
                <w:lang w:eastAsia="en-GB"/>
              </w:rPr>
              <w:t xml:space="preserve"> for the transport of V2X messages between a UE supporting V2X application and a RSU via another UE supporting V2X application. </w:t>
            </w:r>
          </w:p>
        </w:tc>
      </w:tr>
      <w:tr w:rsidR="00334A32" w:rsidRPr="00334A32" w:rsidTr="00334A32">
        <w:trPr>
          <w:trHeight w:val="3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[PR-5.3.2-001]</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support less than 10ms latency between V2X applications. </w:t>
            </w:r>
          </w:p>
        </w:tc>
      </w:tr>
      <w:tr w:rsidR="00334A32" w:rsidRPr="00334A32" w:rsidTr="00334A32">
        <w:trPr>
          <w:trHeight w:val="51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[PR.5.4.2-004]</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support end-to-end latency [5] </w:t>
            </w:r>
            <w:proofErr w:type="spellStart"/>
            <w:r w:rsidRPr="00334A32">
              <w:rPr>
                <w:rFonts w:eastAsia="Times New Roman"/>
                <w:color w:val="000000"/>
                <w:sz w:val="20"/>
                <w:szCs w:val="20"/>
                <w:lang w:eastAsia="en-GB"/>
              </w:rPr>
              <w:t>ms</w:t>
            </w:r>
            <w:proofErr w:type="spellEnd"/>
            <w:r w:rsidRPr="00334A32">
              <w:rPr>
                <w:rFonts w:eastAsia="Times New Roman"/>
                <w:color w:val="000000"/>
                <w:sz w:val="20"/>
                <w:szCs w:val="20"/>
                <w:lang w:eastAsia="en-GB"/>
              </w:rPr>
              <w:t xml:space="preserve"> between V2X application server and UE supporting safety-related V2X application up to [250] km/h.</w:t>
            </w:r>
          </w:p>
        </w:tc>
      </w:tr>
      <w:tr w:rsidR="00334A32" w:rsidRPr="00334A32" w:rsidTr="00334A32">
        <w:trPr>
          <w:trHeight w:val="3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[PR-5.5.2-001]</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support communication latency no larger than [25 </w:t>
            </w:r>
            <w:proofErr w:type="spellStart"/>
            <w:r w:rsidRPr="00334A32">
              <w:rPr>
                <w:rFonts w:eastAsia="Times New Roman"/>
                <w:color w:val="000000"/>
                <w:sz w:val="20"/>
                <w:szCs w:val="20"/>
                <w:lang w:eastAsia="en-GB"/>
              </w:rPr>
              <w:t>ms</w:t>
            </w:r>
            <w:proofErr w:type="spellEnd"/>
            <w:r w:rsidRPr="00334A32">
              <w:rPr>
                <w:rFonts w:eastAsia="Times New Roman"/>
                <w:color w:val="000000"/>
                <w:sz w:val="20"/>
                <w:szCs w:val="20"/>
                <w:lang w:eastAsia="en-GB"/>
              </w:rPr>
              <w:t>]</w:t>
            </w:r>
          </w:p>
        </w:tc>
      </w:tr>
      <w:tr w:rsidR="00334A32" w:rsidRPr="00334A32" w:rsidTr="00334A32">
        <w:trPr>
          <w:trHeight w:val="51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[PR-5.5.2-004]</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support less than [10 </w:t>
            </w:r>
            <w:proofErr w:type="spellStart"/>
            <w:r w:rsidRPr="00334A32">
              <w:rPr>
                <w:rFonts w:eastAsia="Times New Roman"/>
                <w:color w:val="000000"/>
                <w:sz w:val="20"/>
                <w:szCs w:val="20"/>
                <w:lang w:eastAsia="en-GB"/>
              </w:rPr>
              <w:t>ms</w:t>
            </w:r>
            <w:proofErr w:type="spellEnd"/>
            <w:r w:rsidRPr="00334A32">
              <w:rPr>
                <w:rFonts w:eastAsia="Times New Roman"/>
                <w:color w:val="000000"/>
                <w:sz w:val="20"/>
                <w:szCs w:val="20"/>
                <w:lang w:eastAsia="en-GB"/>
              </w:rPr>
              <w:t>] communication latency for close vehicles (Energy ITS Japanese national project) guaranteed in high loaded network</w:t>
            </w:r>
          </w:p>
        </w:tc>
      </w:tr>
      <w:tr w:rsidR="00334A32" w:rsidRPr="00334A32" w:rsidTr="00334A32">
        <w:trPr>
          <w:trHeight w:val="675"/>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[PR.5.6.2-001]</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able to support [100ms] end-to-end latency for message transfer among a group of UEs supporting V2X application.</w:t>
            </w:r>
          </w:p>
        </w:tc>
      </w:tr>
      <w:tr w:rsidR="00334A32" w:rsidRPr="00334A32" w:rsidTr="00334A32">
        <w:trPr>
          <w:trHeight w:val="825"/>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[PR.5.6.2-004]</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able to support [3ms] end-to-end latency for message transfer among a group of UEs supporting V2X application.</w:t>
            </w:r>
          </w:p>
        </w:tc>
      </w:tr>
      <w:tr w:rsidR="00334A32" w:rsidRPr="00334A32" w:rsidTr="00334A32">
        <w:trPr>
          <w:trHeight w:val="4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lastRenderedPageBreak/>
              <w:t> </w:t>
            </w:r>
          </w:p>
        </w:tc>
        <w:tc>
          <w:tcPr>
            <w:tcW w:w="1665"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[PR-5.x.2-006]</w:t>
            </w:r>
          </w:p>
        </w:tc>
        <w:tc>
          <w:tcPr>
            <w:tcW w:w="5850"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be capable of transferring messages between two UEs supporting V2X application, directly or via an RSU, with a maximum application-layer end-to-end latency of [100] </w:t>
            </w:r>
            <w:proofErr w:type="spellStart"/>
            <w:r w:rsidRPr="00334A32">
              <w:rPr>
                <w:rFonts w:eastAsia="Times New Roman"/>
                <w:color w:val="000000"/>
                <w:sz w:val="20"/>
                <w:szCs w:val="20"/>
                <w:lang w:eastAsia="en-GB"/>
              </w:rPr>
              <w:t>ms</w:t>
            </w:r>
            <w:proofErr w:type="spellEnd"/>
            <w:r w:rsidRPr="00334A32">
              <w:rPr>
                <w:rFonts w:eastAsia="Times New Roman"/>
                <w:color w:val="000000"/>
                <w:sz w:val="20"/>
                <w:szCs w:val="20"/>
                <w:lang w:eastAsia="en-GB"/>
              </w:rPr>
              <w:t>.</w:t>
            </w:r>
          </w:p>
        </w:tc>
      </w:tr>
      <w:tr w:rsidR="00334A32" w:rsidRPr="00334A32" w:rsidTr="00334A32">
        <w:trPr>
          <w:trHeight w:val="4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[PR-5.x.2-007]</w:t>
            </w:r>
          </w:p>
        </w:tc>
        <w:tc>
          <w:tcPr>
            <w:tcW w:w="5850"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be capable of transferring messages between a UE supporting V2X application and an RSU with a maximum application-layer end-to-end latency of [100] </w:t>
            </w:r>
            <w:proofErr w:type="spellStart"/>
            <w:r w:rsidRPr="00334A32">
              <w:rPr>
                <w:rFonts w:eastAsia="Times New Roman"/>
                <w:color w:val="000000"/>
                <w:sz w:val="20"/>
                <w:szCs w:val="20"/>
                <w:lang w:eastAsia="en-GB"/>
              </w:rPr>
              <w:t>ms</w:t>
            </w:r>
            <w:proofErr w:type="spellEnd"/>
            <w:r w:rsidRPr="00334A32">
              <w:rPr>
                <w:rFonts w:eastAsia="Times New Roman"/>
                <w:color w:val="000000"/>
                <w:sz w:val="20"/>
                <w:szCs w:val="20"/>
                <w:lang w:eastAsia="en-GB"/>
              </w:rPr>
              <w:t>.</w:t>
            </w:r>
          </w:p>
        </w:tc>
      </w:tr>
      <w:tr w:rsidR="00334A32" w:rsidRPr="00334A32" w:rsidTr="00334A32">
        <w:trPr>
          <w:trHeight w:val="4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[PR-5.z.2-003]</w:t>
            </w:r>
          </w:p>
        </w:tc>
        <w:tc>
          <w:tcPr>
            <w:tcW w:w="5850"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be capable of transferring messages between two UEs supporting V2X application, directly or via an RSU, with a maximum application-layer end-to-end latency of [100] </w:t>
            </w:r>
            <w:proofErr w:type="spellStart"/>
            <w:r w:rsidRPr="00334A32">
              <w:rPr>
                <w:rFonts w:eastAsia="Times New Roman"/>
                <w:color w:val="000000"/>
                <w:sz w:val="20"/>
                <w:szCs w:val="20"/>
                <w:lang w:eastAsia="en-GB"/>
              </w:rPr>
              <w:t>ms</w:t>
            </w:r>
            <w:proofErr w:type="spellEnd"/>
            <w:r w:rsidRPr="00334A32">
              <w:rPr>
                <w:rFonts w:eastAsia="Times New Roman"/>
                <w:color w:val="000000"/>
                <w:sz w:val="20"/>
                <w:szCs w:val="20"/>
                <w:lang w:eastAsia="en-GB"/>
              </w:rPr>
              <w:t>.</w:t>
            </w:r>
          </w:p>
        </w:tc>
      </w:tr>
      <w:tr w:rsidR="00334A32" w:rsidRPr="00334A32" w:rsidTr="00334A32">
        <w:trPr>
          <w:trHeight w:val="4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[PR-5.z.2-004]</w:t>
            </w:r>
          </w:p>
        </w:tc>
        <w:tc>
          <w:tcPr>
            <w:tcW w:w="5850"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be capable of transferring messages between a UE supporting V2X application and an RSU with a maximum application-layer end-to-end latency of [100] </w:t>
            </w:r>
            <w:proofErr w:type="spellStart"/>
            <w:r w:rsidRPr="00334A32">
              <w:rPr>
                <w:rFonts w:eastAsia="Times New Roman"/>
                <w:color w:val="000000"/>
                <w:sz w:val="20"/>
                <w:szCs w:val="20"/>
                <w:lang w:eastAsia="en-GB"/>
              </w:rPr>
              <w:t>ms</w:t>
            </w:r>
            <w:proofErr w:type="spellEnd"/>
            <w:r w:rsidRPr="00334A32">
              <w:rPr>
                <w:rFonts w:eastAsia="Times New Roman"/>
                <w:color w:val="000000"/>
                <w:sz w:val="20"/>
                <w:szCs w:val="20"/>
                <w:lang w:eastAsia="en-GB"/>
              </w:rPr>
              <w:t>.</w:t>
            </w:r>
          </w:p>
        </w:tc>
      </w:tr>
      <w:tr w:rsidR="00334A32" w:rsidRPr="00334A32" w:rsidTr="00334A32">
        <w:trPr>
          <w:trHeight w:val="4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[PR-5.y.2-006]</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be capable of transferring messages between two UEs supporting V2X application, directly or via an RSU, with a maximum application-layer end-to-end latency of [20] </w:t>
            </w:r>
            <w:proofErr w:type="spellStart"/>
            <w:r w:rsidRPr="00334A32">
              <w:rPr>
                <w:rFonts w:eastAsia="Times New Roman"/>
                <w:color w:val="000000"/>
                <w:sz w:val="20"/>
                <w:szCs w:val="20"/>
                <w:lang w:eastAsia="en-GB"/>
              </w:rPr>
              <w:t>ms</w:t>
            </w:r>
            <w:proofErr w:type="spellEnd"/>
            <w:r w:rsidRPr="00334A32">
              <w:rPr>
                <w:rFonts w:eastAsia="Times New Roman"/>
                <w:color w:val="000000"/>
                <w:sz w:val="20"/>
                <w:szCs w:val="20"/>
                <w:lang w:eastAsia="en-GB"/>
              </w:rPr>
              <w:t>.</w:t>
            </w:r>
          </w:p>
        </w:tc>
      </w:tr>
      <w:tr w:rsidR="00334A32" w:rsidRPr="00334A32" w:rsidTr="00334A32">
        <w:trPr>
          <w:trHeight w:val="4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[PR-5.y.2-007]</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be capable of transferring messages between a UE supporting V2X application and an RSU with a maximum application-layer end-to-end latency of [20] </w:t>
            </w:r>
            <w:proofErr w:type="spellStart"/>
            <w:r w:rsidRPr="00334A32">
              <w:rPr>
                <w:rFonts w:eastAsia="Times New Roman"/>
                <w:color w:val="000000"/>
                <w:sz w:val="20"/>
                <w:szCs w:val="20"/>
                <w:lang w:eastAsia="en-GB"/>
              </w:rPr>
              <w:t>ms</w:t>
            </w:r>
            <w:proofErr w:type="spellEnd"/>
            <w:r w:rsidRPr="00334A32">
              <w:rPr>
                <w:rFonts w:eastAsia="Times New Roman"/>
                <w:color w:val="000000"/>
                <w:sz w:val="20"/>
                <w:szCs w:val="20"/>
                <w:lang w:eastAsia="en-GB"/>
              </w:rPr>
              <w:t>.</w:t>
            </w:r>
          </w:p>
        </w:tc>
      </w:tr>
      <w:tr w:rsidR="00334A32" w:rsidRPr="00334A32" w:rsidTr="00334A32">
        <w:trPr>
          <w:trHeight w:val="4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[PR-5.w.2-003]</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be capable of transferring messages between two UEs supporting V2X application, directly or via an RSU, with a maximum application-layer end-to-end latency of [20] </w:t>
            </w:r>
            <w:proofErr w:type="spellStart"/>
            <w:r w:rsidRPr="00334A32">
              <w:rPr>
                <w:rFonts w:eastAsia="Times New Roman"/>
                <w:color w:val="000000"/>
                <w:sz w:val="20"/>
                <w:szCs w:val="20"/>
                <w:lang w:eastAsia="en-GB"/>
              </w:rPr>
              <w:t>ms</w:t>
            </w:r>
            <w:proofErr w:type="spellEnd"/>
            <w:r w:rsidRPr="00334A32">
              <w:rPr>
                <w:rFonts w:eastAsia="Times New Roman"/>
                <w:color w:val="000000"/>
                <w:sz w:val="20"/>
                <w:szCs w:val="20"/>
                <w:lang w:eastAsia="en-GB"/>
              </w:rPr>
              <w:t>.</w:t>
            </w:r>
          </w:p>
        </w:tc>
      </w:tr>
      <w:tr w:rsidR="00334A32" w:rsidRPr="00334A32" w:rsidTr="00334A32">
        <w:trPr>
          <w:trHeight w:val="4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[PR-5.w.2-004]</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be capable of transferring messages between a UE supporting V2X application and an RSU with a maximum application-layer end-to-end latency of [20] </w:t>
            </w:r>
            <w:proofErr w:type="spellStart"/>
            <w:r w:rsidRPr="00334A32">
              <w:rPr>
                <w:rFonts w:eastAsia="Times New Roman"/>
                <w:color w:val="000000"/>
                <w:sz w:val="20"/>
                <w:szCs w:val="20"/>
                <w:lang w:eastAsia="en-GB"/>
              </w:rPr>
              <w:t>ms</w:t>
            </w:r>
            <w:proofErr w:type="spellEnd"/>
            <w:r w:rsidRPr="00334A32">
              <w:rPr>
                <w:rFonts w:eastAsia="Times New Roman"/>
                <w:color w:val="000000"/>
                <w:sz w:val="20"/>
                <w:szCs w:val="20"/>
                <w:lang w:eastAsia="en-GB"/>
              </w:rPr>
              <w:t>.</w:t>
            </w:r>
          </w:p>
        </w:tc>
      </w:tr>
      <w:tr w:rsidR="00334A32" w:rsidRPr="00334A32" w:rsidTr="00334A32">
        <w:trPr>
          <w:trHeight w:val="51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b/>
                <w:bCs/>
                <w:color w:val="000000"/>
                <w:sz w:val="20"/>
                <w:szCs w:val="20"/>
                <w:lang w:eastAsia="en-GB"/>
              </w:rPr>
            </w:pPr>
            <w:r w:rsidRPr="00334A32">
              <w:rPr>
                <w:rFonts w:eastAsia="Times New Roman"/>
                <w:b/>
                <w:bCs/>
                <w:color w:val="000000"/>
                <w:sz w:val="20"/>
                <w:szCs w:val="20"/>
                <w:lang w:eastAsia="en-GB"/>
              </w:rPr>
              <w:t>Message Size</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[PR.5.1.2-011]</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transferring messages among a group of UEs supporting V2X application with variable message payloads of [50-1200] bytes, not including security-related message component.</w:t>
            </w:r>
          </w:p>
        </w:tc>
      </w:tr>
      <w:tr w:rsidR="00334A32" w:rsidRPr="00334A32" w:rsidTr="00334A32">
        <w:trPr>
          <w:trHeight w:val="51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[PR.5.2.2-003] </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able to support the transport of V2X messages with variable payload of [TBD] bytes between a UE supporting V2X application and a RSU via another UE supporting V2X application.</w:t>
            </w:r>
          </w:p>
        </w:tc>
      </w:tr>
      <w:tr w:rsidR="00334A32" w:rsidRPr="00334A32" w:rsidTr="00334A32">
        <w:trPr>
          <w:trHeight w:val="735"/>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[PR-5.5.2-006]</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support transmission of [</w:t>
            </w:r>
            <w:r w:rsidRPr="00334A32">
              <w:rPr>
                <w:rFonts w:eastAsia="Times New Roman"/>
                <w:color w:val="FF0000"/>
                <w:sz w:val="20"/>
                <w:szCs w:val="20"/>
                <w:lang w:eastAsia="en-GB"/>
              </w:rPr>
              <w:t>TBD</w:t>
            </w:r>
            <w:r w:rsidRPr="00334A32">
              <w:rPr>
                <w:rFonts w:eastAsia="Times New Roman"/>
                <w:color w:val="000000"/>
                <w:sz w:val="20"/>
                <w:szCs w:val="20"/>
                <w:lang w:eastAsia="en-GB"/>
              </w:rPr>
              <w:t xml:space="preserve"> number of] long data packets (e.g. tens of kilobit in [TBD </w:t>
            </w:r>
            <w:proofErr w:type="spellStart"/>
            <w:r w:rsidRPr="00334A32">
              <w:rPr>
                <w:rFonts w:eastAsia="Times New Roman"/>
                <w:color w:val="000000"/>
                <w:sz w:val="20"/>
                <w:szCs w:val="20"/>
                <w:lang w:eastAsia="en-GB"/>
              </w:rPr>
              <w:t>ms</w:t>
            </w:r>
            <w:proofErr w:type="spellEnd"/>
            <w:r w:rsidRPr="00334A32">
              <w:rPr>
                <w:rFonts w:eastAsia="Times New Roman"/>
                <w:color w:val="000000"/>
                <w:sz w:val="20"/>
                <w:szCs w:val="20"/>
                <w:lang w:eastAsia="en-GB"/>
              </w:rPr>
              <w:t xml:space="preserve">]) </w:t>
            </w:r>
          </w:p>
        </w:tc>
      </w:tr>
      <w:tr w:rsidR="00334A32" w:rsidRPr="00334A32" w:rsidTr="00334A32">
        <w:trPr>
          <w:trHeight w:val="4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[PR-5.y.2-003]</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transferring periodic broadcast/multicast messages between two UEs supporting V2X application with message payloads of [6500] bytes, not including security-related message component.</w:t>
            </w:r>
          </w:p>
        </w:tc>
      </w:tr>
      <w:tr w:rsidR="00334A32" w:rsidRPr="00334A32" w:rsidTr="00334A32">
        <w:trPr>
          <w:trHeight w:val="4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[PR-5.y.2-004]</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transferring periodic broadcast/multicast messages between a UE supporting V2X application and an RSU with message payloads of [6000] bytes, not including security-related message component.</w:t>
            </w:r>
          </w:p>
        </w:tc>
      </w:tr>
      <w:tr w:rsidR="00334A32" w:rsidRPr="00334A32" w:rsidTr="00334A32">
        <w:trPr>
          <w:trHeight w:val="795"/>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b/>
                <w:bCs/>
                <w:color w:val="000000"/>
                <w:sz w:val="20"/>
                <w:szCs w:val="20"/>
                <w:lang w:eastAsia="en-GB"/>
              </w:rPr>
            </w:pPr>
            <w:r w:rsidRPr="00334A32">
              <w:rPr>
                <w:rFonts w:eastAsia="Times New Roman"/>
                <w:b/>
                <w:bCs/>
                <w:color w:val="000000"/>
                <w:sz w:val="20"/>
                <w:szCs w:val="20"/>
                <w:lang w:eastAsia="en-GB"/>
              </w:rPr>
              <w:t>Message Transfer</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[PR.5.1.2-002]</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be able to support at least [30] message broadcast by a UE supporting V2X application. </w:t>
            </w:r>
          </w:p>
        </w:tc>
      </w:tr>
      <w:tr w:rsidR="00334A32" w:rsidRPr="00334A32" w:rsidTr="00334A32">
        <w:trPr>
          <w:trHeight w:val="585"/>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[PR.5.1.2-006]</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be able to support at least [30] message transfer among a group of UEs supporting V2X application. </w:t>
            </w:r>
          </w:p>
        </w:tc>
      </w:tr>
      <w:tr w:rsidR="00334A32" w:rsidRPr="00334A32" w:rsidTr="00334A32">
        <w:trPr>
          <w:trHeight w:val="63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[PR.5.1.2-007]</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able to support message transfer among a group of UEs supporting V2X application.</w:t>
            </w:r>
          </w:p>
        </w:tc>
      </w:tr>
      <w:tr w:rsidR="00334A32" w:rsidRPr="00334A32" w:rsidTr="00334A32">
        <w:trPr>
          <w:trHeight w:val="69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[PR.5.1.2-008]</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able to support message transfer between two UEs belonging to the same group of UEs supporting V2X application.</w:t>
            </w:r>
          </w:p>
        </w:tc>
      </w:tr>
      <w:tr w:rsidR="00334A32" w:rsidRPr="00334A32" w:rsidTr="00334A32">
        <w:trPr>
          <w:trHeight w:val="7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[PR-5.5.2-003]</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support triggered and periodic transmission of small data packets (e.g. 300-400 bytes) </w:t>
            </w:r>
          </w:p>
        </w:tc>
      </w:tr>
      <w:tr w:rsidR="00334A32" w:rsidRPr="00334A32" w:rsidTr="00334A32">
        <w:trPr>
          <w:trHeight w:val="51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[PR.5.6.2-003]</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able to support periodic transmission of data packets [e.g. 1600 bytes].</w:t>
            </w:r>
          </w:p>
        </w:tc>
      </w:tr>
      <w:tr w:rsidR="00334A32" w:rsidRPr="00334A32" w:rsidTr="00334A32">
        <w:trPr>
          <w:trHeight w:val="4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lastRenderedPageBreak/>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[PR-5.x.2-003]</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transferring periodic broadcast/multicast messages between two UEs supporting V2X application with message payloads of [6500] bytes, not including security-related message component.</w:t>
            </w:r>
          </w:p>
        </w:tc>
      </w:tr>
      <w:tr w:rsidR="00334A32" w:rsidRPr="00334A32" w:rsidTr="00334A32">
        <w:trPr>
          <w:trHeight w:val="4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[PR-5.x.2-004]</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transferring periodic broadcast/multicast messages between a UE supporting V2X application and an RSU with message payloads of [6000] bytes, not including security-related message component.</w:t>
            </w:r>
          </w:p>
        </w:tc>
      </w:tr>
      <w:tr w:rsidR="00334A32" w:rsidRPr="00334A32" w:rsidTr="00334A32">
        <w:trPr>
          <w:trHeight w:val="3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1D48FF" w:rsidP="00334A32">
            <w:pPr>
              <w:rPr>
                <w:rFonts w:eastAsia="Times New Roman"/>
                <w:b/>
                <w:bCs/>
                <w:color w:val="000000"/>
                <w:sz w:val="20"/>
                <w:szCs w:val="20"/>
                <w:lang w:eastAsia="en-GB"/>
              </w:rPr>
            </w:pPr>
            <w:r w:rsidRPr="00752E9A">
              <w:rPr>
                <w:rFonts w:eastAsia="Times New Roman"/>
                <w:b/>
                <w:bCs/>
                <w:color w:val="000000"/>
                <w:sz w:val="20"/>
                <w:szCs w:val="20"/>
                <w:lang w:eastAsia="en-GB"/>
              </w:rPr>
              <w:t>Reliability</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[PR-5.3.2-002]</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support message reliability of 95% between V2X applications.</w:t>
            </w:r>
          </w:p>
        </w:tc>
      </w:tr>
      <w:tr w:rsidR="00334A32" w:rsidRPr="00334A32" w:rsidTr="00334A32">
        <w:trPr>
          <w:trHeight w:val="51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[PR.5.4.2-003]</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support ultra-high UL and DL reliability (99,999 % or higher) for UE supporting safety-related V2X application up to [250] km/h.</w:t>
            </w:r>
          </w:p>
        </w:tc>
      </w:tr>
      <w:tr w:rsidR="00334A32" w:rsidRPr="00334A32" w:rsidTr="00334A32">
        <w:trPr>
          <w:trHeight w:val="735"/>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[PR-5.5.2-002]</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support over [99%] target packet delivery reliability rate</w:t>
            </w:r>
          </w:p>
        </w:tc>
      </w:tr>
      <w:tr w:rsidR="00334A32" w:rsidRPr="00334A32" w:rsidTr="00334A32">
        <w:trPr>
          <w:trHeight w:val="585"/>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[PR-5.5.2-005]</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support over [99.99%] target packet delivery reliability rate within [</w:t>
            </w:r>
            <w:r w:rsidRPr="00334A32">
              <w:rPr>
                <w:rFonts w:eastAsia="Times New Roman"/>
                <w:color w:val="FF0000"/>
                <w:sz w:val="20"/>
                <w:szCs w:val="20"/>
                <w:lang w:eastAsia="en-GB"/>
              </w:rPr>
              <w:t>TBD</w:t>
            </w:r>
            <w:r w:rsidRPr="00334A32">
              <w:rPr>
                <w:rFonts w:eastAsia="Times New Roman"/>
                <w:color w:val="000000"/>
                <w:sz w:val="20"/>
                <w:szCs w:val="20"/>
                <w:lang w:eastAsia="en-GB"/>
              </w:rPr>
              <w:t xml:space="preserve"> m]</w:t>
            </w:r>
          </w:p>
        </w:tc>
      </w:tr>
      <w:tr w:rsidR="00334A32" w:rsidRPr="00334A32" w:rsidTr="00334A32">
        <w:trPr>
          <w:trHeight w:val="63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[PR-5.5.2-009]</w:t>
            </w:r>
          </w:p>
        </w:tc>
        <w:tc>
          <w:tcPr>
            <w:tcW w:w="5850"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support to ensure sufficient reliability metrics are reached. </w:t>
            </w:r>
          </w:p>
        </w:tc>
      </w:tr>
      <w:tr w:rsidR="00334A32" w:rsidRPr="00334A32" w:rsidTr="00334A32">
        <w:trPr>
          <w:trHeight w:val="78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[PR.5.6.2-002]</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system shall be able to support over [99%] target packet delivery reliability rate in [1000meters]. </w:t>
            </w:r>
          </w:p>
        </w:tc>
      </w:tr>
      <w:tr w:rsidR="00334A32" w:rsidRPr="00334A32" w:rsidTr="00334A32">
        <w:trPr>
          <w:trHeight w:val="555"/>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[PR.5.6.2-005]</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able to support [99.999%] target packet delivery reliability rate in [1000meters].</w:t>
            </w:r>
          </w:p>
        </w:tc>
      </w:tr>
      <w:tr w:rsidR="00334A32" w:rsidRPr="00334A32" w:rsidTr="00334A32">
        <w:trPr>
          <w:trHeight w:val="525"/>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[PR-5.x.2-008]</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high reliability without requiring application-layer message retransmissions.</w:t>
            </w:r>
          </w:p>
        </w:tc>
      </w:tr>
      <w:tr w:rsidR="00334A32" w:rsidRPr="00334A32" w:rsidTr="00334A32">
        <w:trPr>
          <w:trHeight w:val="60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[PR-5.z.2-005]</w:t>
            </w:r>
          </w:p>
        </w:tc>
        <w:tc>
          <w:tcPr>
            <w:tcW w:w="5850"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high reliability without requiring application-layer message retransmissions.</w:t>
            </w:r>
          </w:p>
        </w:tc>
      </w:tr>
      <w:tr w:rsidR="00334A32" w:rsidRPr="00334A32" w:rsidTr="00334A32">
        <w:trPr>
          <w:trHeight w:val="765"/>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[PR-5.y.2-008]</w:t>
            </w:r>
          </w:p>
        </w:tc>
        <w:tc>
          <w:tcPr>
            <w:tcW w:w="5850"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high reliability without requiring application-layer message retransmissions.</w:t>
            </w:r>
          </w:p>
        </w:tc>
      </w:tr>
      <w:tr w:rsidR="00334A32" w:rsidRPr="00334A32" w:rsidTr="00334A32">
        <w:trPr>
          <w:trHeight w:val="465"/>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[PR-5.w.2-005]</w:t>
            </w:r>
          </w:p>
        </w:tc>
        <w:tc>
          <w:tcPr>
            <w:tcW w:w="5850" w:type="dxa"/>
            <w:tcBorders>
              <w:top w:val="nil"/>
              <w:left w:val="nil"/>
              <w:bottom w:val="single" w:sz="4" w:space="0" w:color="auto"/>
              <w:right w:val="single" w:sz="4" w:space="0" w:color="auto"/>
            </w:tcBorders>
            <w:shd w:val="clear" w:color="000000" w:fill="FF0000"/>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capable of supporting high reliability without requiring application-layer message retransmissions.</w:t>
            </w:r>
          </w:p>
        </w:tc>
      </w:tr>
      <w:tr w:rsidR="00334A32" w:rsidRPr="00334A32" w:rsidTr="00334A32">
        <w:trPr>
          <w:trHeight w:val="75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[PR.5.4.2-002]</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able to control the UL and DL reliability of V2X communication, depending on the requirement of V2X application.</w:t>
            </w:r>
          </w:p>
        </w:tc>
      </w:tr>
      <w:tr w:rsidR="00334A32" w:rsidRPr="00334A32" w:rsidTr="00334A32">
        <w:trPr>
          <w:trHeight w:val="81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b/>
                <w:bCs/>
                <w:color w:val="000000"/>
                <w:sz w:val="20"/>
                <w:szCs w:val="20"/>
                <w:lang w:eastAsia="en-GB"/>
              </w:rPr>
            </w:pPr>
            <w:r w:rsidRPr="00334A32">
              <w:rPr>
                <w:rFonts w:eastAsia="Times New Roman"/>
                <w:b/>
                <w:bCs/>
                <w:color w:val="000000"/>
                <w:sz w:val="20"/>
                <w:szCs w:val="20"/>
                <w:lang w:eastAsia="en-GB"/>
              </w:rPr>
              <w:t>Reliability/Message Size</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[PR-5.x.2-002]</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 xml:space="preserve">The 3GPP network shall enable UE’s message exchange with  [99.99%] reliability and message sizes in range up to [2 </w:t>
            </w:r>
            <w:proofErr w:type="spellStart"/>
            <w:r w:rsidRPr="00334A32">
              <w:rPr>
                <w:rFonts w:eastAsia="Times New Roman"/>
                <w:color w:val="000000"/>
                <w:sz w:val="20"/>
                <w:szCs w:val="20"/>
                <w:lang w:eastAsia="en-GB"/>
              </w:rPr>
              <w:t>MByte</w:t>
            </w:r>
            <w:proofErr w:type="spellEnd"/>
            <w:r w:rsidRPr="00334A32">
              <w:rPr>
                <w:rFonts w:eastAsia="Times New Roman"/>
                <w:color w:val="000000"/>
                <w:sz w:val="20"/>
                <w:szCs w:val="20"/>
                <w:lang w:eastAsia="en-GB"/>
              </w:rPr>
              <w:t>]</w:t>
            </w:r>
          </w:p>
        </w:tc>
      </w:tr>
      <w:tr w:rsidR="00334A32" w:rsidRPr="00334A32" w:rsidTr="00334A32">
        <w:trPr>
          <w:trHeight w:val="810"/>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334A32" w:rsidRPr="00334A32" w:rsidRDefault="00334A32" w:rsidP="00334A32">
            <w:pPr>
              <w:rPr>
                <w:rFonts w:eastAsia="Times New Roman"/>
                <w:b/>
                <w:bCs/>
                <w:color w:val="000000"/>
                <w:sz w:val="20"/>
                <w:szCs w:val="20"/>
                <w:lang w:eastAsia="en-GB"/>
              </w:rPr>
            </w:pPr>
            <w:r w:rsidRPr="00334A32">
              <w:rPr>
                <w:rFonts w:eastAsia="Times New Roman"/>
                <w:b/>
                <w:bCs/>
                <w:color w:val="000000"/>
                <w:sz w:val="20"/>
                <w:szCs w:val="20"/>
                <w:lang w:eastAsia="en-GB"/>
              </w:rPr>
              <w:t>Security</w:t>
            </w:r>
          </w:p>
        </w:tc>
        <w:tc>
          <w:tcPr>
            <w:tcW w:w="1665"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[PR.5.1.2-009]</w:t>
            </w:r>
          </w:p>
        </w:tc>
        <w:tc>
          <w:tcPr>
            <w:tcW w:w="5850" w:type="dxa"/>
            <w:tcBorders>
              <w:top w:val="nil"/>
              <w:left w:val="nil"/>
              <w:bottom w:val="single" w:sz="4" w:space="0" w:color="auto"/>
              <w:right w:val="single" w:sz="4" w:space="0" w:color="auto"/>
            </w:tcBorders>
            <w:shd w:val="clear" w:color="auto" w:fill="auto"/>
            <w:vAlign w:val="center"/>
            <w:hideMark/>
          </w:tcPr>
          <w:p w:rsidR="00334A32" w:rsidRPr="00334A32" w:rsidRDefault="00334A32" w:rsidP="00334A32">
            <w:pPr>
              <w:rPr>
                <w:rFonts w:eastAsia="Times New Roman"/>
                <w:color w:val="000000"/>
                <w:sz w:val="20"/>
                <w:szCs w:val="20"/>
                <w:lang w:eastAsia="en-GB"/>
              </w:rPr>
            </w:pPr>
            <w:r w:rsidRPr="00334A32">
              <w:rPr>
                <w:rFonts w:eastAsia="Times New Roman"/>
                <w:color w:val="000000"/>
                <w:sz w:val="20"/>
                <w:szCs w:val="20"/>
                <w:lang w:eastAsia="en-GB"/>
              </w:rPr>
              <w:t>The 3GPP system shall be able to support confidentiality and integrity of message transfer among a group of UEs supporting V2X application.</w:t>
            </w:r>
          </w:p>
        </w:tc>
      </w:tr>
    </w:tbl>
    <w:p w:rsidR="006127BE" w:rsidRPr="006426F6" w:rsidRDefault="006127BE" w:rsidP="00240874">
      <w:pPr>
        <w:spacing w:line="276" w:lineRule="auto"/>
        <w:rPr>
          <w:rFonts w:ascii="Arial" w:eastAsia="Malgun Gothic" w:hAnsi="Arial" w:cs="Arial"/>
          <w:sz w:val="22"/>
          <w:szCs w:val="22"/>
          <w:lang w:eastAsia="ko-KR"/>
        </w:rPr>
      </w:pPr>
    </w:p>
    <w:p w:rsidR="00D912DE" w:rsidRPr="006426F6" w:rsidRDefault="00D912DE" w:rsidP="00240874">
      <w:pPr>
        <w:spacing w:line="276" w:lineRule="auto"/>
        <w:rPr>
          <w:rFonts w:ascii="Arial" w:eastAsia="Malgun Gothic" w:hAnsi="Arial" w:cs="Arial"/>
          <w:sz w:val="22"/>
          <w:szCs w:val="22"/>
          <w:lang w:eastAsia="ko-KR"/>
        </w:rPr>
      </w:pPr>
    </w:p>
    <w:p w:rsidR="00D912DE" w:rsidRPr="006426F6" w:rsidRDefault="00D912DE" w:rsidP="00240874">
      <w:pPr>
        <w:spacing w:line="276" w:lineRule="auto"/>
        <w:rPr>
          <w:rFonts w:ascii="Arial" w:eastAsia="Malgun Gothic" w:hAnsi="Arial" w:cs="Arial"/>
          <w:sz w:val="22"/>
          <w:szCs w:val="22"/>
          <w:lang w:eastAsia="ko-KR"/>
        </w:rPr>
      </w:pPr>
    </w:p>
    <w:p w:rsidR="00B56550" w:rsidRPr="006426F6" w:rsidRDefault="000F794D" w:rsidP="00240874">
      <w:pPr>
        <w:spacing w:line="276" w:lineRule="auto"/>
        <w:rPr>
          <w:rFonts w:ascii="Arial" w:eastAsia="Malgun Gothic" w:hAnsi="Arial" w:cs="Arial"/>
          <w:sz w:val="22"/>
          <w:szCs w:val="22"/>
          <w:lang w:eastAsia="ko-KR"/>
        </w:rPr>
      </w:pPr>
      <w:r w:rsidRPr="006426F6">
        <w:rPr>
          <w:rFonts w:eastAsia="Calibri"/>
          <w:b/>
          <w:sz w:val="28"/>
          <w:szCs w:val="28"/>
          <w:lang w:eastAsia="en-US"/>
        </w:rPr>
        <w:t>Proposal:</w:t>
      </w:r>
      <w:r w:rsidRPr="006426F6">
        <w:rPr>
          <w:rFonts w:ascii="Arial" w:eastAsia="Malgun Gothic" w:hAnsi="Arial" w:cs="Arial"/>
          <w:sz w:val="22"/>
          <w:szCs w:val="22"/>
          <w:lang w:eastAsia="ko-KR"/>
        </w:rPr>
        <w:t xml:space="preserve"> If this is agreed, the proposal</w:t>
      </w:r>
      <w:r w:rsidR="00C15B2D" w:rsidRPr="006426F6">
        <w:rPr>
          <w:rFonts w:ascii="Arial" w:eastAsia="Malgun Gothic" w:hAnsi="Arial" w:cs="Arial"/>
          <w:sz w:val="22"/>
          <w:szCs w:val="22"/>
          <w:lang w:eastAsia="ko-KR"/>
        </w:rPr>
        <w:t xml:space="preserve"> is to </w:t>
      </w:r>
      <w:r w:rsidR="00B56550" w:rsidRPr="006426F6">
        <w:rPr>
          <w:rFonts w:ascii="Arial" w:eastAsia="Malgun Gothic" w:hAnsi="Arial" w:cs="Arial"/>
          <w:sz w:val="22"/>
          <w:szCs w:val="22"/>
          <w:lang w:eastAsia="ko-KR"/>
        </w:rPr>
        <w:t>include the</w:t>
      </w:r>
      <w:r w:rsidR="00163978" w:rsidRPr="006426F6">
        <w:rPr>
          <w:rFonts w:ascii="Arial" w:eastAsia="Malgun Gothic" w:hAnsi="Arial" w:cs="Arial"/>
          <w:sz w:val="22"/>
          <w:szCs w:val="22"/>
          <w:lang w:eastAsia="ko-KR"/>
        </w:rPr>
        <w:t xml:space="preserve"> eV2X TR</w:t>
      </w:r>
      <w:r w:rsidR="00B56550" w:rsidRPr="006426F6">
        <w:rPr>
          <w:rFonts w:ascii="Arial" w:eastAsia="Malgun Gothic" w:hAnsi="Arial" w:cs="Arial"/>
          <w:sz w:val="22"/>
          <w:szCs w:val="22"/>
          <w:lang w:eastAsia="ko-KR"/>
        </w:rPr>
        <w:t xml:space="preserve"> </w:t>
      </w:r>
      <w:r w:rsidR="001D48FF">
        <w:rPr>
          <w:rFonts w:ascii="Arial" w:eastAsia="Malgun Gothic" w:hAnsi="Arial" w:cs="Arial"/>
          <w:sz w:val="22"/>
          <w:szCs w:val="22"/>
          <w:lang w:eastAsia="ko-KR"/>
        </w:rPr>
        <w:t>with the correct numbering as potential requirements from the study</w:t>
      </w:r>
    </w:p>
    <w:p w:rsidR="00296269" w:rsidRPr="006426F6" w:rsidRDefault="00296269" w:rsidP="00B56550">
      <w:pPr>
        <w:pStyle w:val="Heading3"/>
        <w:rPr>
          <w:rFonts w:ascii="Arial" w:hAnsi="Arial" w:cs="Arial"/>
          <w:b w:val="0"/>
          <w:sz w:val="22"/>
          <w:szCs w:val="22"/>
          <w:lang w:eastAsia="ko-KR"/>
        </w:rPr>
      </w:pPr>
    </w:p>
    <w:sectPr w:rsidR="00296269" w:rsidRPr="006426F6" w:rsidSect="00334A32">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214" w:rsidRDefault="00C11214"/>
  </w:endnote>
  <w:endnote w:type="continuationSeparator" w:id="0">
    <w:p w:rsidR="00C11214" w:rsidRDefault="00C112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214" w:rsidRDefault="00C11214"/>
  </w:footnote>
  <w:footnote w:type="continuationSeparator" w:id="0">
    <w:p w:rsidR="00C11214" w:rsidRDefault="00C1121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C70"/>
    <w:multiLevelType w:val="hybridMultilevel"/>
    <w:tmpl w:val="249254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25453A5"/>
    <w:multiLevelType w:val="hybridMultilevel"/>
    <w:tmpl w:val="E6FC0624"/>
    <w:lvl w:ilvl="0" w:tplc="0FD012E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A9324B3"/>
    <w:multiLevelType w:val="hybridMultilevel"/>
    <w:tmpl w:val="36A60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 w:numId="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3242"/>
    <w:rsid w:val="00034CAA"/>
    <w:rsid w:val="00044844"/>
    <w:rsid w:val="00046E72"/>
    <w:rsid w:val="00050B3B"/>
    <w:rsid w:val="0005162F"/>
    <w:rsid w:val="0005205D"/>
    <w:rsid w:val="00052162"/>
    <w:rsid w:val="00052336"/>
    <w:rsid w:val="00055156"/>
    <w:rsid w:val="0005547C"/>
    <w:rsid w:val="00055C24"/>
    <w:rsid w:val="00057570"/>
    <w:rsid w:val="0006096B"/>
    <w:rsid w:val="00060B38"/>
    <w:rsid w:val="000615CE"/>
    <w:rsid w:val="000624A5"/>
    <w:rsid w:val="000646F0"/>
    <w:rsid w:val="00064A98"/>
    <w:rsid w:val="000736BF"/>
    <w:rsid w:val="00074373"/>
    <w:rsid w:val="00074CD6"/>
    <w:rsid w:val="00076C0B"/>
    <w:rsid w:val="00077660"/>
    <w:rsid w:val="0008024E"/>
    <w:rsid w:val="000803CD"/>
    <w:rsid w:val="000808C9"/>
    <w:rsid w:val="00081FDE"/>
    <w:rsid w:val="00082FDC"/>
    <w:rsid w:val="0008579E"/>
    <w:rsid w:val="0008734C"/>
    <w:rsid w:val="000876C1"/>
    <w:rsid w:val="00090D15"/>
    <w:rsid w:val="000917C1"/>
    <w:rsid w:val="00097978"/>
    <w:rsid w:val="00097B86"/>
    <w:rsid w:val="000A135F"/>
    <w:rsid w:val="000A1893"/>
    <w:rsid w:val="000A2315"/>
    <w:rsid w:val="000A24FE"/>
    <w:rsid w:val="000A585C"/>
    <w:rsid w:val="000A7420"/>
    <w:rsid w:val="000A7D6E"/>
    <w:rsid w:val="000B1A72"/>
    <w:rsid w:val="000B1F26"/>
    <w:rsid w:val="000B3445"/>
    <w:rsid w:val="000B4C11"/>
    <w:rsid w:val="000B52F5"/>
    <w:rsid w:val="000B5AFD"/>
    <w:rsid w:val="000C014F"/>
    <w:rsid w:val="000C4E37"/>
    <w:rsid w:val="000C5044"/>
    <w:rsid w:val="000C5A8A"/>
    <w:rsid w:val="000C736A"/>
    <w:rsid w:val="000D01B2"/>
    <w:rsid w:val="000D382E"/>
    <w:rsid w:val="000D60A4"/>
    <w:rsid w:val="000D71CB"/>
    <w:rsid w:val="000D79FE"/>
    <w:rsid w:val="000E13E6"/>
    <w:rsid w:val="000E260D"/>
    <w:rsid w:val="000E2B20"/>
    <w:rsid w:val="000E65F3"/>
    <w:rsid w:val="000F296C"/>
    <w:rsid w:val="000F5B38"/>
    <w:rsid w:val="000F76D6"/>
    <w:rsid w:val="000F794D"/>
    <w:rsid w:val="000F7A86"/>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26F"/>
    <w:rsid w:val="00117D2E"/>
    <w:rsid w:val="00120294"/>
    <w:rsid w:val="00120FC3"/>
    <w:rsid w:val="001255CE"/>
    <w:rsid w:val="00125869"/>
    <w:rsid w:val="00125A1B"/>
    <w:rsid w:val="00127137"/>
    <w:rsid w:val="001305B5"/>
    <w:rsid w:val="00131972"/>
    <w:rsid w:val="00136428"/>
    <w:rsid w:val="00140AF7"/>
    <w:rsid w:val="00142FCD"/>
    <w:rsid w:val="00150EAA"/>
    <w:rsid w:val="00153900"/>
    <w:rsid w:val="00153F82"/>
    <w:rsid w:val="00154695"/>
    <w:rsid w:val="0015557E"/>
    <w:rsid w:val="00156032"/>
    <w:rsid w:val="00163978"/>
    <w:rsid w:val="00164984"/>
    <w:rsid w:val="00165AC1"/>
    <w:rsid w:val="00165F4A"/>
    <w:rsid w:val="00171D9F"/>
    <w:rsid w:val="00172555"/>
    <w:rsid w:val="00172861"/>
    <w:rsid w:val="00172919"/>
    <w:rsid w:val="00172A25"/>
    <w:rsid w:val="00172D9C"/>
    <w:rsid w:val="00173120"/>
    <w:rsid w:val="001778CD"/>
    <w:rsid w:val="001801AA"/>
    <w:rsid w:val="00182FAB"/>
    <w:rsid w:val="00183621"/>
    <w:rsid w:val="00185CBC"/>
    <w:rsid w:val="00191741"/>
    <w:rsid w:val="00192737"/>
    <w:rsid w:val="00194C66"/>
    <w:rsid w:val="001953D1"/>
    <w:rsid w:val="001A47E4"/>
    <w:rsid w:val="001A5EEE"/>
    <w:rsid w:val="001B0982"/>
    <w:rsid w:val="001B121E"/>
    <w:rsid w:val="001B1E44"/>
    <w:rsid w:val="001B1E46"/>
    <w:rsid w:val="001B20B3"/>
    <w:rsid w:val="001B3725"/>
    <w:rsid w:val="001B40B1"/>
    <w:rsid w:val="001B461C"/>
    <w:rsid w:val="001C04FF"/>
    <w:rsid w:val="001C05AC"/>
    <w:rsid w:val="001C07D8"/>
    <w:rsid w:val="001C402F"/>
    <w:rsid w:val="001C516A"/>
    <w:rsid w:val="001C6726"/>
    <w:rsid w:val="001D0064"/>
    <w:rsid w:val="001D3D72"/>
    <w:rsid w:val="001D48FF"/>
    <w:rsid w:val="001D51FF"/>
    <w:rsid w:val="001D54DF"/>
    <w:rsid w:val="001D634E"/>
    <w:rsid w:val="001D6833"/>
    <w:rsid w:val="001E3E33"/>
    <w:rsid w:val="001E7FB5"/>
    <w:rsid w:val="001F3226"/>
    <w:rsid w:val="001F5345"/>
    <w:rsid w:val="001F665F"/>
    <w:rsid w:val="001F7F37"/>
    <w:rsid w:val="002032EC"/>
    <w:rsid w:val="00203BA9"/>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6272"/>
    <w:rsid w:val="00227CA7"/>
    <w:rsid w:val="00230205"/>
    <w:rsid w:val="002315D4"/>
    <w:rsid w:val="00232EE8"/>
    <w:rsid w:val="00235A00"/>
    <w:rsid w:val="0023683C"/>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7009"/>
    <w:rsid w:val="00257523"/>
    <w:rsid w:val="00261949"/>
    <w:rsid w:val="00261A96"/>
    <w:rsid w:val="002629F2"/>
    <w:rsid w:val="00262BF1"/>
    <w:rsid w:val="00267172"/>
    <w:rsid w:val="00271DAE"/>
    <w:rsid w:val="002728F3"/>
    <w:rsid w:val="00272A0E"/>
    <w:rsid w:val="00273232"/>
    <w:rsid w:val="0027671E"/>
    <w:rsid w:val="00282281"/>
    <w:rsid w:val="00283DAA"/>
    <w:rsid w:val="00283DCD"/>
    <w:rsid w:val="00284B29"/>
    <w:rsid w:val="00287121"/>
    <w:rsid w:val="002878F2"/>
    <w:rsid w:val="002910C0"/>
    <w:rsid w:val="00291485"/>
    <w:rsid w:val="00291660"/>
    <w:rsid w:val="002917A7"/>
    <w:rsid w:val="00291AEA"/>
    <w:rsid w:val="00292734"/>
    <w:rsid w:val="00296269"/>
    <w:rsid w:val="0029781B"/>
    <w:rsid w:val="00297859"/>
    <w:rsid w:val="002A4CB9"/>
    <w:rsid w:val="002A66C3"/>
    <w:rsid w:val="002A6978"/>
    <w:rsid w:val="002A6A22"/>
    <w:rsid w:val="002B2CF8"/>
    <w:rsid w:val="002B30DC"/>
    <w:rsid w:val="002B3760"/>
    <w:rsid w:val="002B3C5F"/>
    <w:rsid w:val="002B66B5"/>
    <w:rsid w:val="002C3678"/>
    <w:rsid w:val="002C3F2B"/>
    <w:rsid w:val="002D0A16"/>
    <w:rsid w:val="002D2701"/>
    <w:rsid w:val="002D2AAF"/>
    <w:rsid w:val="002D2DF2"/>
    <w:rsid w:val="002D5493"/>
    <w:rsid w:val="002E0F8C"/>
    <w:rsid w:val="002E20BB"/>
    <w:rsid w:val="002E37EF"/>
    <w:rsid w:val="002E42D7"/>
    <w:rsid w:val="002E5CCC"/>
    <w:rsid w:val="002E5E4B"/>
    <w:rsid w:val="002F1659"/>
    <w:rsid w:val="002F1F40"/>
    <w:rsid w:val="002F4E76"/>
    <w:rsid w:val="002F4EFF"/>
    <w:rsid w:val="002F51E7"/>
    <w:rsid w:val="002F7422"/>
    <w:rsid w:val="002F7678"/>
    <w:rsid w:val="003006A0"/>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34198"/>
    <w:rsid w:val="00334485"/>
    <w:rsid w:val="00334A32"/>
    <w:rsid w:val="00334E07"/>
    <w:rsid w:val="00340530"/>
    <w:rsid w:val="0034242D"/>
    <w:rsid w:val="0034508F"/>
    <w:rsid w:val="003450FA"/>
    <w:rsid w:val="003549BD"/>
    <w:rsid w:val="00354CCC"/>
    <w:rsid w:val="00356467"/>
    <w:rsid w:val="003575E2"/>
    <w:rsid w:val="003600A3"/>
    <w:rsid w:val="00361FE3"/>
    <w:rsid w:val="003649AC"/>
    <w:rsid w:val="00364B56"/>
    <w:rsid w:val="00366F88"/>
    <w:rsid w:val="003705CD"/>
    <w:rsid w:val="003745FA"/>
    <w:rsid w:val="00375572"/>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6BE6"/>
    <w:rsid w:val="003B35D9"/>
    <w:rsid w:val="003B3A5B"/>
    <w:rsid w:val="003B609D"/>
    <w:rsid w:val="003B612F"/>
    <w:rsid w:val="003B7A0C"/>
    <w:rsid w:val="003C14C7"/>
    <w:rsid w:val="003C7278"/>
    <w:rsid w:val="003C7410"/>
    <w:rsid w:val="003D1837"/>
    <w:rsid w:val="003D1E64"/>
    <w:rsid w:val="003D24EC"/>
    <w:rsid w:val="003D3A1A"/>
    <w:rsid w:val="003D6B48"/>
    <w:rsid w:val="003D73FB"/>
    <w:rsid w:val="003D7981"/>
    <w:rsid w:val="003D7C88"/>
    <w:rsid w:val="003E1569"/>
    <w:rsid w:val="003E1C23"/>
    <w:rsid w:val="003E241A"/>
    <w:rsid w:val="003E3092"/>
    <w:rsid w:val="003E468C"/>
    <w:rsid w:val="003E6A29"/>
    <w:rsid w:val="003F000C"/>
    <w:rsid w:val="003F1BFE"/>
    <w:rsid w:val="003F6C8B"/>
    <w:rsid w:val="0040433D"/>
    <w:rsid w:val="0041056B"/>
    <w:rsid w:val="004124F8"/>
    <w:rsid w:val="00412D86"/>
    <w:rsid w:val="004133D4"/>
    <w:rsid w:val="004172A3"/>
    <w:rsid w:val="0041754D"/>
    <w:rsid w:val="004176E4"/>
    <w:rsid w:val="00417A12"/>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C06"/>
    <w:rsid w:val="004544CF"/>
    <w:rsid w:val="00454C62"/>
    <w:rsid w:val="004563B3"/>
    <w:rsid w:val="004565A9"/>
    <w:rsid w:val="004617B2"/>
    <w:rsid w:val="004629C7"/>
    <w:rsid w:val="004673F1"/>
    <w:rsid w:val="00470A49"/>
    <w:rsid w:val="00472D49"/>
    <w:rsid w:val="00475051"/>
    <w:rsid w:val="0047565B"/>
    <w:rsid w:val="00476B94"/>
    <w:rsid w:val="004833FE"/>
    <w:rsid w:val="00483838"/>
    <w:rsid w:val="00483CE8"/>
    <w:rsid w:val="00484287"/>
    <w:rsid w:val="00484761"/>
    <w:rsid w:val="004873FC"/>
    <w:rsid w:val="004931B8"/>
    <w:rsid w:val="00495671"/>
    <w:rsid w:val="004962D7"/>
    <w:rsid w:val="00496F7D"/>
    <w:rsid w:val="004974BB"/>
    <w:rsid w:val="00497F70"/>
    <w:rsid w:val="004A0796"/>
    <w:rsid w:val="004A26DE"/>
    <w:rsid w:val="004A317E"/>
    <w:rsid w:val="004A34F6"/>
    <w:rsid w:val="004A44E5"/>
    <w:rsid w:val="004A4E21"/>
    <w:rsid w:val="004B044F"/>
    <w:rsid w:val="004B0592"/>
    <w:rsid w:val="004B15BE"/>
    <w:rsid w:val="004B3555"/>
    <w:rsid w:val="004B495B"/>
    <w:rsid w:val="004B6B41"/>
    <w:rsid w:val="004B7C0F"/>
    <w:rsid w:val="004C01F5"/>
    <w:rsid w:val="004C1132"/>
    <w:rsid w:val="004C20AA"/>
    <w:rsid w:val="004C214E"/>
    <w:rsid w:val="004C36E7"/>
    <w:rsid w:val="004C382E"/>
    <w:rsid w:val="004C4D02"/>
    <w:rsid w:val="004C5CAB"/>
    <w:rsid w:val="004C60F3"/>
    <w:rsid w:val="004C7635"/>
    <w:rsid w:val="004D0C0E"/>
    <w:rsid w:val="004D43EE"/>
    <w:rsid w:val="004D572F"/>
    <w:rsid w:val="004D58E7"/>
    <w:rsid w:val="004D7B0B"/>
    <w:rsid w:val="004E2FF8"/>
    <w:rsid w:val="004E3252"/>
    <w:rsid w:val="004F1530"/>
    <w:rsid w:val="004F270A"/>
    <w:rsid w:val="004F52BB"/>
    <w:rsid w:val="004F6D56"/>
    <w:rsid w:val="005005A2"/>
    <w:rsid w:val="00502223"/>
    <w:rsid w:val="00502789"/>
    <w:rsid w:val="0050347F"/>
    <w:rsid w:val="00503C9B"/>
    <w:rsid w:val="00510726"/>
    <w:rsid w:val="005110AC"/>
    <w:rsid w:val="00511136"/>
    <w:rsid w:val="0051683B"/>
    <w:rsid w:val="0052514D"/>
    <w:rsid w:val="00525E71"/>
    <w:rsid w:val="0052645D"/>
    <w:rsid w:val="00530A31"/>
    <w:rsid w:val="00530E7F"/>
    <w:rsid w:val="005318B0"/>
    <w:rsid w:val="00531EA3"/>
    <w:rsid w:val="00532E76"/>
    <w:rsid w:val="005367B5"/>
    <w:rsid w:val="00541787"/>
    <w:rsid w:val="00541925"/>
    <w:rsid w:val="00544942"/>
    <w:rsid w:val="00545C46"/>
    <w:rsid w:val="005477F4"/>
    <w:rsid w:val="00551668"/>
    <w:rsid w:val="00552E33"/>
    <w:rsid w:val="00553BBE"/>
    <w:rsid w:val="00556BEB"/>
    <w:rsid w:val="00557C3C"/>
    <w:rsid w:val="00561E62"/>
    <w:rsid w:val="00564033"/>
    <w:rsid w:val="005651D4"/>
    <w:rsid w:val="0056776A"/>
    <w:rsid w:val="005677FF"/>
    <w:rsid w:val="005678F2"/>
    <w:rsid w:val="00567E80"/>
    <w:rsid w:val="00570129"/>
    <w:rsid w:val="00570264"/>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4FF4"/>
    <w:rsid w:val="00596140"/>
    <w:rsid w:val="00596817"/>
    <w:rsid w:val="00597E77"/>
    <w:rsid w:val="005A2D78"/>
    <w:rsid w:val="005A3853"/>
    <w:rsid w:val="005A4248"/>
    <w:rsid w:val="005A575E"/>
    <w:rsid w:val="005B3F0D"/>
    <w:rsid w:val="005B4176"/>
    <w:rsid w:val="005B5400"/>
    <w:rsid w:val="005B57CA"/>
    <w:rsid w:val="005B6BBA"/>
    <w:rsid w:val="005B7AFA"/>
    <w:rsid w:val="005B7E2D"/>
    <w:rsid w:val="005C1375"/>
    <w:rsid w:val="005C1703"/>
    <w:rsid w:val="005C2065"/>
    <w:rsid w:val="005C3049"/>
    <w:rsid w:val="005C37D7"/>
    <w:rsid w:val="005C7E9B"/>
    <w:rsid w:val="005D04DD"/>
    <w:rsid w:val="005D48DD"/>
    <w:rsid w:val="005D5E5A"/>
    <w:rsid w:val="005E0894"/>
    <w:rsid w:val="005E1F4F"/>
    <w:rsid w:val="005E2110"/>
    <w:rsid w:val="005E3D7F"/>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27BE"/>
    <w:rsid w:val="006138CD"/>
    <w:rsid w:val="00613DDF"/>
    <w:rsid w:val="00614AD9"/>
    <w:rsid w:val="00614C16"/>
    <w:rsid w:val="00615E56"/>
    <w:rsid w:val="00616918"/>
    <w:rsid w:val="00617E63"/>
    <w:rsid w:val="0062090F"/>
    <w:rsid w:val="00623FBE"/>
    <w:rsid w:val="0062426E"/>
    <w:rsid w:val="00626AAD"/>
    <w:rsid w:val="0062719B"/>
    <w:rsid w:val="00632611"/>
    <w:rsid w:val="00633649"/>
    <w:rsid w:val="00633C67"/>
    <w:rsid w:val="00633D53"/>
    <w:rsid w:val="0063435E"/>
    <w:rsid w:val="00635F8D"/>
    <w:rsid w:val="00636572"/>
    <w:rsid w:val="006426F6"/>
    <w:rsid w:val="006433E2"/>
    <w:rsid w:val="006449C4"/>
    <w:rsid w:val="00644B39"/>
    <w:rsid w:val="00644CEB"/>
    <w:rsid w:val="00646C91"/>
    <w:rsid w:val="00646D8C"/>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6FAF"/>
    <w:rsid w:val="00667E22"/>
    <w:rsid w:val="006701A4"/>
    <w:rsid w:val="00670860"/>
    <w:rsid w:val="00670BF1"/>
    <w:rsid w:val="00672841"/>
    <w:rsid w:val="00675293"/>
    <w:rsid w:val="00675519"/>
    <w:rsid w:val="00675E6F"/>
    <w:rsid w:val="0067656C"/>
    <w:rsid w:val="00677C80"/>
    <w:rsid w:val="00680A88"/>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2433"/>
    <w:rsid w:val="006B3193"/>
    <w:rsid w:val="006B4188"/>
    <w:rsid w:val="006B5859"/>
    <w:rsid w:val="006B764E"/>
    <w:rsid w:val="006B7BA0"/>
    <w:rsid w:val="006C0B81"/>
    <w:rsid w:val="006C2A57"/>
    <w:rsid w:val="006C33C7"/>
    <w:rsid w:val="006C42DE"/>
    <w:rsid w:val="006C481F"/>
    <w:rsid w:val="006C6563"/>
    <w:rsid w:val="006C6F56"/>
    <w:rsid w:val="006D397C"/>
    <w:rsid w:val="006D39FE"/>
    <w:rsid w:val="006D5999"/>
    <w:rsid w:val="006D7E79"/>
    <w:rsid w:val="006E6252"/>
    <w:rsid w:val="006E6D89"/>
    <w:rsid w:val="006E7896"/>
    <w:rsid w:val="006F1148"/>
    <w:rsid w:val="006F13DE"/>
    <w:rsid w:val="006F3258"/>
    <w:rsid w:val="006F59C7"/>
    <w:rsid w:val="006F79D4"/>
    <w:rsid w:val="00700392"/>
    <w:rsid w:val="00702408"/>
    <w:rsid w:val="007024F8"/>
    <w:rsid w:val="007039E6"/>
    <w:rsid w:val="007057D4"/>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0A64"/>
    <w:rsid w:val="0075222D"/>
    <w:rsid w:val="00752E9A"/>
    <w:rsid w:val="00753AD8"/>
    <w:rsid w:val="007541B0"/>
    <w:rsid w:val="0075618B"/>
    <w:rsid w:val="0075643A"/>
    <w:rsid w:val="007564A7"/>
    <w:rsid w:val="00756792"/>
    <w:rsid w:val="00756918"/>
    <w:rsid w:val="00756DDB"/>
    <w:rsid w:val="00757637"/>
    <w:rsid w:val="0076099C"/>
    <w:rsid w:val="00770D89"/>
    <w:rsid w:val="00771107"/>
    <w:rsid w:val="007732F0"/>
    <w:rsid w:val="007732F3"/>
    <w:rsid w:val="007734D2"/>
    <w:rsid w:val="0077351E"/>
    <w:rsid w:val="00776956"/>
    <w:rsid w:val="00777C06"/>
    <w:rsid w:val="00782CA6"/>
    <w:rsid w:val="0078384E"/>
    <w:rsid w:val="00784C88"/>
    <w:rsid w:val="00786388"/>
    <w:rsid w:val="00791772"/>
    <w:rsid w:val="007961BA"/>
    <w:rsid w:val="007962CD"/>
    <w:rsid w:val="007A087E"/>
    <w:rsid w:val="007A178F"/>
    <w:rsid w:val="007A440E"/>
    <w:rsid w:val="007B56A9"/>
    <w:rsid w:val="007B75A6"/>
    <w:rsid w:val="007C17EB"/>
    <w:rsid w:val="007C3464"/>
    <w:rsid w:val="007C3665"/>
    <w:rsid w:val="007C600B"/>
    <w:rsid w:val="007C6B6A"/>
    <w:rsid w:val="007C6EC9"/>
    <w:rsid w:val="007C76E6"/>
    <w:rsid w:val="007D254B"/>
    <w:rsid w:val="007D298D"/>
    <w:rsid w:val="007D3303"/>
    <w:rsid w:val="007E188F"/>
    <w:rsid w:val="007E5529"/>
    <w:rsid w:val="007E5F35"/>
    <w:rsid w:val="007E6841"/>
    <w:rsid w:val="007E689F"/>
    <w:rsid w:val="007F2534"/>
    <w:rsid w:val="007F2D7D"/>
    <w:rsid w:val="007F382B"/>
    <w:rsid w:val="007F7861"/>
    <w:rsid w:val="008021AD"/>
    <w:rsid w:val="00803A96"/>
    <w:rsid w:val="00803DF2"/>
    <w:rsid w:val="008073E0"/>
    <w:rsid w:val="0081206A"/>
    <w:rsid w:val="00812DA0"/>
    <w:rsid w:val="008171D8"/>
    <w:rsid w:val="00821636"/>
    <w:rsid w:val="00823CE0"/>
    <w:rsid w:val="00824999"/>
    <w:rsid w:val="008249B1"/>
    <w:rsid w:val="00826AF4"/>
    <w:rsid w:val="00830D0E"/>
    <w:rsid w:val="0083144F"/>
    <w:rsid w:val="008319D1"/>
    <w:rsid w:val="00831BBD"/>
    <w:rsid w:val="00832288"/>
    <w:rsid w:val="008335D4"/>
    <w:rsid w:val="00834E2C"/>
    <w:rsid w:val="008351D0"/>
    <w:rsid w:val="00835844"/>
    <w:rsid w:val="0083590A"/>
    <w:rsid w:val="00841236"/>
    <w:rsid w:val="0084263A"/>
    <w:rsid w:val="00843F06"/>
    <w:rsid w:val="00847415"/>
    <w:rsid w:val="00847504"/>
    <w:rsid w:val="00850F25"/>
    <w:rsid w:val="00851EC4"/>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957FD"/>
    <w:rsid w:val="008A64B8"/>
    <w:rsid w:val="008B0061"/>
    <w:rsid w:val="008B0126"/>
    <w:rsid w:val="008B04AF"/>
    <w:rsid w:val="008B1A9F"/>
    <w:rsid w:val="008B1C79"/>
    <w:rsid w:val="008B33C1"/>
    <w:rsid w:val="008B419F"/>
    <w:rsid w:val="008B75BF"/>
    <w:rsid w:val="008C1213"/>
    <w:rsid w:val="008C24D7"/>
    <w:rsid w:val="008C35A9"/>
    <w:rsid w:val="008C3910"/>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6E55"/>
    <w:rsid w:val="00900798"/>
    <w:rsid w:val="00901BE5"/>
    <w:rsid w:val="00902C55"/>
    <w:rsid w:val="00905E77"/>
    <w:rsid w:val="009061A9"/>
    <w:rsid w:val="00907377"/>
    <w:rsid w:val="00912F3A"/>
    <w:rsid w:val="00912F90"/>
    <w:rsid w:val="00915FC3"/>
    <w:rsid w:val="00917315"/>
    <w:rsid w:val="00920B28"/>
    <w:rsid w:val="009243A5"/>
    <w:rsid w:val="0092463C"/>
    <w:rsid w:val="00924DDF"/>
    <w:rsid w:val="0092623A"/>
    <w:rsid w:val="00926BD4"/>
    <w:rsid w:val="0092760D"/>
    <w:rsid w:val="0093026B"/>
    <w:rsid w:val="00933630"/>
    <w:rsid w:val="0093788C"/>
    <w:rsid w:val="00940BA0"/>
    <w:rsid w:val="00942B8E"/>
    <w:rsid w:val="009438B9"/>
    <w:rsid w:val="00943F35"/>
    <w:rsid w:val="00944F0D"/>
    <w:rsid w:val="0094515F"/>
    <w:rsid w:val="00946EF5"/>
    <w:rsid w:val="00951711"/>
    <w:rsid w:val="00951A16"/>
    <w:rsid w:val="0095374D"/>
    <w:rsid w:val="00953F8C"/>
    <w:rsid w:val="00954D13"/>
    <w:rsid w:val="00955831"/>
    <w:rsid w:val="00957B24"/>
    <w:rsid w:val="009614EA"/>
    <w:rsid w:val="00962644"/>
    <w:rsid w:val="009629AA"/>
    <w:rsid w:val="009630AB"/>
    <w:rsid w:val="00963B44"/>
    <w:rsid w:val="009648F2"/>
    <w:rsid w:val="00965C73"/>
    <w:rsid w:val="00971920"/>
    <w:rsid w:val="00971E6F"/>
    <w:rsid w:val="00973D2E"/>
    <w:rsid w:val="0097498F"/>
    <w:rsid w:val="00980E0A"/>
    <w:rsid w:val="009833D5"/>
    <w:rsid w:val="0098623F"/>
    <w:rsid w:val="00986AB2"/>
    <w:rsid w:val="009876DA"/>
    <w:rsid w:val="009910B4"/>
    <w:rsid w:val="009958A7"/>
    <w:rsid w:val="0099639A"/>
    <w:rsid w:val="009A1645"/>
    <w:rsid w:val="009A3F11"/>
    <w:rsid w:val="009A51C5"/>
    <w:rsid w:val="009B2680"/>
    <w:rsid w:val="009B26B9"/>
    <w:rsid w:val="009B33E1"/>
    <w:rsid w:val="009B78ED"/>
    <w:rsid w:val="009C01B7"/>
    <w:rsid w:val="009C0776"/>
    <w:rsid w:val="009C1823"/>
    <w:rsid w:val="009C550B"/>
    <w:rsid w:val="009C60C3"/>
    <w:rsid w:val="009C7D2D"/>
    <w:rsid w:val="009D1F41"/>
    <w:rsid w:val="009D1F94"/>
    <w:rsid w:val="009D2D82"/>
    <w:rsid w:val="009D585E"/>
    <w:rsid w:val="009E040B"/>
    <w:rsid w:val="009E04A9"/>
    <w:rsid w:val="009E231A"/>
    <w:rsid w:val="009E274E"/>
    <w:rsid w:val="009E2D45"/>
    <w:rsid w:val="009E41D1"/>
    <w:rsid w:val="009E5DAD"/>
    <w:rsid w:val="009E6D7B"/>
    <w:rsid w:val="009F2D2D"/>
    <w:rsid w:val="009F46DA"/>
    <w:rsid w:val="009F61F1"/>
    <w:rsid w:val="009F7B78"/>
    <w:rsid w:val="00A01ACB"/>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6E1F"/>
    <w:rsid w:val="00A67D2B"/>
    <w:rsid w:val="00A71F0F"/>
    <w:rsid w:val="00A76014"/>
    <w:rsid w:val="00A76816"/>
    <w:rsid w:val="00A76C61"/>
    <w:rsid w:val="00A778C8"/>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4BDB"/>
    <w:rsid w:val="00AC4DFD"/>
    <w:rsid w:val="00AD0317"/>
    <w:rsid w:val="00AD0E34"/>
    <w:rsid w:val="00AD21CC"/>
    <w:rsid w:val="00AD51FE"/>
    <w:rsid w:val="00AE04BB"/>
    <w:rsid w:val="00AE1E9C"/>
    <w:rsid w:val="00AE222D"/>
    <w:rsid w:val="00AE2FD4"/>
    <w:rsid w:val="00AE3828"/>
    <w:rsid w:val="00AE3E1A"/>
    <w:rsid w:val="00AE43E1"/>
    <w:rsid w:val="00AE78B6"/>
    <w:rsid w:val="00AF24C6"/>
    <w:rsid w:val="00AF5A76"/>
    <w:rsid w:val="00AF5B15"/>
    <w:rsid w:val="00AF7CB7"/>
    <w:rsid w:val="00B004F3"/>
    <w:rsid w:val="00B00927"/>
    <w:rsid w:val="00B03D32"/>
    <w:rsid w:val="00B04972"/>
    <w:rsid w:val="00B04FAD"/>
    <w:rsid w:val="00B1188E"/>
    <w:rsid w:val="00B16276"/>
    <w:rsid w:val="00B2164E"/>
    <w:rsid w:val="00B24461"/>
    <w:rsid w:val="00B2495C"/>
    <w:rsid w:val="00B24B51"/>
    <w:rsid w:val="00B24B98"/>
    <w:rsid w:val="00B24F85"/>
    <w:rsid w:val="00B25BCA"/>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550"/>
    <w:rsid w:val="00B56A4F"/>
    <w:rsid w:val="00B57CC5"/>
    <w:rsid w:val="00B63624"/>
    <w:rsid w:val="00B64897"/>
    <w:rsid w:val="00B65E0B"/>
    <w:rsid w:val="00B65ECE"/>
    <w:rsid w:val="00B660D9"/>
    <w:rsid w:val="00B66777"/>
    <w:rsid w:val="00B674EF"/>
    <w:rsid w:val="00B71D2A"/>
    <w:rsid w:val="00B720C9"/>
    <w:rsid w:val="00B72B7B"/>
    <w:rsid w:val="00B72F4B"/>
    <w:rsid w:val="00B732DD"/>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3942"/>
    <w:rsid w:val="00BB5E06"/>
    <w:rsid w:val="00BB62E7"/>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54CA"/>
    <w:rsid w:val="00BD6108"/>
    <w:rsid w:val="00BD63CD"/>
    <w:rsid w:val="00BD7837"/>
    <w:rsid w:val="00BD7C06"/>
    <w:rsid w:val="00BE2C29"/>
    <w:rsid w:val="00BE314A"/>
    <w:rsid w:val="00BE3699"/>
    <w:rsid w:val="00BE6CC7"/>
    <w:rsid w:val="00BE7424"/>
    <w:rsid w:val="00BF1AE9"/>
    <w:rsid w:val="00BF1DAF"/>
    <w:rsid w:val="00BF423D"/>
    <w:rsid w:val="00BF625B"/>
    <w:rsid w:val="00BF736C"/>
    <w:rsid w:val="00C03609"/>
    <w:rsid w:val="00C03DF7"/>
    <w:rsid w:val="00C10456"/>
    <w:rsid w:val="00C11214"/>
    <w:rsid w:val="00C12085"/>
    <w:rsid w:val="00C12D5C"/>
    <w:rsid w:val="00C12F72"/>
    <w:rsid w:val="00C15B2D"/>
    <w:rsid w:val="00C17624"/>
    <w:rsid w:val="00C21E57"/>
    <w:rsid w:val="00C2219F"/>
    <w:rsid w:val="00C22622"/>
    <w:rsid w:val="00C2305B"/>
    <w:rsid w:val="00C2377B"/>
    <w:rsid w:val="00C248F3"/>
    <w:rsid w:val="00C26672"/>
    <w:rsid w:val="00C30F9B"/>
    <w:rsid w:val="00C43BBC"/>
    <w:rsid w:val="00C5082E"/>
    <w:rsid w:val="00C50A8E"/>
    <w:rsid w:val="00C60866"/>
    <w:rsid w:val="00C61F04"/>
    <w:rsid w:val="00C62347"/>
    <w:rsid w:val="00C66E05"/>
    <w:rsid w:val="00C6764E"/>
    <w:rsid w:val="00C6770F"/>
    <w:rsid w:val="00C71989"/>
    <w:rsid w:val="00C7428F"/>
    <w:rsid w:val="00C74A99"/>
    <w:rsid w:val="00C75A90"/>
    <w:rsid w:val="00C75C8E"/>
    <w:rsid w:val="00C770CB"/>
    <w:rsid w:val="00C772E0"/>
    <w:rsid w:val="00C77CA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41D"/>
    <w:rsid w:val="00D216A2"/>
    <w:rsid w:val="00D26B52"/>
    <w:rsid w:val="00D339DA"/>
    <w:rsid w:val="00D33AB9"/>
    <w:rsid w:val="00D33B64"/>
    <w:rsid w:val="00D3524C"/>
    <w:rsid w:val="00D36512"/>
    <w:rsid w:val="00D36680"/>
    <w:rsid w:val="00D42185"/>
    <w:rsid w:val="00D445E7"/>
    <w:rsid w:val="00D454D1"/>
    <w:rsid w:val="00D5038C"/>
    <w:rsid w:val="00D50796"/>
    <w:rsid w:val="00D508A3"/>
    <w:rsid w:val="00D51706"/>
    <w:rsid w:val="00D52845"/>
    <w:rsid w:val="00D652AB"/>
    <w:rsid w:val="00D65822"/>
    <w:rsid w:val="00D65D09"/>
    <w:rsid w:val="00D70393"/>
    <w:rsid w:val="00D729EB"/>
    <w:rsid w:val="00D81A71"/>
    <w:rsid w:val="00D81C38"/>
    <w:rsid w:val="00D821B1"/>
    <w:rsid w:val="00D84DF5"/>
    <w:rsid w:val="00D853E5"/>
    <w:rsid w:val="00D864F8"/>
    <w:rsid w:val="00D86740"/>
    <w:rsid w:val="00D867A1"/>
    <w:rsid w:val="00D8736A"/>
    <w:rsid w:val="00D909F1"/>
    <w:rsid w:val="00D912DE"/>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BEA"/>
    <w:rsid w:val="00DD72E0"/>
    <w:rsid w:val="00DD754B"/>
    <w:rsid w:val="00DE00FB"/>
    <w:rsid w:val="00DE472E"/>
    <w:rsid w:val="00DE63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3BF5"/>
    <w:rsid w:val="00E25417"/>
    <w:rsid w:val="00E269B5"/>
    <w:rsid w:val="00E277E2"/>
    <w:rsid w:val="00E300E3"/>
    <w:rsid w:val="00E3014F"/>
    <w:rsid w:val="00E30749"/>
    <w:rsid w:val="00E3243F"/>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6DE2"/>
    <w:rsid w:val="00E87CFF"/>
    <w:rsid w:val="00E91E0A"/>
    <w:rsid w:val="00E920B9"/>
    <w:rsid w:val="00E927D6"/>
    <w:rsid w:val="00E937B2"/>
    <w:rsid w:val="00E95F32"/>
    <w:rsid w:val="00E96D93"/>
    <w:rsid w:val="00E97521"/>
    <w:rsid w:val="00EA06DA"/>
    <w:rsid w:val="00EA0F33"/>
    <w:rsid w:val="00EA3134"/>
    <w:rsid w:val="00EA376F"/>
    <w:rsid w:val="00EA4D6B"/>
    <w:rsid w:val="00EA5B1B"/>
    <w:rsid w:val="00EA64C3"/>
    <w:rsid w:val="00EA7B14"/>
    <w:rsid w:val="00EB08A8"/>
    <w:rsid w:val="00EB4CD3"/>
    <w:rsid w:val="00EB665A"/>
    <w:rsid w:val="00EC14BB"/>
    <w:rsid w:val="00EC4BBD"/>
    <w:rsid w:val="00EC4F36"/>
    <w:rsid w:val="00EC559E"/>
    <w:rsid w:val="00EC5B71"/>
    <w:rsid w:val="00EC7374"/>
    <w:rsid w:val="00EC7455"/>
    <w:rsid w:val="00ED3319"/>
    <w:rsid w:val="00ED39C6"/>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5A32"/>
    <w:rsid w:val="00F2655C"/>
    <w:rsid w:val="00F26DAE"/>
    <w:rsid w:val="00F27221"/>
    <w:rsid w:val="00F315AE"/>
    <w:rsid w:val="00F34347"/>
    <w:rsid w:val="00F347F3"/>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B6C"/>
    <w:rsid w:val="00F8237E"/>
    <w:rsid w:val="00F8289A"/>
    <w:rsid w:val="00F83885"/>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C0957"/>
    <w:rsid w:val="00FC205B"/>
    <w:rsid w:val="00FC2825"/>
    <w:rsid w:val="00FC41FF"/>
    <w:rsid w:val="00FC4D32"/>
    <w:rsid w:val="00FC4E5F"/>
    <w:rsid w:val="00FD04E8"/>
    <w:rsid w:val="00FD0686"/>
    <w:rsid w:val="00FD18E3"/>
    <w:rsid w:val="00FD20D2"/>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51649">
      <w:bodyDiv w:val="1"/>
      <w:marLeft w:val="0"/>
      <w:marRight w:val="0"/>
      <w:marTop w:val="0"/>
      <w:marBottom w:val="0"/>
      <w:divBdr>
        <w:top w:val="none" w:sz="0" w:space="0" w:color="auto"/>
        <w:left w:val="none" w:sz="0" w:space="0" w:color="auto"/>
        <w:bottom w:val="none" w:sz="0" w:space="0" w:color="auto"/>
        <w:right w:val="none" w:sz="0" w:space="0" w:color="auto"/>
      </w:divBdr>
    </w:div>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784496712">
      <w:bodyDiv w:val="1"/>
      <w:marLeft w:val="0"/>
      <w:marRight w:val="0"/>
      <w:marTop w:val="0"/>
      <w:marBottom w:val="0"/>
      <w:divBdr>
        <w:top w:val="none" w:sz="0" w:space="0" w:color="auto"/>
        <w:left w:val="none" w:sz="0" w:space="0" w:color="auto"/>
        <w:bottom w:val="none" w:sz="0" w:space="0" w:color="auto"/>
        <w:right w:val="none" w:sz="0" w:space="0" w:color="auto"/>
      </w:divBdr>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155489566">
      <w:bodyDiv w:val="1"/>
      <w:marLeft w:val="0"/>
      <w:marRight w:val="0"/>
      <w:marTop w:val="0"/>
      <w:marBottom w:val="0"/>
      <w:divBdr>
        <w:top w:val="none" w:sz="0" w:space="0" w:color="auto"/>
        <w:left w:val="none" w:sz="0" w:space="0" w:color="auto"/>
        <w:bottom w:val="none" w:sz="0" w:space="0" w:color="auto"/>
        <w:right w:val="none" w:sz="0" w:space="0" w:color="auto"/>
      </w:divBdr>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gunbekun@yahoo.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2227</Words>
  <Characters>12699</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14897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Laurence M - Huawei</dc:creator>
  <cp:lastModifiedBy>Jumoke</cp:lastModifiedBy>
  <cp:revision>6</cp:revision>
  <dcterms:created xsi:type="dcterms:W3CDTF">2016-09-20T12:10:00Z</dcterms:created>
  <dcterms:modified xsi:type="dcterms:W3CDTF">2016-10-26T13:04:00Z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ies>
</file>