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14A79" w14:textId="0EE16A8B" w:rsidR="00EE3B2E" w:rsidRDefault="00EE3B2E" w:rsidP="00440983">
      <w:pPr>
        <w:tabs>
          <w:tab w:val="right" w:pos="9638"/>
        </w:tabs>
        <w:rPr>
          <w:rFonts w:ascii="Arial" w:hAnsi="Arial" w:cs="Arial"/>
          <w:b/>
          <w:bCs/>
          <w:sz w:val="24"/>
        </w:rPr>
      </w:pPr>
      <w:r>
        <w:rPr>
          <w:rFonts w:ascii="Arial" w:hAnsi="Arial" w:cs="Arial"/>
          <w:b/>
          <w:bCs/>
          <w:sz w:val="24"/>
        </w:rPr>
        <w:t>SA WG</w:t>
      </w:r>
      <w:r w:rsidR="009D59C3">
        <w:rPr>
          <w:rFonts w:ascii="Arial" w:hAnsi="Arial" w:cs="Arial"/>
          <w:b/>
          <w:bCs/>
          <w:sz w:val="24"/>
        </w:rPr>
        <w:t>1 Meeting #94bis</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212</w:t>
      </w:r>
      <w:r w:rsidR="00D92FE2">
        <w:rPr>
          <w:rFonts w:ascii="Arial" w:hAnsi="Arial" w:cs="Arial"/>
          <w:b/>
          <w:bCs/>
          <w:sz w:val="24"/>
        </w:rPr>
        <w:t>064</w:t>
      </w:r>
    </w:p>
    <w:p w14:paraId="1172F121" w14:textId="77777777"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Electronic Meeting, 5-12 July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212</w:t>
      </w:r>
      <w:r w:rsidR="00EE3B2E" w:rsidRPr="009D59C3">
        <w:rPr>
          <w:rFonts w:ascii="Arial" w:hAnsi="Arial" w:cs="Arial"/>
          <w:b/>
          <w:bCs/>
          <w:i/>
          <w:color w:val="0000FF"/>
        </w:rPr>
        <w:t>xxx</w:t>
      </w:r>
      <w:r w:rsidR="00EE3B2E" w:rsidRPr="00EC7CE6">
        <w:rPr>
          <w:rFonts w:ascii="Arial" w:hAnsi="Arial" w:cs="Arial"/>
          <w:b/>
          <w:bCs/>
        </w:rPr>
        <w:t>)</w:t>
      </w:r>
    </w:p>
    <w:p w14:paraId="01994B6B" w14:textId="513D9880" w:rsidR="00440983" w:rsidRDefault="00440983">
      <w:pPr>
        <w:ind w:left="2127" w:hanging="2127"/>
        <w:rPr>
          <w:rFonts w:ascii="Arial" w:hAnsi="Arial" w:cs="Arial"/>
          <w:b/>
        </w:rPr>
      </w:pPr>
      <w:r>
        <w:rPr>
          <w:rFonts w:ascii="Arial" w:hAnsi="Arial" w:cs="Arial"/>
          <w:b/>
        </w:rPr>
        <w:t>Source:</w:t>
      </w:r>
      <w:r>
        <w:rPr>
          <w:rFonts w:ascii="Arial" w:hAnsi="Arial" w:cs="Arial"/>
          <w:b/>
        </w:rPr>
        <w:tab/>
      </w:r>
      <w:r w:rsidR="00F60ED7">
        <w:rPr>
          <w:rFonts w:ascii="Arial" w:hAnsi="Arial" w:cs="Arial"/>
          <w:b/>
        </w:rPr>
        <w:t>Samsung, EUTC</w:t>
      </w:r>
      <w:r w:rsidR="00784B1D">
        <w:rPr>
          <w:rFonts w:ascii="Arial" w:hAnsi="Arial" w:cs="Arial"/>
          <w:b/>
        </w:rPr>
        <w:t xml:space="preserve">, Vodafone, Telefonica, </w:t>
      </w:r>
      <w:proofErr w:type="spellStart"/>
      <w:r w:rsidR="00784B1D">
        <w:rPr>
          <w:rFonts w:ascii="Arial" w:hAnsi="Arial" w:cs="Arial"/>
          <w:b/>
        </w:rPr>
        <w:t>BMWi</w:t>
      </w:r>
      <w:proofErr w:type="spellEnd"/>
      <w:r w:rsidR="001E3779">
        <w:rPr>
          <w:rFonts w:ascii="Arial" w:hAnsi="Arial" w:cs="Arial"/>
          <w:b/>
        </w:rPr>
        <w:t xml:space="preserve">, EDF, </w:t>
      </w:r>
      <w:proofErr w:type="spellStart"/>
      <w:r w:rsidR="001E3779">
        <w:rPr>
          <w:rFonts w:ascii="Arial" w:hAnsi="Arial" w:cs="Arial"/>
          <w:b/>
        </w:rPr>
        <w:t>Novamint</w:t>
      </w:r>
      <w:proofErr w:type="spellEnd"/>
    </w:p>
    <w:p w14:paraId="70EF05D6" w14:textId="77777777" w:rsidR="00440983" w:rsidRDefault="00F60ED7">
      <w:pPr>
        <w:ind w:left="2127" w:hanging="2127"/>
        <w:rPr>
          <w:rFonts w:ascii="Arial" w:hAnsi="Arial" w:cs="Arial"/>
          <w:b/>
        </w:rPr>
      </w:pPr>
      <w:r>
        <w:rPr>
          <w:rFonts w:ascii="Arial" w:hAnsi="Arial" w:cs="Arial"/>
          <w:b/>
        </w:rPr>
        <w:t>Title:</w:t>
      </w:r>
      <w:r>
        <w:rPr>
          <w:rFonts w:ascii="Arial" w:hAnsi="Arial" w:cs="Arial"/>
          <w:b/>
        </w:rPr>
        <w:tab/>
        <w:t>RAN Information reporting for Utilities: Rationale and Application</w:t>
      </w:r>
    </w:p>
    <w:p w14:paraId="1CBFC4E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60ED7">
        <w:rPr>
          <w:rFonts w:ascii="Arial" w:hAnsi="Arial" w:cs="Arial"/>
          <w:b/>
        </w:rPr>
        <w:t>Discussion &amp; Decision</w:t>
      </w:r>
    </w:p>
    <w:p w14:paraId="03F18EFD" w14:textId="0F4565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039BD">
        <w:rPr>
          <w:rFonts w:ascii="Arial" w:hAnsi="Arial" w:cs="Arial"/>
          <w:b/>
        </w:rPr>
        <w:t>2.1.1</w:t>
      </w:r>
    </w:p>
    <w:p w14:paraId="650734C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60ED7">
        <w:rPr>
          <w:rFonts w:ascii="Arial" w:hAnsi="Arial" w:cs="Arial"/>
          <w:b/>
        </w:rPr>
        <w:t>FS_5GSEI</w:t>
      </w:r>
      <w:r w:rsidR="00D9210F">
        <w:rPr>
          <w:rFonts w:ascii="Arial" w:hAnsi="Arial" w:cs="Arial"/>
          <w:b/>
        </w:rPr>
        <w:t xml:space="preserve"> / SEI / Rel-18</w:t>
      </w:r>
    </w:p>
    <w:p w14:paraId="6081CC2E" w14:textId="77777777"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14:paraId="6E82D886" w14:textId="77777777" w:rsidR="009D59C3" w:rsidRDefault="00B41987">
      <w:r>
        <w:pict w14:anchorId="3F898798">
          <v:rect id="_x0000_i1025" style="width:0;height:1.5pt" o:hralign="center" o:hrstd="t" o:hr="t" fillcolor="#a0a0a0" stroked="f"/>
        </w:pict>
      </w:r>
    </w:p>
    <w:p w14:paraId="2CB98863" w14:textId="77777777" w:rsidR="00440983" w:rsidRDefault="00440983">
      <w:pPr>
        <w:rPr>
          <w:rFonts w:ascii="Arial" w:hAnsi="Arial" w:cs="Arial"/>
          <w:i/>
        </w:rPr>
      </w:pPr>
      <w:r>
        <w:rPr>
          <w:rFonts w:ascii="Arial" w:hAnsi="Arial" w:cs="Arial"/>
          <w:i/>
        </w:rPr>
        <w:t>Abstract of the contribution:</w:t>
      </w:r>
    </w:p>
    <w:p w14:paraId="64B2139B" w14:textId="5BFD738B" w:rsidR="00440983" w:rsidRPr="00D040CB" w:rsidRDefault="00D040CB">
      <w:pPr>
        <w:rPr>
          <w:rFonts w:ascii="Arial" w:hAnsi="Arial" w:cs="Arial"/>
          <w:i/>
        </w:rPr>
      </w:pPr>
      <w:r>
        <w:rPr>
          <w:rFonts w:ascii="Arial" w:hAnsi="Arial" w:cs="Arial"/>
          <w:i/>
        </w:rPr>
        <w:t xml:space="preserve">This discussion document presents the rationale and experience using RAN information to correlate with performance in order to predict and proactively avoid potential performance </w:t>
      </w:r>
      <w:r w:rsidR="00FA082C">
        <w:rPr>
          <w:rFonts w:ascii="Arial" w:hAnsi="Arial" w:cs="Arial"/>
          <w:i/>
        </w:rPr>
        <w:t>degradation</w:t>
      </w:r>
      <w:r>
        <w:rPr>
          <w:rFonts w:ascii="Arial" w:hAnsi="Arial" w:cs="Arial"/>
          <w:i/>
        </w:rPr>
        <w:t xml:space="preserve"> incidents. </w:t>
      </w:r>
      <w:r w:rsidR="00FA082C">
        <w:rPr>
          <w:rFonts w:ascii="Arial" w:hAnsi="Arial" w:cs="Arial"/>
          <w:i/>
        </w:rPr>
        <w:t xml:space="preserve">Troubleshooting an incident with this data is also improved. </w:t>
      </w:r>
      <w:r>
        <w:rPr>
          <w:rFonts w:ascii="Arial" w:hAnsi="Arial" w:cs="Arial"/>
          <w:i/>
        </w:rPr>
        <w:t xml:space="preserve">Endorsement is sought to </w:t>
      </w:r>
      <w:r w:rsidR="00FA082C">
        <w:rPr>
          <w:rFonts w:ascii="Arial" w:hAnsi="Arial" w:cs="Arial"/>
          <w:i/>
        </w:rPr>
        <w:t>address existing editor’s notes in TR 22.867, 5.7.</w:t>
      </w:r>
    </w:p>
    <w:p w14:paraId="1EA712C1" w14:textId="77777777" w:rsidR="00D9210F" w:rsidRPr="003A3401" w:rsidRDefault="00D9210F">
      <w:pPr>
        <w:rPr>
          <w:rFonts w:ascii="Arial" w:hAnsi="Arial" w:cs="Arial"/>
          <w:b/>
          <w:sz w:val="22"/>
        </w:rPr>
      </w:pPr>
      <w:r w:rsidRPr="003A3401">
        <w:rPr>
          <w:rFonts w:ascii="Arial" w:hAnsi="Arial" w:cs="Arial"/>
          <w:b/>
          <w:sz w:val="22"/>
        </w:rPr>
        <w:t>Introduction</w:t>
      </w:r>
    </w:p>
    <w:p w14:paraId="0A8729BE" w14:textId="77777777" w:rsidR="00A014E8" w:rsidRDefault="00A014E8" w:rsidP="00A014E8">
      <w:pPr>
        <w:rPr>
          <w:rFonts w:ascii="Arial" w:hAnsi="Arial" w:cs="Arial"/>
        </w:rPr>
      </w:pPr>
      <w:r>
        <w:rPr>
          <w:rFonts w:ascii="Arial" w:hAnsi="Arial" w:cs="Arial"/>
        </w:rPr>
        <w:t>The main problem that needs to be solved is to enable the DSO to achieve high availability for the services they provide to their customers. When issues arise in the electrical system, it is possible to use distribution automation to mitigate them for most customers within the first minute. It takes however at least two minutes to bring up an alternative communication mechanism in the case of a communication system performance incident. So if the communications incident coincides with an energy system problem, this will result in prolonged outages for energy system customers. This is discussed in more detail in S1-211206.</w:t>
      </w:r>
    </w:p>
    <w:p w14:paraId="7E591744" w14:textId="4DC677A2" w:rsidR="00A014E8" w:rsidRPr="00A014E8" w:rsidRDefault="00A014E8" w:rsidP="009C6B06">
      <w:pPr>
        <w:rPr>
          <w:rFonts w:ascii="Arial" w:hAnsi="Arial" w:cs="Arial"/>
        </w:rPr>
      </w:pPr>
      <w:r>
        <w:rPr>
          <w:rFonts w:ascii="Arial" w:hAnsi="Arial" w:cs="Arial"/>
        </w:rPr>
        <w:t xml:space="preserve">This paper provides more information </w:t>
      </w:r>
      <w:r>
        <w:rPr>
          <w:rFonts w:ascii="Arial" w:hAnsi="Arial" w:cs="Arial"/>
          <w:i/>
        </w:rPr>
        <w:t>how</w:t>
      </w:r>
      <w:r>
        <w:rPr>
          <w:rFonts w:ascii="Arial" w:hAnsi="Arial" w:cs="Arial"/>
        </w:rPr>
        <w:t xml:space="preserve"> and </w:t>
      </w:r>
      <w:r>
        <w:rPr>
          <w:rFonts w:ascii="Arial" w:hAnsi="Arial" w:cs="Arial"/>
          <w:i/>
        </w:rPr>
        <w:t>why</w:t>
      </w:r>
      <w:r>
        <w:rPr>
          <w:rFonts w:ascii="Arial" w:hAnsi="Arial" w:cs="Arial"/>
        </w:rPr>
        <w:t xml:space="preserve"> </w:t>
      </w:r>
      <w:proofErr w:type="gramStart"/>
      <w:r>
        <w:rPr>
          <w:rFonts w:ascii="Arial" w:hAnsi="Arial" w:cs="Arial"/>
        </w:rPr>
        <w:t>RAN information</w:t>
      </w:r>
      <w:proofErr w:type="gramEnd"/>
      <w:r>
        <w:rPr>
          <w:rFonts w:ascii="Arial" w:hAnsi="Arial" w:cs="Arial"/>
        </w:rPr>
        <w:t xml:space="preserve"> is used for predictions and proactive response to avoid reduced availability of the energy system</w:t>
      </w:r>
      <w:r w:rsidR="00FA082C">
        <w:rPr>
          <w:rFonts w:ascii="Arial" w:hAnsi="Arial" w:cs="Arial"/>
        </w:rPr>
        <w:t>, and increase the effectiveness of reactive troubleshooting of incidents when they occur</w:t>
      </w:r>
      <w:r>
        <w:rPr>
          <w:rFonts w:ascii="Arial" w:hAnsi="Arial" w:cs="Arial"/>
        </w:rPr>
        <w:t>.</w:t>
      </w:r>
    </w:p>
    <w:p w14:paraId="3ADE8337" w14:textId="2D2EC342" w:rsidR="00D9210F" w:rsidRDefault="009C6B06" w:rsidP="009C6B06">
      <w:pPr>
        <w:rPr>
          <w:rFonts w:ascii="Arial" w:hAnsi="Arial" w:cs="Arial"/>
        </w:rPr>
      </w:pPr>
      <w:r>
        <w:rPr>
          <w:rFonts w:ascii="Arial" w:hAnsi="Arial" w:cs="Arial"/>
        </w:rPr>
        <w:t>The a</w:t>
      </w:r>
      <w:r w:rsidR="00D9210F">
        <w:rPr>
          <w:rFonts w:ascii="Arial" w:hAnsi="Arial" w:cs="Arial"/>
        </w:rPr>
        <w:t xml:space="preserve">im </w:t>
      </w:r>
      <w:r>
        <w:rPr>
          <w:rFonts w:ascii="Arial" w:hAnsi="Arial" w:cs="Arial"/>
        </w:rPr>
        <w:t xml:space="preserve">of use case 5.7 </w:t>
      </w:r>
      <w:r w:rsidR="00D9210F">
        <w:rPr>
          <w:rFonts w:ascii="Arial" w:hAnsi="Arial" w:cs="Arial"/>
        </w:rPr>
        <w:t xml:space="preserve">is </w:t>
      </w:r>
      <w:r>
        <w:rPr>
          <w:rFonts w:ascii="Arial" w:hAnsi="Arial" w:cs="Arial"/>
        </w:rPr>
        <w:t xml:space="preserve">to enable standards-based mechanisms to support </w:t>
      </w:r>
      <w:r w:rsidR="00FA082C">
        <w:rPr>
          <w:rFonts w:ascii="Arial" w:hAnsi="Arial" w:cs="Arial"/>
        </w:rPr>
        <w:t>these goals</w:t>
      </w:r>
      <w:r>
        <w:rPr>
          <w:rFonts w:ascii="Arial" w:hAnsi="Arial" w:cs="Arial"/>
        </w:rPr>
        <w:t>. The DSO obtains</w:t>
      </w:r>
      <w:r w:rsidR="00D9210F">
        <w:rPr>
          <w:rFonts w:ascii="Arial" w:hAnsi="Arial" w:cs="Arial"/>
        </w:rPr>
        <w:t xml:space="preserve"> a continuous (low granularity) set of information that can be time-correlated</w:t>
      </w:r>
      <w:r>
        <w:rPr>
          <w:rFonts w:ascii="Arial" w:hAnsi="Arial" w:cs="Arial"/>
        </w:rPr>
        <w:t xml:space="preserve"> with DSO measured user plane performance. This paper shows how this information can be used to identify problematic situations.  </w:t>
      </w:r>
    </w:p>
    <w:p w14:paraId="055CA409" w14:textId="77777777" w:rsidR="00D9210F" w:rsidRDefault="00D9210F" w:rsidP="009C6B06">
      <w:pPr>
        <w:rPr>
          <w:rFonts w:ascii="Arial" w:hAnsi="Arial" w:cs="Arial"/>
        </w:rPr>
      </w:pPr>
      <w:r>
        <w:rPr>
          <w:rFonts w:ascii="Arial" w:hAnsi="Arial" w:cs="Arial"/>
        </w:rPr>
        <w:t>The approach is not theoretical</w:t>
      </w:r>
      <w:r w:rsidR="009C6B06">
        <w:rPr>
          <w:rFonts w:ascii="Arial" w:hAnsi="Arial" w:cs="Arial"/>
        </w:rPr>
        <w:t xml:space="preserve"> – the figures shown below are from actual monitoring and investigations undertaken in operational situations.</w:t>
      </w:r>
    </w:p>
    <w:p w14:paraId="4E0D9295" w14:textId="77777777" w:rsidR="00AE54B9" w:rsidRDefault="00AE54B9" w:rsidP="009C6B06">
      <w:pPr>
        <w:rPr>
          <w:rFonts w:ascii="Arial" w:hAnsi="Arial" w:cs="Arial"/>
        </w:rPr>
      </w:pPr>
      <w:r>
        <w:rPr>
          <w:rFonts w:ascii="Arial" w:hAnsi="Arial" w:cs="Arial"/>
        </w:rPr>
        <w:t>The RAN information discussed – RAT type, Cell ID, Frequency Band and Signal Strength</w:t>
      </w:r>
      <w:r w:rsidR="00D9210F">
        <w:rPr>
          <w:rFonts w:ascii="Arial" w:hAnsi="Arial" w:cs="Arial"/>
        </w:rPr>
        <w:t xml:space="preserve"> is available </w:t>
      </w:r>
      <w:r>
        <w:rPr>
          <w:rFonts w:ascii="Arial" w:hAnsi="Arial" w:cs="Arial"/>
        </w:rPr>
        <w:t xml:space="preserve">to the UE. In theory it could be stored on the router / UE </w:t>
      </w:r>
      <w:r w:rsidR="00D9210F">
        <w:rPr>
          <w:rFonts w:ascii="Arial" w:hAnsi="Arial" w:cs="Arial"/>
        </w:rPr>
        <w:t>for post-mortem analysis</w:t>
      </w:r>
      <w:r>
        <w:rPr>
          <w:rFonts w:ascii="Arial" w:hAnsi="Arial" w:cs="Arial"/>
        </w:rPr>
        <w:t xml:space="preserve">. However, this is not ideal for three reasons. </w:t>
      </w:r>
    </w:p>
    <w:p w14:paraId="79BD497F" w14:textId="11F0E53F" w:rsidR="00AE54B9" w:rsidRDefault="00AE54B9" w:rsidP="009C6B06">
      <w:pPr>
        <w:rPr>
          <w:rFonts w:ascii="Arial" w:hAnsi="Arial" w:cs="Arial"/>
        </w:rPr>
      </w:pPr>
      <w:r>
        <w:rPr>
          <w:rFonts w:ascii="Arial" w:hAnsi="Arial" w:cs="Arial"/>
        </w:rPr>
        <w:t>First, the UE can capture data, but when the RAN performance or configuration changes, the likelihood of the UE reporting this (over the top) to a DSO reduces. In particular, when there is a service interruption, the UE cannot report at all. This makes the reporting unsuitable for the intended purpose: advanced warning and monitoring of unexpected behavior in the RAN to provide an indication of possible performance problems arising in the</w:t>
      </w:r>
      <w:r w:rsidR="00FA082C">
        <w:rPr>
          <w:rFonts w:ascii="Arial" w:hAnsi="Arial" w:cs="Arial"/>
        </w:rPr>
        <w:t xml:space="preserve"> future as well as data to respond to ongoing incidents.</w:t>
      </w:r>
    </w:p>
    <w:p w14:paraId="6DB99880" w14:textId="77777777" w:rsidR="00AE54B9" w:rsidRDefault="00AE54B9" w:rsidP="009C6B06">
      <w:pPr>
        <w:rPr>
          <w:rFonts w:ascii="Arial" w:hAnsi="Arial" w:cs="Arial"/>
        </w:rPr>
      </w:pPr>
      <w:r>
        <w:rPr>
          <w:rFonts w:ascii="Arial" w:hAnsi="Arial" w:cs="Arial"/>
        </w:rPr>
        <w:t>Second, the router / UE is not a consumer device that easily installs and runs arbitrary software, such as displaying RAN information known to the UE. This customization of an off-the-shelf router is not straightforward or feasible in most cases.</w:t>
      </w:r>
    </w:p>
    <w:p w14:paraId="041C6103" w14:textId="77777777" w:rsidR="00AE54B9" w:rsidRDefault="00AE54B9" w:rsidP="009C6B06">
      <w:pPr>
        <w:rPr>
          <w:rFonts w:ascii="Arial" w:hAnsi="Arial" w:cs="Arial"/>
        </w:rPr>
      </w:pPr>
      <w:r>
        <w:rPr>
          <w:rFonts w:ascii="Arial" w:hAnsi="Arial" w:cs="Arial"/>
        </w:rPr>
        <w:t>Third, the information is already available to the network, since the UE reports it</w:t>
      </w:r>
      <w:r w:rsidR="0025007B">
        <w:rPr>
          <w:rFonts w:ascii="Arial" w:hAnsi="Arial" w:cs="Arial"/>
        </w:rPr>
        <w:t xml:space="preserve"> or the network knows it. This information can be exposed to 3</w:t>
      </w:r>
      <w:r w:rsidR="0025007B" w:rsidRPr="0025007B">
        <w:rPr>
          <w:rFonts w:ascii="Arial" w:hAnsi="Arial" w:cs="Arial"/>
          <w:vertAlign w:val="superscript"/>
        </w:rPr>
        <w:t>rd</w:t>
      </w:r>
      <w:r w:rsidR="0025007B">
        <w:rPr>
          <w:rFonts w:ascii="Arial" w:hAnsi="Arial" w:cs="Arial"/>
        </w:rPr>
        <w:t xml:space="preserve"> parties. (See the evidence below, which shows that in fact it in practice is exposed for some DSOs by some mobile network operators.) This exposure however is not standardized and requires significant customized integration between the DSO and a number of different MNOs, which is complex and not trivial to maintain over time.</w:t>
      </w:r>
    </w:p>
    <w:p w14:paraId="4FC262F7" w14:textId="77777777" w:rsidR="00D9210F" w:rsidRDefault="00A014E8">
      <w:pPr>
        <w:rPr>
          <w:rFonts w:ascii="Arial" w:hAnsi="Arial" w:cs="Arial"/>
        </w:rPr>
      </w:pPr>
      <w:r>
        <w:rPr>
          <w:rFonts w:ascii="Arial" w:hAnsi="Arial" w:cs="Arial"/>
        </w:rPr>
        <w:lastRenderedPageBreak/>
        <w:t>The text in TR 22.867, 5.5 contains the following editor’s notes that we hope to resolve by shedding more light on this topic.</w:t>
      </w:r>
    </w:p>
    <w:p w14:paraId="7AE5C47A" w14:textId="77777777" w:rsidR="00803852" w:rsidRPr="006E0623" w:rsidRDefault="00803852" w:rsidP="00803852">
      <w:pPr>
        <w:pStyle w:val="EditorsNote"/>
      </w:pPr>
      <w:r w:rsidRPr="006E0623">
        <w:t xml:space="preserve">Editor’s Note: RAN Parameter aspects are FFS. </w:t>
      </w:r>
    </w:p>
    <w:p w14:paraId="5BAF74BB" w14:textId="77777777" w:rsidR="00803852" w:rsidRPr="006E0623" w:rsidRDefault="00803852" w:rsidP="00803852">
      <w:pPr>
        <w:pStyle w:val="EditorsNote"/>
      </w:pPr>
      <w:r w:rsidRPr="006E0623">
        <w:t xml:space="preserve">Editor’s </w:t>
      </w:r>
      <w:r>
        <w:t>Note:</w:t>
      </w:r>
      <w:r w:rsidRPr="006E0623">
        <w:t xml:space="preserve"> it is </w:t>
      </w:r>
      <w:proofErr w:type="spellStart"/>
      <w:r w:rsidRPr="006E0623">
        <w:t>is</w:t>
      </w:r>
      <w:proofErr w:type="spellEnd"/>
      <w:r w:rsidRPr="006E0623">
        <w:t xml:space="preserve"> FFS what ‘timely’ information means.</w:t>
      </w:r>
    </w:p>
    <w:p w14:paraId="131DD7A0" w14:textId="0C8ED1BE" w:rsidR="00803852" w:rsidRDefault="00803852">
      <w:pPr>
        <w:rPr>
          <w:rFonts w:ascii="Arial" w:hAnsi="Arial" w:cs="Arial"/>
        </w:rPr>
      </w:pPr>
      <w:r>
        <w:rPr>
          <w:rFonts w:ascii="Arial" w:hAnsi="Arial" w:cs="Arial"/>
        </w:rPr>
        <w:t>The discussion below should clarify the motivation and sufficient detail for both of these aspects.</w:t>
      </w:r>
    </w:p>
    <w:p w14:paraId="04E2F3E4" w14:textId="77777777" w:rsidR="00D9210F" w:rsidRPr="003A3401" w:rsidRDefault="00D9210F" w:rsidP="00D9210F">
      <w:pPr>
        <w:rPr>
          <w:rFonts w:ascii="Arial" w:hAnsi="Arial" w:cs="Arial"/>
          <w:b/>
          <w:sz w:val="21"/>
        </w:rPr>
      </w:pPr>
      <w:r w:rsidRPr="003A3401">
        <w:rPr>
          <w:rFonts w:ascii="Arial" w:hAnsi="Arial" w:cs="Arial"/>
          <w:b/>
          <w:sz w:val="21"/>
        </w:rPr>
        <w:t>Discussion</w:t>
      </w:r>
    </w:p>
    <w:p w14:paraId="11B31400" w14:textId="77777777" w:rsidR="00D9210F" w:rsidRDefault="00254F59" w:rsidP="00D9210F">
      <w:pPr>
        <w:rPr>
          <w:rFonts w:ascii="Arial" w:hAnsi="Arial" w:cs="Arial"/>
        </w:rPr>
      </w:pPr>
      <w:r>
        <w:rPr>
          <w:rFonts w:ascii="Arial" w:hAnsi="Arial" w:cs="Arial"/>
        </w:rPr>
        <w:t xml:space="preserve">Availability is increased by redundancy. Then when one option is not available, one can use the other. As discussed in S1-211xxx, switching from one communication option to another requires time – not less than 2 minutes. At the same time, recovery of service due to an incident should be and often is possible within the first minute. Thus, it is imperative to be able to take </w:t>
      </w:r>
      <w:r>
        <w:rPr>
          <w:rFonts w:ascii="Arial" w:hAnsi="Arial" w:cs="Arial"/>
          <w:b/>
          <w:i/>
        </w:rPr>
        <w:t>proactive</w:t>
      </w:r>
      <w:r>
        <w:rPr>
          <w:rFonts w:ascii="Arial" w:hAnsi="Arial" w:cs="Arial"/>
        </w:rPr>
        <w:t xml:space="preserve"> action to switch to a secondary communication option before an incide</w:t>
      </w:r>
      <w:r w:rsidR="00DB22C7">
        <w:rPr>
          <w:rFonts w:ascii="Arial" w:hAnsi="Arial" w:cs="Arial"/>
        </w:rPr>
        <w:t>nt occurs, if this is possible.</w:t>
      </w:r>
    </w:p>
    <w:p w14:paraId="1E12F0E2" w14:textId="77777777" w:rsidR="009D7520" w:rsidRDefault="00DB22C7" w:rsidP="00D9210F">
      <w:pPr>
        <w:rPr>
          <w:rFonts w:ascii="Arial" w:hAnsi="Arial" w:cs="Arial"/>
        </w:rPr>
      </w:pPr>
      <w:r>
        <w:rPr>
          <w:rFonts w:ascii="Arial" w:hAnsi="Arial" w:cs="Arial"/>
        </w:rPr>
        <w:t xml:space="preserve">In this paper we consider the relevance of RAN Information to identifying potential problems proactively. We observe that </w:t>
      </w:r>
      <w:r w:rsidRPr="009D7520">
        <w:rPr>
          <w:rFonts w:ascii="Arial" w:hAnsi="Arial" w:cs="Arial"/>
          <w:b/>
        </w:rPr>
        <w:t>utility substations</w:t>
      </w:r>
      <w:r w:rsidR="00047538" w:rsidRPr="009D7520">
        <w:rPr>
          <w:rFonts w:ascii="Arial" w:hAnsi="Arial" w:cs="Arial"/>
          <w:b/>
        </w:rPr>
        <w:t xml:space="preserve"> are not mobile and so mobility related events and dynamic behavior in the RAN are often signs of something going wrong.</w:t>
      </w:r>
      <w:r w:rsidR="00047538">
        <w:rPr>
          <w:rFonts w:ascii="Arial" w:hAnsi="Arial" w:cs="Arial"/>
        </w:rPr>
        <w:t xml:space="preserve"> </w:t>
      </w:r>
    </w:p>
    <w:p w14:paraId="57AFE05F" w14:textId="08226666" w:rsidR="00DB22C7" w:rsidRDefault="00047538" w:rsidP="00D9210F">
      <w:pPr>
        <w:rPr>
          <w:rFonts w:ascii="Arial" w:hAnsi="Arial" w:cs="Arial"/>
        </w:rPr>
      </w:pPr>
      <w:r>
        <w:rPr>
          <w:rFonts w:ascii="Arial" w:hAnsi="Arial" w:cs="Arial"/>
        </w:rPr>
        <w:t xml:space="preserve">Another important point to emphasize: </w:t>
      </w:r>
      <w:r w:rsidRPr="009D7520">
        <w:rPr>
          <w:rFonts w:ascii="Arial" w:hAnsi="Arial" w:cs="Arial"/>
          <w:b/>
        </w:rPr>
        <w:t xml:space="preserve">utilities measure communication </w:t>
      </w:r>
      <w:r w:rsidR="009D7520">
        <w:rPr>
          <w:rFonts w:ascii="Arial" w:hAnsi="Arial" w:cs="Arial"/>
          <w:b/>
        </w:rPr>
        <w:t xml:space="preserve">latency and availability </w:t>
      </w:r>
      <w:r w:rsidRPr="009D7520">
        <w:rPr>
          <w:rFonts w:ascii="Arial" w:hAnsi="Arial" w:cs="Arial"/>
          <w:b/>
        </w:rPr>
        <w:t>performance periodically at all times</w:t>
      </w:r>
      <w:r>
        <w:rPr>
          <w:rFonts w:ascii="Arial" w:hAnsi="Arial" w:cs="Arial"/>
        </w:rPr>
        <w:t xml:space="preserve"> (e.g. using ICMP </w:t>
      </w:r>
      <w:r w:rsidR="009D7520">
        <w:rPr>
          <w:rFonts w:ascii="Arial" w:hAnsi="Arial" w:cs="Arial"/>
        </w:rPr>
        <w:t>echo</w:t>
      </w:r>
      <w:r>
        <w:rPr>
          <w:rFonts w:ascii="Arial" w:hAnsi="Arial" w:cs="Arial"/>
        </w:rPr>
        <w:t xml:space="preserve"> messages</w:t>
      </w:r>
      <w:r w:rsidR="009D7520">
        <w:rPr>
          <w:rFonts w:ascii="Arial" w:hAnsi="Arial" w:cs="Arial"/>
        </w:rPr>
        <w:t xml:space="preserve"> [ping] to identify both latency and reachability.) The frequency of this information is at least </w:t>
      </w:r>
      <w:r w:rsidR="00FA082C" w:rsidRPr="00FA082C">
        <w:rPr>
          <w:rFonts w:ascii="Arial" w:hAnsi="Arial" w:cs="Arial"/>
        </w:rPr>
        <w:t>1</w:t>
      </w:r>
      <w:r w:rsidR="009D7520">
        <w:rPr>
          <w:rFonts w:ascii="Arial" w:hAnsi="Arial" w:cs="Arial"/>
        </w:rPr>
        <w:t xml:space="preserve"> per minute, but is increased if there is need for scrutiny – to determine if a problem is developing.</w:t>
      </w:r>
    </w:p>
    <w:p w14:paraId="113F874A" w14:textId="77777777" w:rsidR="009D7520" w:rsidRDefault="009D7520" w:rsidP="00D9210F">
      <w:pPr>
        <w:rPr>
          <w:rFonts w:ascii="Arial" w:hAnsi="Arial" w:cs="Arial"/>
        </w:rPr>
      </w:pPr>
      <w:r>
        <w:rPr>
          <w:rFonts w:ascii="Arial" w:hAnsi="Arial" w:cs="Arial"/>
        </w:rPr>
        <w:t xml:space="preserve">The following figure shows a substation observed once per minute. </w:t>
      </w:r>
    </w:p>
    <w:p w14:paraId="4D35CF24" w14:textId="77777777" w:rsidR="009D7520" w:rsidRDefault="00D040CB" w:rsidP="004132AB">
      <w:pPr>
        <w:jc w:val="center"/>
        <w:rPr>
          <w:rFonts w:ascii="Arial" w:hAnsi="Arial" w:cs="Arial"/>
        </w:rPr>
      </w:pPr>
      <w:r>
        <w:rPr>
          <w:rFonts w:ascii="Arial" w:hAnsi="Arial" w:cs="Arial"/>
          <w:noProof/>
          <w:lang w:val="en-US"/>
        </w:rPr>
        <w:drawing>
          <wp:inline distT="0" distB="0" distL="0" distR="0" wp14:anchorId="1A23B9D9" wp14:editId="679D7553">
            <wp:extent cx="4557155" cy="27434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de5.png"/>
                    <pic:cNvPicPr/>
                  </pic:nvPicPr>
                  <pic:blipFill>
                    <a:blip r:embed="rId7">
                      <a:extLst>
                        <a:ext uri="{28A0092B-C50C-407E-A947-70E740481C1C}">
                          <a14:useLocalDpi xmlns:a14="http://schemas.microsoft.com/office/drawing/2010/main" val="0"/>
                        </a:ext>
                      </a:extLst>
                    </a:blip>
                    <a:stretch>
                      <a:fillRect/>
                    </a:stretch>
                  </pic:blipFill>
                  <pic:spPr>
                    <a:xfrm>
                      <a:off x="0" y="0"/>
                      <a:ext cx="4557155" cy="2743438"/>
                    </a:xfrm>
                    <a:prstGeom prst="rect">
                      <a:avLst/>
                    </a:prstGeom>
                  </pic:spPr>
                </pic:pic>
              </a:graphicData>
            </a:graphic>
          </wp:inline>
        </w:drawing>
      </w:r>
    </w:p>
    <w:p w14:paraId="245866D4" w14:textId="77777777" w:rsidR="00AF4E16" w:rsidRDefault="00AF4E16" w:rsidP="00AF4E16">
      <w:pPr>
        <w:pStyle w:val="TF"/>
      </w:pPr>
      <w:r>
        <w:t>Figure 1: Base Station Change, correlated with signal strength reduction, followed by incident</w:t>
      </w:r>
    </w:p>
    <w:p w14:paraId="6E6DA92E" w14:textId="6A45176C" w:rsidR="00594777" w:rsidRPr="00BF40C1" w:rsidRDefault="009D7520" w:rsidP="00D9210F">
      <w:pPr>
        <w:rPr>
          <w:rFonts w:ascii="Arial" w:hAnsi="Arial" w:cs="Arial"/>
        </w:rPr>
      </w:pPr>
      <w:r>
        <w:rPr>
          <w:rFonts w:ascii="Arial" w:hAnsi="Arial" w:cs="Arial"/>
        </w:rPr>
        <w:t xml:space="preserve">In the figure above, it is clear that </w:t>
      </w:r>
      <w:r>
        <w:rPr>
          <w:rFonts w:ascii="Arial" w:hAnsi="Arial" w:cs="Arial"/>
          <w:i/>
        </w:rPr>
        <w:t>following</w:t>
      </w:r>
      <w:r>
        <w:rPr>
          <w:rFonts w:ascii="Arial" w:hAnsi="Arial" w:cs="Arial"/>
        </w:rPr>
        <w:t xml:space="preserve"> the base station change</w:t>
      </w:r>
      <w:r w:rsidR="00FA082C">
        <w:rPr>
          <w:rFonts w:ascii="Arial" w:hAnsi="Arial" w:cs="Arial"/>
        </w:rPr>
        <w:t xml:space="preserve"> (i.e. Cell ID change)</w:t>
      </w:r>
      <w:r>
        <w:rPr>
          <w:rFonts w:ascii="Arial" w:hAnsi="Arial" w:cs="Arial"/>
        </w:rPr>
        <w:t>, the signal strength declines, and within a short period of time there are consistent performance declines. Eventually, there is an interval below the acceptable performance threshold that would constitute an incident – during wh</w:t>
      </w:r>
      <w:r w:rsidR="00BF40C1">
        <w:rPr>
          <w:rFonts w:ascii="Arial" w:hAnsi="Arial" w:cs="Arial"/>
        </w:rPr>
        <w:t xml:space="preserve">ich services would not function: the performance data indicating reachability and latency during this interval will show </w:t>
      </w:r>
      <w:r w:rsidR="00BF40C1">
        <w:rPr>
          <w:rFonts w:ascii="Arial" w:hAnsi="Arial" w:cs="Arial"/>
          <w:i/>
        </w:rPr>
        <w:t>inadequate performance.</w:t>
      </w:r>
      <w:r w:rsidR="00BF40C1">
        <w:rPr>
          <w:rFonts w:ascii="Arial" w:hAnsi="Arial" w:cs="Arial"/>
        </w:rPr>
        <w:t xml:space="preserve"> This is shown explicitly in the figure below for </w:t>
      </w:r>
      <w:proofErr w:type="gramStart"/>
      <w:r w:rsidR="00BF40C1">
        <w:rPr>
          <w:rFonts w:ascii="Arial" w:hAnsi="Arial" w:cs="Arial"/>
        </w:rPr>
        <w:t>packet  loss</w:t>
      </w:r>
      <w:proofErr w:type="gramEnd"/>
      <w:r w:rsidR="00BF40C1">
        <w:rPr>
          <w:rFonts w:ascii="Arial" w:hAnsi="Arial" w:cs="Arial"/>
        </w:rPr>
        <w:t xml:space="preserve"> rate.</w:t>
      </w:r>
    </w:p>
    <w:p w14:paraId="00004592" w14:textId="4A85CB43" w:rsidR="00AF4E16" w:rsidRDefault="007E442F" w:rsidP="00D9210F">
      <w:pPr>
        <w:rPr>
          <w:rFonts w:ascii="Arial" w:hAnsi="Arial" w:cs="Arial"/>
        </w:rPr>
      </w:pPr>
      <w:r>
        <w:rPr>
          <w:rFonts w:ascii="Arial" w:hAnsi="Arial" w:cs="Arial"/>
          <w:noProof/>
          <w:lang w:val="en-US"/>
        </w:rPr>
        <w:drawing>
          <wp:inline distT="0" distB="0" distL="0" distR="0" wp14:anchorId="09D3B311" wp14:editId="40E7C67C">
            <wp:extent cx="6120130" cy="366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b-Asset 2.png"/>
                    <pic:cNvPicPr/>
                  </pic:nvPicPr>
                  <pic:blipFill>
                    <a:blip r:embed="rId8">
                      <a:extLst>
                        <a:ext uri="{28A0092B-C50C-407E-A947-70E740481C1C}">
                          <a14:useLocalDpi xmlns:a14="http://schemas.microsoft.com/office/drawing/2010/main" val="0"/>
                        </a:ext>
                      </a:extLst>
                    </a:blip>
                    <a:stretch>
                      <a:fillRect/>
                    </a:stretch>
                  </pic:blipFill>
                  <pic:spPr>
                    <a:xfrm>
                      <a:off x="0" y="0"/>
                      <a:ext cx="6120130" cy="366395"/>
                    </a:xfrm>
                    <a:prstGeom prst="rect">
                      <a:avLst/>
                    </a:prstGeom>
                  </pic:spPr>
                </pic:pic>
              </a:graphicData>
            </a:graphic>
          </wp:inline>
        </w:drawing>
      </w:r>
    </w:p>
    <w:p w14:paraId="2579AF42" w14:textId="77777777" w:rsidR="00AF4E16" w:rsidRDefault="00594777" w:rsidP="00594777">
      <w:pPr>
        <w:pStyle w:val="TF"/>
      </w:pPr>
      <w:r>
        <w:t>Figure 2a: Monitoring Tool with correlated performance information for a single router</w:t>
      </w:r>
    </w:p>
    <w:p w14:paraId="484539D0" w14:textId="77777777" w:rsidR="00594777" w:rsidRPr="004132AB" w:rsidRDefault="004132AB" w:rsidP="004132AB">
      <w:pPr>
        <w:rPr>
          <w:rFonts w:ascii="Arial" w:hAnsi="Arial" w:cs="Arial"/>
        </w:rPr>
      </w:pPr>
      <w:r>
        <w:rPr>
          <w:rFonts w:ascii="Arial" w:hAnsi="Arial" w:cs="Arial"/>
        </w:rPr>
        <w:t xml:space="preserve">In the DSO Management use case, an abstract version of a monitoring and management console was shown. While there is no interest in </w:t>
      </w:r>
      <w:r>
        <w:rPr>
          <w:rFonts w:ascii="Arial" w:hAnsi="Arial" w:cs="Arial"/>
          <w:b/>
          <w:i/>
        </w:rPr>
        <w:t>standardizing</w:t>
      </w:r>
      <w:r>
        <w:rPr>
          <w:rFonts w:ascii="Arial" w:hAnsi="Arial" w:cs="Arial"/>
        </w:rPr>
        <w:t xml:space="preserve"> this aspect, it is important to note that this is both practical </w:t>
      </w:r>
      <w:r>
        <w:rPr>
          <w:rFonts w:ascii="Arial" w:hAnsi="Arial" w:cs="Arial"/>
        </w:rPr>
        <w:lastRenderedPageBreak/>
        <w:t>and vitally important to the DSO. The image above shows a portion of an actual monitoring tool, with a view showing a specific UE-equipped router. Note that the current latency exceeds the reference (acceptable level.)</w:t>
      </w:r>
    </w:p>
    <w:p w14:paraId="22C7C917" w14:textId="4FBAB657" w:rsidR="00594777" w:rsidRDefault="007E442F" w:rsidP="004132AB">
      <w:pPr>
        <w:jc w:val="center"/>
        <w:rPr>
          <w:rFonts w:ascii="Arial" w:hAnsi="Arial" w:cs="Arial"/>
        </w:rPr>
      </w:pPr>
      <w:r>
        <w:rPr>
          <w:rFonts w:ascii="Arial" w:hAnsi="Arial" w:cs="Arial"/>
          <w:noProof/>
          <w:lang w:val="en-US"/>
        </w:rPr>
        <w:drawing>
          <wp:inline distT="0" distB="0" distL="0" distR="0" wp14:anchorId="48F21035" wp14:editId="3D821689">
            <wp:extent cx="6120130" cy="32905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b-final-Asset 2.png"/>
                    <pic:cNvPicPr/>
                  </pic:nvPicPr>
                  <pic:blipFill>
                    <a:blip r:embed="rId9">
                      <a:extLst>
                        <a:ext uri="{28A0092B-C50C-407E-A947-70E740481C1C}">
                          <a14:useLocalDpi xmlns:a14="http://schemas.microsoft.com/office/drawing/2010/main" val="0"/>
                        </a:ext>
                      </a:extLst>
                    </a:blip>
                    <a:stretch>
                      <a:fillRect/>
                    </a:stretch>
                  </pic:blipFill>
                  <pic:spPr>
                    <a:xfrm>
                      <a:off x="0" y="0"/>
                      <a:ext cx="6120130" cy="3290570"/>
                    </a:xfrm>
                    <a:prstGeom prst="rect">
                      <a:avLst/>
                    </a:prstGeom>
                  </pic:spPr>
                </pic:pic>
              </a:graphicData>
            </a:graphic>
          </wp:inline>
        </w:drawing>
      </w:r>
    </w:p>
    <w:p w14:paraId="657A39BD" w14:textId="77777777" w:rsidR="00594777" w:rsidRDefault="00594777" w:rsidP="00594777">
      <w:pPr>
        <w:pStyle w:val="TF"/>
      </w:pPr>
      <w:r>
        <w:t>Figure 2b: Cell ID and RAT Type graph identifying communication performance incident</w:t>
      </w:r>
    </w:p>
    <w:p w14:paraId="1D060551" w14:textId="77777777" w:rsidR="004132AB" w:rsidRDefault="004132AB" w:rsidP="00D9210F">
      <w:pPr>
        <w:rPr>
          <w:rFonts w:ascii="Arial" w:hAnsi="Arial" w:cs="Arial"/>
        </w:rPr>
      </w:pPr>
      <w:r>
        <w:rPr>
          <w:rFonts w:ascii="Arial" w:hAnsi="Arial" w:cs="Arial"/>
        </w:rPr>
        <w:t>In Figure 2b, a Cell ID change precedes a set of outages. Though there is no RAT type change shown in this figure, this is monitored and could indicate (in generation downgrade) a coming reduction in performance or performance incident. Frequent changes in Cell ID and RAT have a high coincidence (correlation) with degradation of performance.</w:t>
      </w:r>
    </w:p>
    <w:p w14:paraId="0B06BF5C" w14:textId="4598DBD0" w:rsidR="004132AB" w:rsidRDefault="007E442F" w:rsidP="00DD00FF">
      <w:pPr>
        <w:jc w:val="center"/>
        <w:rPr>
          <w:rFonts w:ascii="Arial" w:hAnsi="Arial" w:cs="Arial"/>
        </w:rPr>
      </w:pPr>
      <w:r>
        <w:rPr>
          <w:rFonts w:ascii="Arial" w:hAnsi="Arial" w:cs="Arial"/>
          <w:noProof/>
          <w:lang w:val="en-US"/>
        </w:rPr>
        <w:drawing>
          <wp:inline distT="0" distB="0" distL="0" distR="0" wp14:anchorId="14358AAA" wp14:editId="397A89F8">
            <wp:extent cx="6120130" cy="26009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c-Asset 2.png"/>
                    <pic:cNvPicPr/>
                  </pic:nvPicPr>
                  <pic:blipFill>
                    <a:blip r:embed="rId10">
                      <a:extLst>
                        <a:ext uri="{28A0092B-C50C-407E-A947-70E740481C1C}">
                          <a14:useLocalDpi xmlns:a14="http://schemas.microsoft.com/office/drawing/2010/main" val="0"/>
                        </a:ext>
                      </a:extLst>
                    </a:blip>
                    <a:stretch>
                      <a:fillRect/>
                    </a:stretch>
                  </pic:blipFill>
                  <pic:spPr>
                    <a:xfrm>
                      <a:off x="0" y="0"/>
                      <a:ext cx="6120130" cy="2600960"/>
                    </a:xfrm>
                    <a:prstGeom prst="rect">
                      <a:avLst/>
                    </a:prstGeom>
                  </pic:spPr>
                </pic:pic>
              </a:graphicData>
            </a:graphic>
          </wp:inline>
        </w:drawing>
      </w:r>
    </w:p>
    <w:p w14:paraId="1CE7D21D" w14:textId="77777777" w:rsidR="00DD00FF" w:rsidRDefault="00DD00FF" w:rsidP="00DD00FF">
      <w:pPr>
        <w:pStyle w:val="TF"/>
      </w:pPr>
      <w:r>
        <w:t>Figure 2c: Connection Loss Alarm</w:t>
      </w:r>
    </w:p>
    <w:p w14:paraId="04746407" w14:textId="77777777" w:rsidR="00DD00FF" w:rsidRPr="00DD00FF" w:rsidRDefault="00DD00FF" w:rsidP="00DD00FF">
      <w:pPr>
        <w:rPr>
          <w:rFonts w:ascii="Arial" w:hAnsi="Arial" w:cs="Arial"/>
        </w:rPr>
      </w:pPr>
      <w:r>
        <w:rPr>
          <w:rFonts w:ascii="Arial" w:hAnsi="Arial" w:cs="Arial"/>
        </w:rPr>
        <w:t>Figure 2c shows a performance incident that follows Cell ID and RAT type instability. This, linked to a connection loss alarm, can trigger a communication system transition (to the back up system) before the outage occurs.</w:t>
      </w:r>
    </w:p>
    <w:p w14:paraId="002E0A95" w14:textId="2643F342" w:rsidR="00DD00FF" w:rsidRDefault="007E442F" w:rsidP="00DD00FF">
      <w:pPr>
        <w:pStyle w:val="TF"/>
      </w:pPr>
      <w:r>
        <w:rPr>
          <w:noProof/>
          <w:lang w:val="en-US"/>
        </w:rPr>
        <w:lastRenderedPageBreak/>
        <w:drawing>
          <wp:inline distT="0" distB="0" distL="0" distR="0" wp14:anchorId="17D7FE3A" wp14:editId="54F64BDB">
            <wp:extent cx="6120130" cy="25431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d-Asset 2.png"/>
                    <pic:cNvPicPr/>
                  </pic:nvPicPr>
                  <pic:blipFill>
                    <a:blip r:embed="rId11">
                      <a:extLst>
                        <a:ext uri="{28A0092B-C50C-407E-A947-70E740481C1C}">
                          <a14:useLocalDpi xmlns:a14="http://schemas.microsoft.com/office/drawing/2010/main" val="0"/>
                        </a:ext>
                      </a:extLst>
                    </a:blip>
                    <a:stretch>
                      <a:fillRect/>
                    </a:stretch>
                  </pic:blipFill>
                  <pic:spPr>
                    <a:xfrm>
                      <a:off x="0" y="0"/>
                      <a:ext cx="6120130" cy="2543175"/>
                    </a:xfrm>
                    <a:prstGeom prst="rect">
                      <a:avLst/>
                    </a:prstGeom>
                  </pic:spPr>
                </pic:pic>
              </a:graphicData>
            </a:graphic>
          </wp:inline>
        </w:drawing>
      </w:r>
    </w:p>
    <w:p w14:paraId="0158A5CA" w14:textId="77777777" w:rsidR="00DD00FF" w:rsidRDefault="00DD00FF" w:rsidP="00DD00FF">
      <w:pPr>
        <w:pStyle w:val="TF"/>
      </w:pPr>
      <w:r>
        <w:t>Figure 2d: Cell ID and RAT type stability</w:t>
      </w:r>
    </w:p>
    <w:p w14:paraId="40DCD794" w14:textId="77777777" w:rsidR="00DD00FF" w:rsidRDefault="00DD00FF" w:rsidP="00D9210F">
      <w:pPr>
        <w:rPr>
          <w:rFonts w:ascii="Arial" w:hAnsi="Arial" w:cs="Arial"/>
        </w:rPr>
      </w:pPr>
      <w:r>
        <w:rPr>
          <w:rFonts w:ascii="Arial" w:hAnsi="Arial" w:cs="Arial"/>
        </w:rPr>
        <w:t>Figure 2d shows a stable system – which is strongly correlated with performance stability.</w:t>
      </w:r>
    </w:p>
    <w:p w14:paraId="73471C85" w14:textId="6430B9D6" w:rsidR="004204A8" w:rsidRDefault="004204A8" w:rsidP="00D9210F">
      <w:pPr>
        <w:rPr>
          <w:rFonts w:ascii="Arial" w:hAnsi="Arial" w:cs="Arial"/>
        </w:rPr>
      </w:pPr>
      <w:r>
        <w:rPr>
          <w:rFonts w:ascii="Arial" w:hAnsi="Arial" w:cs="Arial"/>
        </w:rPr>
        <w:t xml:space="preserve">The </w:t>
      </w:r>
      <w:r>
        <w:rPr>
          <w:rFonts w:ascii="Arial" w:hAnsi="Arial" w:cs="Arial"/>
          <w:b/>
        </w:rPr>
        <w:t>frequency</w:t>
      </w:r>
      <w:r>
        <w:rPr>
          <w:rFonts w:ascii="Arial" w:hAnsi="Arial" w:cs="Arial"/>
        </w:rPr>
        <w:t xml:space="preserve"> of measurement in the examples above are all 1 per minute. This can be increased when additional scrutiny is needed, e.g. to analyse specifics of a communication link where performance has varied more than expected and whose availability or other performance aspects have been problematic. Currently, the smart energy applications used are centralized. As distributed smart energy applications are adopted and greater capacity and lower latency capabilities of 5G is used, it is foreseeable that the frequency of measurement will need to be </w:t>
      </w:r>
      <w:r w:rsidR="00E84DF2">
        <w:rPr>
          <w:rFonts w:ascii="Arial" w:hAnsi="Arial" w:cs="Arial"/>
        </w:rPr>
        <w:t>increased</w:t>
      </w:r>
      <w:r>
        <w:rPr>
          <w:rFonts w:ascii="Arial" w:hAnsi="Arial" w:cs="Arial"/>
        </w:rPr>
        <w:t>, e.g. to 2 or 4 measurements per minute.</w:t>
      </w:r>
    </w:p>
    <w:p w14:paraId="0A1E11FB" w14:textId="77777777" w:rsidR="00DD00FF" w:rsidRDefault="00B41987" w:rsidP="00D9210F">
      <w:pPr>
        <w:rPr>
          <w:rFonts w:ascii="Arial" w:hAnsi="Arial" w:cs="Arial"/>
        </w:rPr>
      </w:pPr>
      <w:r>
        <w:pict w14:anchorId="00671320">
          <v:rect id="_x0000_i1026" style="width:0;height:1.5pt" o:hralign="center" o:hrstd="t" o:hr="t" fillcolor="#a0a0a0" stroked="f"/>
        </w:pict>
      </w:r>
    </w:p>
    <w:p w14:paraId="47EE48A2" w14:textId="52E15B1F" w:rsidR="00766772" w:rsidRDefault="00766772" w:rsidP="00D9210F">
      <w:pPr>
        <w:rPr>
          <w:rFonts w:ascii="Arial" w:hAnsi="Arial" w:cs="Arial"/>
        </w:rPr>
      </w:pPr>
      <w:r>
        <w:rPr>
          <w:rFonts w:ascii="Arial" w:hAnsi="Arial" w:cs="Arial"/>
        </w:rPr>
        <w:t xml:space="preserve">There is the opportunity following (a) the base station (or Cell ID) change, (b) the reduction of signal strength that persists over minutes, to activate a </w:t>
      </w:r>
      <w:r>
        <w:rPr>
          <w:rFonts w:ascii="Arial" w:hAnsi="Arial" w:cs="Arial"/>
          <w:b/>
          <w:i/>
        </w:rPr>
        <w:t>secondary communication option</w:t>
      </w:r>
      <w:r>
        <w:rPr>
          <w:rFonts w:ascii="Arial" w:hAnsi="Arial" w:cs="Arial"/>
        </w:rPr>
        <w:t>. This option would then serve to transport the data traffic from the substation and thus remain above the threshold, as is needed for high availability services.</w:t>
      </w:r>
    </w:p>
    <w:p w14:paraId="1B655AFA" w14:textId="6A367B1C" w:rsidR="00766772" w:rsidRDefault="00E84DF2" w:rsidP="00D9210F">
      <w:pPr>
        <w:rPr>
          <w:rFonts w:ascii="Arial" w:hAnsi="Arial" w:cs="Arial"/>
        </w:rPr>
      </w:pPr>
      <w:proofErr w:type="spellStart"/>
      <w:r>
        <w:rPr>
          <w:rFonts w:ascii="Arial" w:hAnsi="Arial" w:cs="Arial"/>
        </w:rPr>
        <w:t>Somem</w:t>
      </w:r>
      <w:proofErr w:type="spellEnd"/>
      <w:r w:rsidR="00766772">
        <w:rPr>
          <w:rFonts w:ascii="Arial" w:hAnsi="Arial" w:cs="Arial"/>
        </w:rPr>
        <w:t xml:space="preserve"> concerns could be raised. We discuss these in turn.</w:t>
      </w:r>
    </w:p>
    <w:p w14:paraId="1A5FE06B" w14:textId="77777777" w:rsidR="00766772" w:rsidRDefault="00766772" w:rsidP="00766772">
      <w:pPr>
        <w:pStyle w:val="ListParagraph"/>
        <w:numPr>
          <w:ilvl w:val="0"/>
          <w:numId w:val="27"/>
        </w:numPr>
        <w:rPr>
          <w:rFonts w:ascii="Arial" w:hAnsi="Arial" w:cs="Arial"/>
        </w:rPr>
      </w:pPr>
      <w:r>
        <w:rPr>
          <w:rFonts w:ascii="Arial" w:hAnsi="Arial" w:cs="Arial"/>
        </w:rPr>
        <w:t>The example above is for 2G</w:t>
      </w:r>
      <w:r w:rsidR="00AF4E16">
        <w:rPr>
          <w:rFonts w:ascii="Arial" w:hAnsi="Arial" w:cs="Arial"/>
        </w:rPr>
        <w:t xml:space="preserve"> and 3G</w:t>
      </w:r>
      <w:r>
        <w:rPr>
          <w:rFonts w:ascii="Arial" w:hAnsi="Arial" w:cs="Arial"/>
        </w:rPr>
        <w:t xml:space="preserve">. We are discussing 5G. Why </w:t>
      </w:r>
      <w:r w:rsidR="00AF4E16">
        <w:rPr>
          <w:rFonts w:ascii="Arial" w:hAnsi="Arial" w:cs="Arial"/>
        </w:rPr>
        <w:t>are</w:t>
      </w:r>
      <w:r>
        <w:rPr>
          <w:rFonts w:ascii="Arial" w:hAnsi="Arial" w:cs="Arial"/>
        </w:rPr>
        <w:t xml:space="preserve"> th</w:t>
      </w:r>
      <w:r w:rsidR="00AF4E16">
        <w:rPr>
          <w:rFonts w:ascii="Arial" w:hAnsi="Arial" w:cs="Arial"/>
        </w:rPr>
        <w:t>ese</w:t>
      </w:r>
      <w:r>
        <w:rPr>
          <w:rFonts w:ascii="Arial" w:hAnsi="Arial" w:cs="Arial"/>
        </w:rPr>
        <w:t xml:space="preserve"> figure</w:t>
      </w:r>
      <w:r w:rsidR="00AF4E16">
        <w:rPr>
          <w:rFonts w:ascii="Arial" w:hAnsi="Arial" w:cs="Arial"/>
        </w:rPr>
        <w:t>s</w:t>
      </w:r>
      <w:r>
        <w:rPr>
          <w:rFonts w:ascii="Arial" w:hAnsi="Arial" w:cs="Arial"/>
        </w:rPr>
        <w:t xml:space="preserve"> relevant?</w:t>
      </w:r>
    </w:p>
    <w:p w14:paraId="6B313A2A" w14:textId="77777777" w:rsidR="00766772" w:rsidRDefault="00766772" w:rsidP="00766772">
      <w:pPr>
        <w:pStyle w:val="ListParagraph"/>
        <w:rPr>
          <w:rFonts w:ascii="Arial" w:hAnsi="Arial" w:cs="Arial"/>
        </w:rPr>
      </w:pPr>
    </w:p>
    <w:p w14:paraId="5A916088" w14:textId="5240336A" w:rsidR="00766772" w:rsidRPr="00766772" w:rsidRDefault="00766772" w:rsidP="00766772">
      <w:pPr>
        <w:pStyle w:val="ListParagraph"/>
      </w:pPr>
      <w:r>
        <w:rPr>
          <w:rFonts w:ascii="Arial" w:hAnsi="Arial" w:cs="Arial"/>
        </w:rPr>
        <w:t>Though the data above is for 2G</w:t>
      </w:r>
      <w:r w:rsidR="00E84DF2">
        <w:rPr>
          <w:rFonts w:ascii="Arial" w:hAnsi="Arial" w:cs="Arial"/>
        </w:rPr>
        <w:t xml:space="preserve"> and 3G</w:t>
      </w:r>
      <w:r>
        <w:rPr>
          <w:rFonts w:ascii="Arial" w:hAnsi="Arial" w:cs="Arial"/>
        </w:rPr>
        <w:t xml:space="preserve">, similar issues </w:t>
      </w:r>
      <w:r w:rsidR="00E84DF2">
        <w:rPr>
          <w:rFonts w:ascii="Arial" w:hAnsi="Arial" w:cs="Arial"/>
        </w:rPr>
        <w:t>may appear for any generation</w:t>
      </w:r>
      <w:r>
        <w:rPr>
          <w:rFonts w:ascii="Arial" w:hAnsi="Arial" w:cs="Arial"/>
        </w:rPr>
        <w:t xml:space="preserve">. Operational experience with 2G is extensive, 3G is sizeable, </w:t>
      </w:r>
      <w:proofErr w:type="gramStart"/>
      <w:r>
        <w:rPr>
          <w:rFonts w:ascii="Arial" w:hAnsi="Arial" w:cs="Arial"/>
        </w:rPr>
        <w:t>4G</w:t>
      </w:r>
      <w:proofErr w:type="gramEnd"/>
      <w:r>
        <w:rPr>
          <w:rFonts w:ascii="Arial" w:hAnsi="Arial" w:cs="Arial"/>
        </w:rPr>
        <w:t xml:space="preserve"> is growing. With </w:t>
      </w:r>
      <w:r>
        <w:rPr>
          <w:rFonts w:ascii="Arial" w:hAnsi="Arial" w:cs="Arial"/>
          <w:i/>
        </w:rPr>
        <w:t xml:space="preserve">any </w:t>
      </w:r>
      <w:r>
        <w:rPr>
          <w:rFonts w:ascii="Arial" w:hAnsi="Arial" w:cs="Arial"/>
        </w:rPr>
        <w:t xml:space="preserve">3GPP technology the same concerns arise. Remember the </w:t>
      </w:r>
      <w:r>
        <w:rPr>
          <w:rFonts w:ascii="Arial" w:hAnsi="Arial" w:cs="Arial"/>
          <w:i/>
        </w:rPr>
        <w:t xml:space="preserve">opportunity we are discussing </w:t>
      </w:r>
      <w:r>
        <w:rPr>
          <w:rFonts w:ascii="Arial" w:hAnsi="Arial" w:cs="Arial"/>
        </w:rPr>
        <w:t>for both the utility sector and 3GPP industry stakeholders is to provide 5G access as an alternative to fiber optic access. The demands for availability and operational stability of the 3GPP access has to be comparable with operation of a fiber link to serve as a real alternative.</w:t>
      </w:r>
      <w:r>
        <w:rPr>
          <w:rFonts w:ascii="Arial" w:hAnsi="Arial" w:cs="Arial"/>
        </w:rPr>
        <w:br/>
      </w:r>
    </w:p>
    <w:p w14:paraId="1631243D" w14:textId="75869A95" w:rsidR="00AF4E16" w:rsidRDefault="00E84DF2" w:rsidP="00AF4E16">
      <w:pPr>
        <w:pStyle w:val="ListParagraph"/>
        <w:numPr>
          <w:ilvl w:val="0"/>
          <w:numId w:val="27"/>
        </w:numPr>
        <w:rPr>
          <w:rFonts w:ascii="Arial" w:hAnsi="Arial" w:cs="Arial"/>
        </w:rPr>
      </w:pPr>
      <w:r>
        <w:rPr>
          <w:rFonts w:ascii="Arial" w:hAnsi="Arial" w:cs="Arial"/>
        </w:rPr>
        <w:t>One could claim that</w:t>
      </w:r>
      <w:r w:rsidR="00031049">
        <w:rPr>
          <w:rFonts w:ascii="Arial" w:hAnsi="Arial" w:cs="Arial"/>
        </w:rPr>
        <w:t xml:space="preserve"> performance of the RAN is entirely a matter for the network operator as long as KPI performance levels remain sufficient. There is no need to expose this </w:t>
      </w:r>
      <w:r w:rsidR="00AF4E16">
        <w:rPr>
          <w:rFonts w:ascii="Arial" w:hAnsi="Arial" w:cs="Arial"/>
        </w:rPr>
        <w:t>RAN information to a third party – performance information alone suffices.</w:t>
      </w:r>
    </w:p>
    <w:p w14:paraId="76480209" w14:textId="77777777" w:rsidR="00AF4E16" w:rsidRDefault="00AF4E16" w:rsidP="00AF4E16">
      <w:pPr>
        <w:pStyle w:val="ListParagraph"/>
        <w:rPr>
          <w:rFonts w:ascii="Arial" w:hAnsi="Arial" w:cs="Arial"/>
        </w:rPr>
      </w:pPr>
    </w:p>
    <w:p w14:paraId="43831738" w14:textId="47514CC2" w:rsidR="00AF4E16" w:rsidRDefault="00AF4E16" w:rsidP="00AF4E16">
      <w:pPr>
        <w:pStyle w:val="ListParagraph"/>
        <w:rPr>
          <w:rFonts w:ascii="Arial" w:hAnsi="Arial" w:cs="Arial"/>
        </w:rPr>
      </w:pPr>
      <w:r>
        <w:rPr>
          <w:rFonts w:ascii="Arial" w:hAnsi="Arial" w:cs="Arial"/>
        </w:rPr>
        <w:t xml:space="preserve">This may be true for some utility operators, but it is not true for DSOs who have regulatory requirements that transfer the burden of outages to the energy provider. In this case, it is vital to avoid outages for several reasons: to prove that the energy operator has not been negligent, to avoid sizable fees and lost revenue (in some regulatory domains, when there is an outage, energy customers do not have to pay or receive other advantages,) and to provide a full and immediate ability to analyse the incident to lead to its rapid resolution. </w:t>
      </w:r>
      <w:r w:rsidR="00E84DF2">
        <w:rPr>
          <w:rFonts w:ascii="Arial" w:hAnsi="Arial" w:cs="Arial"/>
        </w:rPr>
        <w:t>It is also important to note that interruption of energy services is potentially damaging to businesses and presents a risk to public health and safety.</w:t>
      </w:r>
    </w:p>
    <w:p w14:paraId="171E943E" w14:textId="77777777" w:rsidR="00594777" w:rsidRDefault="00594777" w:rsidP="00AF4E16">
      <w:pPr>
        <w:pStyle w:val="ListParagraph"/>
        <w:rPr>
          <w:rFonts w:ascii="Arial" w:hAnsi="Arial" w:cs="Arial"/>
        </w:rPr>
      </w:pPr>
    </w:p>
    <w:p w14:paraId="0B29BA49" w14:textId="77777777" w:rsidR="00594777" w:rsidRDefault="00594777" w:rsidP="00594777">
      <w:pPr>
        <w:pStyle w:val="ListParagraph"/>
        <w:numPr>
          <w:ilvl w:val="0"/>
          <w:numId w:val="27"/>
        </w:numPr>
        <w:rPr>
          <w:rFonts w:ascii="Arial" w:hAnsi="Arial" w:cs="Arial"/>
        </w:rPr>
      </w:pPr>
      <w:r>
        <w:rPr>
          <w:rFonts w:ascii="Arial" w:hAnsi="Arial" w:cs="Arial"/>
        </w:rPr>
        <w:t>The examples above do not show RAT type change. Why must these be monitored?</w:t>
      </w:r>
    </w:p>
    <w:p w14:paraId="5ADC38FE" w14:textId="77777777" w:rsidR="00594777" w:rsidRDefault="00594777" w:rsidP="00594777">
      <w:pPr>
        <w:pStyle w:val="ListParagraph"/>
        <w:rPr>
          <w:rFonts w:ascii="Arial" w:hAnsi="Arial" w:cs="Arial"/>
        </w:rPr>
      </w:pPr>
    </w:p>
    <w:p w14:paraId="4D834423" w14:textId="14FA89F8" w:rsidR="00594777" w:rsidRDefault="00594777" w:rsidP="00594777">
      <w:pPr>
        <w:pStyle w:val="ListParagraph"/>
        <w:rPr>
          <w:rFonts w:ascii="Arial" w:hAnsi="Arial" w:cs="Arial"/>
        </w:rPr>
      </w:pPr>
      <w:r>
        <w:rPr>
          <w:rFonts w:ascii="Arial" w:hAnsi="Arial" w:cs="Arial"/>
        </w:rPr>
        <w:lastRenderedPageBreak/>
        <w:t xml:space="preserve">A RAT type change almost always indicates a </w:t>
      </w:r>
      <w:r>
        <w:rPr>
          <w:rFonts w:ascii="Arial" w:hAnsi="Arial" w:cs="Arial"/>
          <w:i/>
        </w:rPr>
        <w:t>downgrade</w:t>
      </w:r>
      <w:r>
        <w:rPr>
          <w:rFonts w:ascii="Arial" w:hAnsi="Arial" w:cs="Arial"/>
        </w:rPr>
        <w:t xml:space="preserve"> from one generation</w:t>
      </w:r>
      <w:r w:rsidR="00E84DF2">
        <w:rPr>
          <w:rFonts w:ascii="Arial" w:hAnsi="Arial" w:cs="Arial"/>
        </w:rPr>
        <w:t xml:space="preserve"> access</w:t>
      </w:r>
      <w:r>
        <w:rPr>
          <w:rFonts w:ascii="Arial" w:hAnsi="Arial" w:cs="Arial"/>
        </w:rPr>
        <w:t xml:space="preserve"> to another. In this case, there is a high likelihood of reduced performance.</w:t>
      </w:r>
    </w:p>
    <w:p w14:paraId="3FD9C0B7" w14:textId="77777777" w:rsidR="00DD00FF" w:rsidRDefault="00DD00FF" w:rsidP="00594777">
      <w:pPr>
        <w:pStyle w:val="ListParagraph"/>
        <w:rPr>
          <w:rFonts w:ascii="Arial" w:hAnsi="Arial" w:cs="Arial"/>
        </w:rPr>
      </w:pPr>
    </w:p>
    <w:p w14:paraId="1FC309B2" w14:textId="77777777" w:rsidR="00DD00FF" w:rsidRDefault="00DD00FF" w:rsidP="00DD00FF">
      <w:pPr>
        <w:pStyle w:val="ListParagraph"/>
        <w:numPr>
          <w:ilvl w:val="0"/>
          <w:numId w:val="27"/>
        </w:numPr>
        <w:rPr>
          <w:rFonts w:ascii="Arial" w:hAnsi="Arial" w:cs="Arial"/>
        </w:rPr>
      </w:pPr>
      <w:r>
        <w:rPr>
          <w:rFonts w:ascii="Arial" w:hAnsi="Arial" w:cs="Arial"/>
        </w:rPr>
        <w:t>The examples above do not show Frequency Band changes correlated with incidents. Why must these be monitored?</w:t>
      </w:r>
    </w:p>
    <w:p w14:paraId="1857A3A5" w14:textId="77777777" w:rsidR="00DD00FF" w:rsidRPr="004204A8" w:rsidRDefault="00DD00FF" w:rsidP="00DD00FF">
      <w:pPr>
        <w:ind w:left="720"/>
        <w:rPr>
          <w:rFonts w:ascii="Arial" w:hAnsi="Arial" w:cs="Arial"/>
        </w:rPr>
      </w:pPr>
      <w:r>
        <w:rPr>
          <w:rFonts w:ascii="Arial" w:hAnsi="Arial" w:cs="Arial"/>
        </w:rPr>
        <w:t xml:space="preserve">Utilities may be assigned specific bands for use for their communication. In private-public partnerships the management and operation of the spectrum may be </w:t>
      </w:r>
      <w:r w:rsidR="004204A8">
        <w:rPr>
          <w:rFonts w:ascii="Arial" w:hAnsi="Arial" w:cs="Arial"/>
        </w:rPr>
        <w:t xml:space="preserve">undertaken by the network operator. In this case it is very important for the utility operator to monitor when bands have been reassigned (especially </w:t>
      </w:r>
      <w:r w:rsidR="004204A8">
        <w:rPr>
          <w:rFonts w:ascii="Arial" w:hAnsi="Arial" w:cs="Arial"/>
          <w:i/>
        </w:rPr>
        <w:t>the dedicated band</w:t>
      </w:r>
      <w:r w:rsidR="004204A8">
        <w:rPr>
          <w:rFonts w:ascii="Arial" w:hAnsi="Arial" w:cs="Arial"/>
        </w:rPr>
        <w:t>.) In general, band reassignment is highly correlated with communication performance changes.</w:t>
      </w:r>
    </w:p>
    <w:p w14:paraId="752DAA55" w14:textId="77777777" w:rsidR="009D59C3" w:rsidRPr="003A3401" w:rsidRDefault="004204A8" w:rsidP="003A3401">
      <w:pPr>
        <w:rPr>
          <w:rFonts w:ascii="Arial" w:hAnsi="Arial" w:cs="Arial"/>
          <w:b/>
          <w:sz w:val="22"/>
          <w:szCs w:val="22"/>
        </w:rPr>
      </w:pPr>
      <w:r w:rsidRPr="003A3401">
        <w:rPr>
          <w:rFonts w:ascii="Arial" w:hAnsi="Arial" w:cs="Arial"/>
          <w:b/>
          <w:sz w:val="22"/>
          <w:szCs w:val="22"/>
        </w:rPr>
        <w:t>Conclusion and Proposal</w:t>
      </w:r>
    </w:p>
    <w:p w14:paraId="73EC8453" w14:textId="0766BE12" w:rsidR="004204A8" w:rsidRDefault="004204A8" w:rsidP="009D59C3">
      <w:pPr>
        <w:rPr>
          <w:rFonts w:ascii="Arial" w:hAnsi="Arial" w:cs="Arial"/>
        </w:rPr>
      </w:pPr>
      <w:r>
        <w:rPr>
          <w:rFonts w:ascii="Arial" w:hAnsi="Arial" w:cs="Arial"/>
        </w:rPr>
        <w:t>This paper indicates how RAN information is used to correlate with performance data to enable a clear view of coming incidents. This allows a utility operator to take proactive action to a</w:t>
      </w:r>
      <w:r w:rsidR="00BF40C1">
        <w:rPr>
          <w:rFonts w:ascii="Arial" w:hAnsi="Arial" w:cs="Arial"/>
        </w:rPr>
        <w:t>void service delivery incidents and to more effectively troubleshoot ongoing incidents.</w:t>
      </w:r>
    </w:p>
    <w:p w14:paraId="539D5152" w14:textId="6B9482C4" w:rsidR="003A3401" w:rsidRPr="009D59C3" w:rsidRDefault="003A3401" w:rsidP="009D59C3">
      <w:pPr>
        <w:rPr>
          <w:rFonts w:ascii="Arial" w:hAnsi="Arial" w:cs="Arial"/>
        </w:rPr>
      </w:pPr>
      <w:r>
        <w:rPr>
          <w:rFonts w:ascii="Arial" w:hAnsi="Arial" w:cs="Arial"/>
        </w:rPr>
        <w:t>It is proposed to agree to</w:t>
      </w:r>
      <w:r w:rsidR="008664AE">
        <w:rPr>
          <w:rFonts w:ascii="Arial" w:hAnsi="Arial" w:cs="Arial"/>
        </w:rPr>
        <w:t xml:space="preserve"> S1-212010, S1-212011, S1-212012, S1-212013, S1-212013, S1-212014, S1-212015, </w:t>
      </w:r>
      <w:proofErr w:type="gramStart"/>
      <w:r w:rsidR="008664AE">
        <w:rPr>
          <w:rFonts w:ascii="Arial" w:hAnsi="Arial" w:cs="Arial"/>
        </w:rPr>
        <w:t>S1</w:t>
      </w:r>
      <w:proofErr w:type="gramEnd"/>
      <w:r w:rsidR="008664AE">
        <w:rPr>
          <w:rFonts w:ascii="Arial" w:hAnsi="Arial" w:cs="Arial"/>
        </w:rPr>
        <w:t>-212008 to remove the related editor’s notes from TR 22.867.</w:t>
      </w:r>
    </w:p>
    <w:p w14:paraId="5545A9A7" w14:textId="77777777" w:rsidR="009D59C3" w:rsidRPr="009D59C3" w:rsidRDefault="009D59C3" w:rsidP="009D59C3">
      <w:pPr>
        <w:rPr>
          <w:rFonts w:ascii="Arial" w:hAnsi="Arial" w:cs="Arial"/>
        </w:rPr>
      </w:pPr>
      <w:bookmarkStart w:id="0" w:name="_GoBack"/>
      <w:bookmarkEnd w:id="0"/>
    </w:p>
    <w:p w14:paraId="6C8A56F6" w14:textId="77777777" w:rsidR="009D59C3" w:rsidRPr="009D59C3" w:rsidRDefault="009D59C3" w:rsidP="009D59C3">
      <w:pPr>
        <w:rPr>
          <w:rFonts w:ascii="Arial" w:hAnsi="Arial" w:cs="Arial"/>
        </w:rPr>
      </w:pPr>
    </w:p>
    <w:p w14:paraId="12371FC5" w14:textId="77777777" w:rsidR="009D59C3" w:rsidRPr="009D59C3" w:rsidRDefault="009D59C3" w:rsidP="009D59C3">
      <w:pPr>
        <w:rPr>
          <w:rFonts w:ascii="Arial" w:hAnsi="Arial" w:cs="Arial"/>
        </w:rPr>
      </w:pPr>
    </w:p>
    <w:p w14:paraId="67CA7A8B" w14:textId="77777777" w:rsidR="009D59C3" w:rsidRPr="009D59C3" w:rsidRDefault="009D59C3" w:rsidP="009D59C3">
      <w:pPr>
        <w:rPr>
          <w:rFonts w:ascii="Arial" w:hAnsi="Arial" w:cs="Arial"/>
        </w:rPr>
      </w:pPr>
    </w:p>
    <w:p w14:paraId="5DCC0641" w14:textId="77777777" w:rsidR="009D59C3" w:rsidRPr="009D59C3" w:rsidRDefault="009D59C3" w:rsidP="009D59C3">
      <w:pPr>
        <w:rPr>
          <w:rFonts w:ascii="Arial" w:hAnsi="Arial" w:cs="Arial"/>
        </w:rPr>
      </w:pPr>
    </w:p>
    <w:p w14:paraId="7718CAB2" w14:textId="77777777" w:rsidR="009D59C3" w:rsidRPr="009D59C3" w:rsidRDefault="009D59C3" w:rsidP="009D59C3">
      <w:pPr>
        <w:rPr>
          <w:rFonts w:ascii="Arial" w:hAnsi="Arial" w:cs="Arial"/>
        </w:rPr>
      </w:pPr>
    </w:p>
    <w:p w14:paraId="0D24FBC3" w14:textId="77777777" w:rsidR="009D59C3" w:rsidRPr="009D59C3" w:rsidRDefault="009D59C3" w:rsidP="009D59C3">
      <w:pPr>
        <w:rPr>
          <w:rFonts w:ascii="Arial" w:hAnsi="Arial" w:cs="Arial"/>
        </w:rPr>
      </w:pPr>
    </w:p>
    <w:p w14:paraId="5EDB2D4C" w14:textId="77777777" w:rsidR="009D59C3" w:rsidRPr="009D59C3" w:rsidRDefault="009D59C3" w:rsidP="009D59C3">
      <w:pPr>
        <w:rPr>
          <w:rFonts w:ascii="Arial" w:hAnsi="Arial" w:cs="Arial"/>
        </w:rPr>
      </w:pPr>
    </w:p>
    <w:p w14:paraId="1965A510" w14:textId="77777777" w:rsidR="009D59C3" w:rsidRPr="009D59C3" w:rsidRDefault="009D59C3" w:rsidP="009D59C3">
      <w:pPr>
        <w:rPr>
          <w:rFonts w:ascii="Arial" w:hAnsi="Arial" w:cs="Arial"/>
        </w:rPr>
      </w:pPr>
    </w:p>
    <w:p w14:paraId="6B7A123A" w14:textId="77777777" w:rsidR="009D59C3" w:rsidRPr="009D59C3" w:rsidRDefault="009D59C3" w:rsidP="009D59C3">
      <w:pPr>
        <w:rPr>
          <w:rFonts w:ascii="Arial" w:hAnsi="Arial" w:cs="Arial"/>
        </w:rPr>
      </w:pPr>
    </w:p>
    <w:p w14:paraId="451A3CD9" w14:textId="77777777" w:rsidR="009D59C3" w:rsidRPr="009D59C3" w:rsidRDefault="009D59C3" w:rsidP="009D59C3">
      <w:pPr>
        <w:rPr>
          <w:rFonts w:ascii="Arial" w:hAnsi="Arial" w:cs="Arial"/>
        </w:rPr>
      </w:pPr>
    </w:p>
    <w:p w14:paraId="1A9D1B63" w14:textId="77777777" w:rsidR="009D59C3" w:rsidRPr="009D59C3" w:rsidRDefault="009D59C3" w:rsidP="009D59C3">
      <w:pPr>
        <w:rPr>
          <w:rFonts w:ascii="Arial" w:hAnsi="Arial" w:cs="Arial"/>
        </w:rPr>
      </w:pPr>
    </w:p>
    <w:p w14:paraId="1830748B" w14:textId="77777777" w:rsidR="009D59C3" w:rsidRDefault="009D59C3" w:rsidP="009D59C3">
      <w:pPr>
        <w:rPr>
          <w:rFonts w:ascii="Arial" w:hAnsi="Arial" w:cs="Arial"/>
        </w:rPr>
      </w:pPr>
    </w:p>
    <w:p w14:paraId="15F3A83A" w14:textId="77777777" w:rsidR="00440983" w:rsidRPr="009D59C3" w:rsidRDefault="00440983" w:rsidP="009D59C3">
      <w:pPr>
        <w:jc w:val="right"/>
        <w:rPr>
          <w:rFonts w:ascii="Arial" w:hAnsi="Arial" w:cs="Arial"/>
        </w:rPr>
      </w:pPr>
    </w:p>
    <w:sectPr w:rsidR="00440983" w:rsidRPr="009D59C3">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CD920" w14:textId="77777777" w:rsidR="00B41987" w:rsidRDefault="00B41987">
      <w:r>
        <w:separator/>
      </w:r>
    </w:p>
    <w:p w14:paraId="2AF28E79" w14:textId="77777777" w:rsidR="00B41987" w:rsidRDefault="00B41987"/>
    <w:p w14:paraId="36507686" w14:textId="77777777" w:rsidR="00B41987" w:rsidRDefault="00B41987"/>
  </w:endnote>
  <w:endnote w:type="continuationSeparator" w:id="0">
    <w:p w14:paraId="6DD011D8" w14:textId="77777777" w:rsidR="00B41987" w:rsidRDefault="00B41987">
      <w:r>
        <w:continuationSeparator/>
      </w:r>
    </w:p>
    <w:p w14:paraId="62496AC7" w14:textId="77777777" w:rsidR="00B41987" w:rsidRDefault="00B41987"/>
    <w:p w14:paraId="35922FEE" w14:textId="77777777" w:rsidR="00B41987" w:rsidRDefault="00B41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1C8C" w14:textId="77777777" w:rsidR="009D59C3" w:rsidRDefault="009D59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CCF3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C56EA4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14:paraId="6D6618D4" w14:textId="77777777" w:rsidR="00440983" w:rsidRDefault="004409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750F0" w14:textId="77777777" w:rsidR="009D59C3" w:rsidRDefault="009D59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9D06E" w14:textId="77777777" w:rsidR="00B41987" w:rsidRDefault="00B41987">
      <w:r>
        <w:separator/>
      </w:r>
    </w:p>
    <w:p w14:paraId="4B5E08DE" w14:textId="77777777" w:rsidR="00B41987" w:rsidRDefault="00B41987"/>
    <w:p w14:paraId="7186FEB1" w14:textId="77777777" w:rsidR="00B41987" w:rsidRDefault="00B41987"/>
  </w:footnote>
  <w:footnote w:type="continuationSeparator" w:id="0">
    <w:p w14:paraId="244AE98B" w14:textId="77777777" w:rsidR="00B41987" w:rsidRDefault="00B41987">
      <w:r>
        <w:continuationSeparator/>
      </w:r>
    </w:p>
    <w:p w14:paraId="68EE2EB1" w14:textId="77777777" w:rsidR="00B41987" w:rsidRDefault="00B41987"/>
    <w:p w14:paraId="14823B28" w14:textId="77777777" w:rsidR="00B41987" w:rsidRDefault="00B419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B79BF" w14:textId="77777777" w:rsidR="00440983" w:rsidRDefault="00440983"/>
  <w:p w14:paraId="5CCA5ECA" w14:textId="77777777" w:rsidR="00440983" w:rsidRDefault="00440983"/>
  <w:p w14:paraId="5AA35362" w14:textId="77777777" w:rsidR="0068416A" w:rsidRDefault="0068416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8F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14:paraId="52C45409"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64AE">
      <w:rPr>
        <w:rFonts w:ascii="Arial" w:hAnsi="Arial" w:cs="Arial"/>
        <w:b/>
        <w:bCs/>
        <w:noProof/>
        <w:sz w:val="18"/>
      </w:rPr>
      <w:t>5</w:t>
    </w:r>
    <w:r>
      <w:rPr>
        <w:rFonts w:ascii="Arial" w:hAnsi="Arial" w:cs="Arial"/>
        <w:b/>
        <w:bCs/>
        <w:sz w:val="18"/>
      </w:rPr>
      <w:fldChar w:fldCharType="end"/>
    </w:r>
  </w:p>
  <w:p w14:paraId="50D8C1F9" w14:textId="77777777" w:rsidR="00440983" w:rsidRDefault="00440983"/>
  <w:p w14:paraId="26964C18" w14:textId="77777777" w:rsidR="0068416A" w:rsidRDefault="0068416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DB3B" w14:textId="77777777" w:rsidR="009D59C3" w:rsidRDefault="009D59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2CB7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6E90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64C4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2E39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0B0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7A7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D240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543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DAF6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987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55F5DAA"/>
    <w:multiLevelType w:val="hybridMultilevel"/>
    <w:tmpl w:val="A4305D9E"/>
    <w:lvl w:ilvl="0" w:tplc="C44870B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5D5F4981"/>
    <w:multiLevelType w:val="hybridMultilevel"/>
    <w:tmpl w:val="799E14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F1763CC"/>
    <w:multiLevelType w:val="hybridMultilevel"/>
    <w:tmpl w:val="060A04EC"/>
    <w:lvl w:ilvl="0" w:tplc="52248A1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31049"/>
    <w:rsid w:val="00047538"/>
    <w:rsid w:val="000A42A0"/>
    <w:rsid w:val="00160336"/>
    <w:rsid w:val="001E3779"/>
    <w:rsid w:val="00240F0D"/>
    <w:rsid w:val="0025007B"/>
    <w:rsid w:val="00254F59"/>
    <w:rsid w:val="003A3401"/>
    <w:rsid w:val="004132AB"/>
    <w:rsid w:val="004204A8"/>
    <w:rsid w:val="00440983"/>
    <w:rsid w:val="004A3F92"/>
    <w:rsid w:val="005035E8"/>
    <w:rsid w:val="00534BAF"/>
    <w:rsid w:val="00594777"/>
    <w:rsid w:val="0068416A"/>
    <w:rsid w:val="006C259E"/>
    <w:rsid w:val="00766772"/>
    <w:rsid w:val="00784B1D"/>
    <w:rsid w:val="007E442F"/>
    <w:rsid w:val="00803852"/>
    <w:rsid w:val="008664AE"/>
    <w:rsid w:val="009C6B06"/>
    <w:rsid w:val="009D59C3"/>
    <w:rsid w:val="009D7520"/>
    <w:rsid w:val="00A014E8"/>
    <w:rsid w:val="00AE54B9"/>
    <w:rsid w:val="00AF4E16"/>
    <w:rsid w:val="00B41987"/>
    <w:rsid w:val="00B45FD5"/>
    <w:rsid w:val="00B738F9"/>
    <w:rsid w:val="00BF40C1"/>
    <w:rsid w:val="00D0240C"/>
    <w:rsid w:val="00D040CB"/>
    <w:rsid w:val="00D9210F"/>
    <w:rsid w:val="00D92FE2"/>
    <w:rsid w:val="00DB22C7"/>
    <w:rsid w:val="00DD00FF"/>
    <w:rsid w:val="00E039BD"/>
    <w:rsid w:val="00E14E78"/>
    <w:rsid w:val="00E84DF2"/>
    <w:rsid w:val="00EE3B2E"/>
    <w:rsid w:val="00F057B7"/>
    <w:rsid w:val="00F13969"/>
    <w:rsid w:val="00F60ED7"/>
    <w:rsid w:val="00FA082C"/>
    <w:rsid w:val="00FF24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4C857"/>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paragraph" w:styleId="ListParagraph">
    <w:name w:val="List Paragraph"/>
    <w:basedOn w:val="Normal"/>
    <w:uiPriority w:val="34"/>
    <w:qFormat/>
    <w:rsid w:val="00D9210F"/>
    <w:pPr>
      <w:ind w:left="720"/>
      <w:contextualSpacing/>
    </w:pPr>
  </w:style>
  <w:style w:type="character" w:styleId="CommentReference">
    <w:name w:val="annotation reference"/>
    <w:basedOn w:val="DefaultParagraphFont"/>
    <w:rsid w:val="00A014E8"/>
    <w:rPr>
      <w:sz w:val="16"/>
      <w:szCs w:val="16"/>
    </w:rPr>
  </w:style>
  <w:style w:type="paragraph" w:styleId="CommentText">
    <w:name w:val="annotation text"/>
    <w:basedOn w:val="Normal"/>
    <w:link w:val="CommentTextChar"/>
    <w:rsid w:val="00A014E8"/>
  </w:style>
  <w:style w:type="character" w:customStyle="1" w:styleId="CommentTextChar">
    <w:name w:val="Comment Text Char"/>
    <w:basedOn w:val="DefaultParagraphFont"/>
    <w:link w:val="CommentText"/>
    <w:rsid w:val="00A014E8"/>
    <w:rPr>
      <w:color w:val="000000"/>
      <w:lang w:val="en-GB"/>
    </w:rPr>
  </w:style>
  <w:style w:type="paragraph" w:styleId="CommentSubject">
    <w:name w:val="annotation subject"/>
    <w:basedOn w:val="CommentText"/>
    <w:next w:val="CommentText"/>
    <w:link w:val="CommentSubjectChar"/>
    <w:rsid w:val="00A014E8"/>
    <w:rPr>
      <w:b/>
      <w:bCs/>
    </w:rPr>
  </w:style>
  <w:style w:type="character" w:customStyle="1" w:styleId="CommentSubjectChar">
    <w:name w:val="Comment Subject Char"/>
    <w:basedOn w:val="CommentTextChar"/>
    <w:link w:val="CommentSubject"/>
    <w:rsid w:val="00A014E8"/>
    <w:rPr>
      <w:b/>
      <w:bCs/>
      <w:color w:val="000000"/>
      <w:lang w:val="en-GB"/>
    </w:rPr>
  </w:style>
  <w:style w:type="paragraph" w:styleId="BalloonText">
    <w:name w:val="Balloon Text"/>
    <w:basedOn w:val="Normal"/>
    <w:link w:val="BalloonTextChar"/>
    <w:rsid w:val="00A014E8"/>
    <w:pPr>
      <w:spacing w:after="0"/>
    </w:pPr>
    <w:rPr>
      <w:rFonts w:ascii="Segoe UI" w:hAnsi="Segoe UI" w:cs="Segoe UI"/>
      <w:sz w:val="18"/>
      <w:szCs w:val="18"/>
    </w:rPr>
  </w:style>
  <w:style w:type="character" w:customStyle="1" w:styleId="BalloonTextChar">
    <w:name w:val="Balloon Text Char"/>
    <w:basedOn w:val="DefaultParagraphFont"/>
    <w:link w:val="BalloonText"/>
    <w:rsid w:val="00A014E8"/>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cp:lastModifiedBy>
  <cp:revision>3</cp:revision>
  <cp:lastPrinted>2003-09-26T09:29:00Z</cp:lastPrinted>
  <dcterms:created xsi:type="dcterms:W3CDTF">2021-06-29T13:24:00Z</dcterms:created>
  <dcterms:modified xsi:type="dcterms:W3CDTF">2021-06-29T13:53:00Z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