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689" w:rsidRPr="00492DE6" w:rsidRDefault="003B7689" w:rsidP="003B7689">
      <w:pPr>
        <w:pStyle w:val="Titre3"/>
        <w:rPr>
          <w:rFonts w:eastAsia="Batang"/>
        </w:rPr>
      </w:pPr>
      <w:r>
        <w:rPr>
          <w:rFonts w:eastAsia="Batang"/>
        </w:rPr>
        <w:t>3GPP TSG CT/</w:t>
      </w:r>
      <w:r w:rsidRPr="00A97773">
        <w:rPr>
          <w:rFonts w:eastAsia="Batang"/>
        </w:rPr>
        <w:t>SA Meeting</w:t>
      </w:r>
      <w:r>
        <w:rPr>
          <w:rFonts w:eastAsia="Batang"/>
        </w:rPr>
        <w:t>s</w:t>
      </w:r>
      <w:r w:rsidRPr="00A97773">
        <w:rPr>
          <w:rFonts w:eastAsia="Batang"/>
        </w:rPr>
        <w:t xml:space="preserve"> #70</w:t>
      </w:r>
      <w:r w:rsidRPr="00A97773">
        <w:rPr>
          <w:rFonts w:eastAsia="Batang"/>
        </w:rPr>
        <w:tab/>
        <w:t xml:space="preserve"> </w:t>
      </w:r>
      <w:r w:rsidRPr="00E36832">
        <w:rPr>
          <w:rFonts w:eastAsia="Batang"/>
        </w:rPr>
        <w:t xml:space="preserve">SP-150738 &amp; </w:t>
      </w:r>
      <w:r w:rsidRPr="00492DE6">
        <w:rPr>
          <w:rFonts w:eastAsia="Batang"/>
        </w:rPr>
        <w:t>CP-150841</w:t>
      </w:r>
    </w:p>
    <w:p w:rsidR="003B7689" w:rsidRPr="0079786F" w:rsidRDefault="003B7689" w:rsidP="003B7689">
      <w:pPr>
        <w:pBdr>
          <w:bottom w:val="single" w:sz="4" w:space="1" w:color="auto"/>
        </w:pBdr>
        <w:tabs>
          <w:tab w:val="right" w:pos="9639"/>
        </w:tabs>
        <w:rPr>
          <w:rFonts w:ascii="Arial" w:eastAsia="Batang" w:hAnsi="Arial" w:cs="Arial"/>
          <w:b/>
          <w:sz w:val="24"/>
          <w:szCs w:val="24"/>
          <w:lang w:val="fr-FR"/>
        </w:rPr>
      </w:pPr>
      <w:r w:rsidRPr="0079786F">
        <w:rPr>
          <w:rFonts w:ascii="Arial" w:eastAsia="Batang" w:hAnsi="Arial" w:cs="Arial"/>
          <w:b/>
          <w:sz w:val="24"/>
          <w:szCs w:val="24"/>
          <w:lang w:val="fr-FR"/>
        </w:rPr>
        <w:t>Sitges, Spain, 7-8 / 9-11 December 2015</w:t>
      </w:r>
    </w:p>
    <w:p w:rsidR="003B7689" w:rsidRDefault="003B7689" w:rsidP="003B7689">
      <w:pPr>
        <w:ind w:left="2127" w:hanging="2127"/>
        <w:rPr>
          <w:rFonts w:ascii="Arial" w:hAnsi="Arial" w:cs="Arial"/>
          <w:b/>
          <w:lang w:val="fr-FR"/>
        </w:rPr>
      </w:pPr>
      <w:r w:rsidRPr="0079786F">
        <w:rPr>
          <w:rFonts w:ascii="Arial" w:hAnsi="Arial" w:cs="Arial"/>
          <w:b/>
          <w:lang w:val="fr-FR"/>
        </w:rPr>
        <w:t>Source:</w:t>
      </w:r>
      <w:r>
        <w:rPr>
          <w:rFonts w:ascii="Arial" w:hAnsi="Arial" w:cs="Arial"/>
          <w:b/>
          <w:lang w:val="fr-FR"/>
        </w:rPr>
        <w:tab/>
      </w:r>
      <w:r w:rsidRPr="0079786F">
        <w:rPr>
          <w:rFonts w:ascii="Arial" w:hAnsi="Arial" w:cs="Arial"/>
          <w:b/>
          <w:lang w:val="fr-FR"/>
        </w:rPr>
        <w:t>Ministère de l’Intérieur, Ministère de l'Economie, de l'Industrie et du Numérique, Thales, France;</w:t>
      </w:r>
    </w:p>
    <w:p w:rsidR="003B7689" w:rsidRPr="0079786F" w:rsidRDefault="003B7689" w:rsidP="003B7689">
      <w:pPr>
        <w:ind w:left="2127"/>
        <w:rPr>
          <w:rFonts w:ascii="Arial" w:hAnsi="Arial" w:cs="Arial"/>
          <w:b/>
          <w:lang w:val="en-US"/>
        </w:rPr>
      </w:pPr>
      <w:r w:rsidRPr="0079786F">
        <w:rPr>
          <w:rFonts w:ascii="Arial" w:hAnsi="Arial" w:cs="Arial"/>
          <w:b/>
        </w:rPr>
        <w:t>Home Office, National Technical Assistance Centre, Communications-Electronic</w:t>
      </w:r>
      <w:bookmarkStart w:id="0" w:name="_GoBack"/>
      <w:bookmarkEnd w:id="0"/>
      <w:r w:rsidRPr="0079786F">
        <w:rPr>
          <w:rFonts w:ascii="Arial" w:hAnsi="Arial" w:cs="Arial"/>
          <w:b/>
        </w:rPr>
        <w:t>s Security Group, UK;</w:t>
      </w:r>
    </w:p>
    <w:p w:rsidR="003B7689" w:rsidRPr="0079786F" w:rsidRDefault="003B7689" w:rsidP="003B7689">
      <w:pPr>
        <w:ind w:left="2127"/>
        <w:rPr>
          <w:rFonts w:ascii="Arial" w:hAnsi="Arial" w:cs="Arial"/>
          <w:b/>
        </w:rPr>
      </w:pPr>
      <w:r w:rsidRPr="0079786F">
        <w:rPr>
          <w:rFonts w:ascii="Arial" w:hAnsi="Arial" w:cs="Arial"/>
          <w:b/>
        </w:rPr>
        <w:t>OTD, the USA;</w:t>
      </w:r>
    </w:p>
    <w:p w:rsidR="003B7689" w:rsidRPr="0079786F" w:rsidRDefault="003B7689" w:rsidP="003B7689">
      <w:pPr>
        <w:ind w:left="2127"/>
        <w:rPr>
          <w:rFonts w:ascii="Arial" w:hAnsi="Arial" w:cs="Arial"/>
          <w:b/>
        </w:rPr>
      </w:pPr>
      <w:r w:rsidRPr="0079786F">
        <w:rPr>
          <w:rFonts w:ascii="Arial" w:hAnsi="Arial" w:cs="Arial"/>
          <w:b/>
        </w:rPr>
        <w:t>PIDS, the Netherlands;</w:t>
      </w:r>
    </w:p>
    <w:p w:rsidR="003B7689" w:rsidRPr="0079786F" w:rsidRDefault="003B7689" w:rsidP="003B7689">
      <w:pPr>
        <w:ind w:left="2127"/>
        <w:rPr>
          <w:rFonts w:ascii="Arial" w:hAnsi="Arial" w:cs="Arial"/>
          <w:b/>
        </w:rPr>
      </w:pPr>
      <w:r w:rsidRPr="0079786F">
        <w:rPr>
          <w:rFonts w:ascii="Arial" w:hAnsi="Arial" w:cs="Arial"/>
          <w:b/>
        </w:rPr>
        <w:t>Public Safety Canada;</w:t>
      </w:r>
    </w:p>
    <w:p w:rsidR="003B7689" w:rsidRPr="00492DE6" w:rsidRDefault="003B7689" w:rsidP="003B7689">
      <w:pPr>
        <w:ind w:left="2127"/>
        <w:rPr>
          <w:rFonts w:ascii="Arial" w:hAnsi="Arial" w:cs="Arial"/>
          <w:b/>
        </w:rPr>
      </w:pPr>
      <w:r w:rsidRPr="0079786F">
        <w:rPr>
          <w:rFonts w:ascii="Arial" w:hAnsi="Arial" w:cs="Arial"/>
          <w:b/>
        </w:rPr>
        <w:t>OFCOM (CH), Switzerland</w:t>
      </w:r>
      <w:r>
        <w:rPr>
          <w:rFonts w:ascii="Arial" w:hAnsi="Arial" w:cs="Arial"/>
          <w:b/>
        </w:rPr>
        <w:t>.</w:t>
      </w:r>
    </w:p>
    <w:p w:rsidR="003B7689" w:rsidRPr="00492DE6" w:rsidRDefault="003B7689" w:rsidP="003B7689">
      <w:pPr>
        <w:ind w:left="2127" w:hanging="2127"/>
        <w:rPr>
          <w:rFonts w:ascii="Arial" w:hAnsi="Arial" w:cs="Arial"/>
          <w:b/>
        </w:rPr>
      </w:pPr>
      <w:r w:rsidRPr="00492DE6">
        <w:rPr>
          <w:rFonts w:ascii="Arial" w:hAnsi="Arial" w:cs="Arial"/>
          <w:b/>
        </w:rPr>
        <w:t>Title:</w:t>
      </w:r>
      <w:r w:rsidRPr="00492DE6">
        <w:rPr>
          <w:rFonts w:ascii="Arial" w:hAnsi="Arial" w:cs="Arial"/>
          <w:b/>
        </w:rPr>
        <w:tab/>
        <w:t>ePDG selection to meet lawful interception needs</w:t>
      </w:r>
    </w:p>
    <w:p w:rsidR="003B7689" w:rsidRPr="00492DE6" w:rsidRDefault="003B7689" w:rsidP="003B7689">
      <w:pPr>
        <w:ind w:left="2127" w:hanging="2127"/>
        <w:rPr>
          <w:rFonts w:ascii="Arial" w:hAnsi="Arial" w:cs="Arial"/>
          <w:b/>
        </w:rPr>
      </w:pPr>
      <w:r w:rsidRPr="00492DE6">
        <w:rPr>
          <w:rFonts w:ascii="Arial" w:hAnsi="Arial" w:cs="Arial"/>
          <w:b/>
        </w:rPr>
        <w:t>Document for:</w:t>
      </w:r>
      <w:r w:rsidRPr="00492DE6">
        <w:rPr>
          <w:rFonts w:ascii="Arial" w:hAnsi="Arial" w:cs="Arial"/>
          <w:b/>
        </w:rPr>
        <w:tab/>
        <w:t>Approval</w:t>
      </w:r>
    </w:p>
    <w:p w:rsidR="003B7689" w:rsidRPr="00492DE6" w:rsidRDefault="003B7689" w:rsidP="003B7689">
      <w:pPr>
        <w:ind w:left="2127" w:hanging="2127"/>
        <w:rPr>
          <w:rFonts w:ascii="Arial" w:hAnsi="Arial" w:cs="Arial"/>
          <w:b/>
        </w:rPr>
      </w:pPr>
      <w:r w:rsidRPr="00492DE6">
        <w:rPr>
          <w:rFonts w:ascii="Arial" w:hAnsi="Arial" w:cs="Arial"/>
          <w:b/>
        </w:rPr>
        <w:t>Agenda Item:</w:t>
      </w:r>
      <w:r w:rsidRPr="00492DE6">
        <w:rPr>
          <w:rFonts w:ascii="Arial" w:hAnsi="Arial" w:cs="Arial"/>
          <w:b/>
        </w:rPr>
        <w:tab/>
      </w:r>
    </w:p>
    <w:p w:rsidR="003B7689" w:rsidRPr="00492DE6" w:rsidRDefault="003B7689" w:rsidP="003B7689">
      <w:pPr>
        <w:ind w:left="2127" w:hanging="2127"/>
        <w:rPr>
          <w:rFonts w:ascii="Arial" w:hAnsi="Arial" w:cs="Arial"/>
          <w:b/>
        </w:rPr>
      </w:pPr>
      <w:r w:rsidRPr="00492DE6">
        <w:rPr>
          <w:rFonts w:ascii="Arial" w:hAnsi="Arial" w:cs="Arial"/>
          <w:b/>
        </w:rPr>
        <w:t>Work Item / Release:</w:t>
      </w:r>
      <w:r w:rsidRPr="00492DE6">
        <w:rPr>
          <w:rFonts w:ascii="Arial" w:hAnsi="Arial" w:cs="Arial"/>
          <w:b/>
        </w:rPr>
        <w:tab/>
        <w:t>Release 13</w:t>
      </w:r>
    </w:p>
    <w:p w:rsidR="003B7689" w:rsidRPr="00492DE6" w:rsidRDefault="003B7689" w:rsidP="003B7689">
      <w:pPr>
        <w:rPr>
          <w:rFonts w:ascii="Arial" w:hAnsi="Arial" w:cs="Arial"/>
          <w:i/>
        </w:rPr>
      </w:pPr>
      <w:r w:rsidRPr="00492DE6">
        <w:rPr>
          <w:rFonts w:ascii="Arial" w:hAnsi="Arial" w:cs="Arial"/>
          <w:i/>
        </w:rPr>
        <w:t>Abstract of the contribution: This contributions request 3GPP and SA to meet lawful interception needs in the ePDG work</w:t>
      </w:r>
    </w:p>
    <w:p w:rsidR="003B7689" w:rsidRPr="00492DE6" w:rsidRDefault="003B7689" w:rsidP="003B7689">
      <w:pPr>
        <w:pStyle w:val="Titre1"/>
      </w:pPr>
      <w:bookmarkStart w:id="1" w:name="_Toc429469721"/>
      <w:bookmarkStart w:id="2" w:name="_Toc429471652"/>
      <w:r w:rsidRPr="00492DE6">
        <w:t xml:space="preserve">Introduction </w:t>
      </w:r>
    </w:p>
    <w:p w:rsidR="003B7689" w:rsidRPr="00492DE6" w:rsidRDefault="003B7689" w:rsidP="003B7689">
      <w:r w:rsidRPr="00492DE6">
        <w:t xml:space="preserve">In the last Anaheim meeting, discussions on lawful interception have taken place in SA2 and CT1. As a result of these discussions it seems that functional needs expressed by SA3LI have not been </w:t>
      </w:r>
      <w:r w:rsidRPr="00FB2721">
        <w:t>fully</w:t>
      </w:r>
      <w:r>
        <w:t xml:space="preserve"> </w:t>
      </w:r>
      <w:r w:rsidRPr="00492DE6">
        <w:t xml:space="preserve">taken into account. </w:t>
      </w:r>
    </w:p>
    <w:p w:rsidR="003B7689" w:rsidRPr="00492DE6" w:rsidRDefault="003B7689" w:rsidP="003B7689">
      <w:pPr>
        <w:pStyle w:val="Titre1"/>
      </w:pPr>
      <w:r w:rsidRPr="00492DE6">
        <w:t>Discussion</w:t>
      </w:r>
    </w:p>
    <w:p w:rsidR="003B7689" w:rsidRPr="00492DE6" w:rsidRDefault="003B7689" w:rsidP="003B7689">
      <w:pPr>
        <w:pStyle w:val="Titre2"/>
      </w:pPr>
      <w:r w:rsidRPr="00492DE6">
        <w:t>Lawful interception functional needs and regulatory context</w:t>
      </w:r>
    </w:p>
    <w:p w:rsidR="003B7689" w:rsidRPr="00A97773" w:rsidRDefault="003B7689" w:rsidP="003B7689">
      <w:r w:rsidRPr="00492DE6">
        <w:t>Lawful Interception (LI)</w:t>
      </w:r>
      <w:r w:rsidRPr="00A97773">
        <w:t xml:space="preserve"> is based on international treaties and national laws. P</w:t>
      </w:r>
      <w:r w:rsidRPr="00E36832">
        <w:t xml:space="preserve">rivacy of communications or internet access has to be protected, except for specific persons </w:t>
      </w:r>
      <w:r w:rsidRPr="00492DE6">
        <w:t xml:space="preserve">(e.g., criminals or terrorists, or suspects of such crimes). Interpretation of what and how can be intercepted differs </w:t>
      </w:r>
      <w:r>
        <w:t xml:space="preserve">from </w:t>
      </w:r>
      <w:r w:rsidRPr="00492DE6">
        <w:t>country to country according to their</w:t>
      </w:r>
      <w:r w:rsidRPr="00A97773">
        <w:t xml:space="preserve"> laws and regulations, that are often </w:t>
      </w:r>
      <w:r w:rsidRPr="009B534F">
        <w:t>technologically neutral</w:t>
      </w:r>
      <w:r w:rsidRPr="009B534F" w:rsidDel="009B534F">
        <w:t xml:space="preserve"> </w:t>
      </w:r>
      <w:r w:rsidRPr="00A97773">
        <w:t>and made according to the local situation related to the level of crime or terroris</w:t>
      </w:r>
      <w:r w:rsidRPr="00E36832">
        <w:t xml:space="preserve">t </w:t>
      </w:r>
      <w:r w:rsidRPr="00492DE6">
        <w:t>acts</w:t>
      </w:r>
      <w:r w:rsidRPr="00A97773">
        <w:t xml:space="preserve">. </w:t>
      </w:r>
    </w:p>
    <w:p w:rsidR="00DA475F" w:rsidRDefault="003B7689" w:rsidP="003B7689">
      <w:r w:rsidRPr="00492DE6">
        <w:t>For security reasons, a LI system should not be under the control of or reliant on a foreign Communication Service Provider (CSP). Such a foreign CSP may be compelled by national authority to prohibit interception in a foreign network in which roaming is taking</w:t>
      </w:r>
      <w:r w:rsidRPr="00A97773">
        <w:t xml:space="preserve"> place</w:t>
      </w:r>
      <w:r w:rsidR="00B903C8">
        <w:t xml:space="preserve"> or have a potential conflict of interest in terms of target confidentiality</w:t>
      </w:r>
      <w:r w:rsidRPr="00A97773">
        <w:t>.</w:t>
      </w:r>
      <w:r w:rsidR="00B903C8">
        <w:t xml:space="preserve"> From a legal perspective, it is usually the case that the competent agency in one country is not legally competent in another to require an interception invocation.</w:t>
      </w:r>
      <w:r w:rsidRPr="00A97773">
        <w:t xml:space="preserve"> </w:t>
      </w:r>
    </w:p>
    <w:p w:rsidR="003B7689" w:rsidRPr="00492DE6" w:rsidRDefault="003B7689" w:rsidP="003B7689">
      <w:r w:rsidRPr="00492DE6">
        <w:t xml:space="preserve">Put more simply, in matters of national security, a nation state cannot trust or rely on another regardless of how friendly they are in other areas. Therefore, any LI approach where the country A, in which the target mobile is located, must solely rely on CSPs or government of country B to assist / enable LI to take place is not going to meet national security requirements. Furthermore, if Country A has a change in the law which results in a different LI requirement, it is not acceptable to wait </w:t>
      </w:r>
      <w:r w:rsidR="00B903C8">
        <w:t xml:space="preserve">long periods of time (upwards of </w:t>
      </w:r>
      <w:r w:rsidRPr="00492DE6">
        <w:t>6 months</w:t>
      </w:r>
      <w:r w:rsidR="00B903C8">
        <w:t>)</w:t>
      </w:r>
      <w:r w:rsidRPr="00492DE6">
        <w:t xml:space="preserve"> for roaming agreements to be updated and all UE profiles refreshed before roaming LI can meet those new requirements</w:t>
      </w:r>
      <w:r w:rsidR="00B903C8">
        <w:t xml:space="preserve"> (legal aspects notwithstanding)</w:t>
      </w:r>
      <w:r w:rsidRPr="00492DE6">
        <w:t xml:space="preserve">. </w:t>
      </w:r>
    </w:p>
    <w:p w:rsidR="003B7689" w:rsidRPr="00A97773" w:rsidRDefault="003B7689" w:rsidP="003B7689">
      <w:r w:rsidRPr="00492DE6">
        <w:t>Majority of countries that do sign the WTO –World Trade Organization- annex related to telecommunication prohibit a foreign CSP to provide services directly</w:t>
      </w:r>
      <w:r w:rsidRPr="00A97773">
        <w:t xml:space="preserve"> without </w:t>
      </w:r>
      <w:r w:rsidRPr="00E36832">
        <w:t>being</w:t>
      </w:r>
      <w:r w:rsidRPr="00492DE6">
        <w:t xml:space="preserve"> specifically authorised or registered with local representation</w:t>
      </w:r>
      <w:r w:rsidRPr="00A97773">
        <w:t xml:space="preserve">. Some countries </w:t>
      </w:r>
      <w:r w:rsidRPr="00492DE6">
        <w:t xml:space="preserve">also have LI regulation on encryption of services that impose delivery of encrypted content with all elements (keys, etc.) that let LEA to decrypt, or “en </w:t>
      </w:r>
      <w:proofErr w:type="spellStart"/>
      <w:proofErr w:type="gramStart"/>
      <w:r w:rsidRPr="00492DE6">
        <w:t>clair</w:t>
      </w:r>
      <w:proofErr w:type="spellEnd"/>
      <w:proofErr w:type="gramEnd"/>
      <w:r w:rsidRPr="00492DE6">
        <w:t>” delivery of the content. LI systems need to be able to comply with such encryption regulation.</w:t>
      </w:r>
    </w:p>
    <w:p w:rsidR="003B7689" w:rsidRPr="00492DE6" w:rsidRDefault="003B7689" w:rsidP="003B7689">
      <w:r w:rsidRPr="00492DE6">
        <w:lastRenderedPageBreak/>
        <w:t xml:space="preserve">Subsequently, any LI solution for roaming usage has to be based on local </w:t>
      </w:r>
      <w:r w:rsidR="00B903C8">
        <w:t>implementation</w:t>
      </w:r>
      <w:r w:rsidR="00B903C8" w:rsidRPr="00492DE6">
        <w:t xml:space="preserve"> </w:t>
      </w:r>
      <w:r w:rsidRPr="00492DE6">
        <w:t xml:space="preserve">and/or should avoid control by equipment </w:t>
      </w:r>
      <w:r>
        <w:t>located</w:t>
      </w:r>
      <w:r w:rsidRPr="00492DE6">
        <w:t xml:space="preserve"> in a foreign country that may prohibit LI (either “accidentally or deliberately</w:t>
      </w:r>
      <w:r>
        <w:t>”</w:t>
      </w:r>
      <w:r w:rsidRPr="00492DE6">
        <w:t xml:space="preserve">). </w:t>
      </w:r>
    </w:p>
    <w:p w:rsidR="003B7689" w:rsidRPr="00A97773" w:rsidRDefault="003B7689" w:rsidP="003B7689">
      <w:r w:rsidRPr="00492DE6">
        <w:t xml:space="preserve">For basic security, an LI system should </w:t>
      </w:r>
      <w:r w:rsidR="00B903C8">
        <w:t>manage</w:t>
      </w:r>
      <w:r w:rsidR="00B903C8" w:rsidRPr="00492DE6">
        <w:t xml:space="preserve"> </w:t>
      </w:r>
      <w:r w:rsidRPr="00492DE6">
        <w:t>the risk of detectability so that</w:t>
      </w:r>
      <w:r w:rsidRPr="00A97773">
        <w:t xml:space="preserve"> a target </w:t>
      </w:r>
      <w:r w:rsidRPr="00E36832">
        <w:t>can</w:t>
      </w:r>
      <w:r w:rsidRPr="00492DE6">
        <w:t xml:space="preserve">not easily </w:t>
      </w:r>
      <w:r w:rsidRPr="00A97773">
        <w:t xml:space="preserve">avoid </w:t>
      </w:r>
      <w:r w:rsidRPr="00492DE6">
        <w:t>being</w:t>
      </w:r>
      <w:r w:rsidRPr="00A97773">
        <w:t xml:space="preserve"> intercepted. The LI solution should </w:t>
      </w:r>
      <w:r w:rsidRPr="00492DE6">
        <w:t>minimize</w:t>
      </w:r>
      <w:r w:rsidRPr="00A97773">
        <w:t xml:space="preserve"> detectability</w:t>
      </w:r>
      <w:r w:rsidRPr="00E36832">
        <w:t xml:space="preserve">, but </w:t>
      </w:r>
      <w:r w:rsidRPr="00492DE6">
        <w:t>meeting the detectability requirement should not deprive</w:t>
      </w:r>
      <w:r w:rsidRPr="00A97773">
        <w:t xml:space="preserve"> the </w:t>
      </w:r>
      <w:r w:rsidRPr="00E36832">
        <w:t>Lawful Enforcement Agency</w:t>
      </w:r>
      <w:r w:rsidRPr="00492DE6">
        <w:t xml:space="preserve"> (LEA)</w:t>
      </w:r>
      <w:r w:rsidRPr="00A97773">
        <w:t xml:space="preserve"> / country to have an LI system</w:t>
      </w:r>
      <w:r w:rsidRPr="00492DE6">
        <w:t>/</w:t>
      </w:r>
      <w:r w:rsidRPr="00A97773">
        <w:t>solution.</w:t>
      </w:r>
    </w:p>
    <w:p w:rsidR="003B7689" w:rsidRPr="00492DE6" w:rsidRDefault="003B7689" w:rsidP="003B7689">
      <w:pPr>
        <w:pStyle w:val="Titre2"/>
      </w:pPr>
      <w:r w:rsidRPr="00492DE6">
        <w:t>Lawful interception in the ePDG context</w:t>
      </w:r>
    </w:p>
    <w:p w:rsidR="003B7689" w:rsidRPr="00492DE6" w:rsidRDefault="003B7689" w:rsidP="003B7689">
      <w:r w:rsidRPr="00492DE6">
        <w:t>In order to meet the previous requirements in the ePDG context, in case of roaming</w:t>
      </w:r>
      <w:r>
        <w:t>,</w:t>
      </w:r>
      <w:r w:rsidRPr="00492DE6">
        <w:t xml:space="preserve"> the PLMN</w:t>
      </w:r>
      <w:r>
        <w:t xml:space="preserve">s of the country where the UE is </w:t>
      </w:r>
      <w:proofErr w:type="gramStart"/>
      <w:r>
        <w:t>located,</w:t>
      </w:r>
      <w:proofErr w:type="gramEnd"/>
      <w:r w:rsidRPr="00492DE6">
        <w:t xml:space="preserve"> shall be able to control</w:t>
      </w:r>
      <w:r w:rsidRPr="00A97773">
        <w:t xml:space="preserve"> </w:t>
      </w:r>
      <w:r w:rsidRPr="00E36832">
        <w:t xml:space="preserve">choice of the ePDG </w:t>
      </w:r>
      <w:r w:rsidRPr="00492DE6">
        <w:t>by the UE</w:t>
      </w:r>
      <w:r w:rsidRPr="00A97773">
        <w:t>.</w:t>
      </w:r>
      <w:r w:rsidRPr="00E36832">
        <w:t xml:space="preserve"> In the context of</w:t>
      </w:r>
      <w:r w:rsidRPr="00492DE6">
        <w:t xml:space="preserve"> all previous discussions, it is </w:t>
      </w:r>
      <w:r w:rsidR="00B903C8">
        <w:t>required that the following are minimum requirements</w:t>
      </w:r>
      <w:r w:rsidRPr="00492DE6">
        <w:t xml:space="preserve">: </w:t>
      </w:r>
    </w:p>
    <w:p w:rsidR="003B7689" w:rsidRPr="00492DE6" w:rsidRDefault="003B7689" w:rsidP="003B7689">
      <w:pPr>
        <w:numPr>
          <w:ilvl w:val="0"/>
          <w:numId w:val="1"/>
        </w:numPr>
        <w:ind w:left="1276" w:hanging="916"/>
      </w:pPr>
      <w:r>
        <w:t xml:space="preserve">The capability of a local country to enforce LI on traffic using ePDG shall not be under the control of a foreign CSP (HPLMN). (e.g. </w:t>
      </w:r>
      <w:r w:rsidRPr="00492DE6">
        <w:t>solution where the VPLMN sends or broadcasts an indication that ePDG selection</w:t>
      </w:r>
      <w:r w:rsidRPr="00A97773">
        <w:t xml:space="preserve"> </w:t>
      </w:r>
      <w:r w:rsidRPr="00E36832">
        <w:t xml:space="preserve">shall </w:t>
      </w:r>
      <w:r w:rsidRPr="00492DE6">
        <w:t>be performed in the same country is what we need to implement (UE solution accepted unless a better network-based solution is feasible)</w:t>
      </w:r>
      <w:r>
        <w:t>)</w:t>
      </w:r>
      <w:r w:rsidRPr="00492DE6">
        <w:t>;</w:t>
      </w:r>
    </w:p>
    <w:p w:rsidR="003B7689" w:rsidRPr="00492DE6" w:rsidRDefault="003B7689" w:rsidP="003B7689">
      <w:pPr>
        <w:numPr>
          <w:ilvl w:val="0"/>
          <w:numId w:val="1"/>
        </w:numPr>
        <w:ind w:left="1276" w:hanging="916"/>
      </w:pPr>
      <w:r w:rsidRPr="00492DE6">
        <w:t>The solution shall be able to cope with temporary situations (such as terrorists acts</w:t>
      </w:r>
      <w:r w:rsidRPr="00A97773">
        <w:t xml:space="preserve">) i.e. it shall be </w:t>
      </w:r>
      <w:r w:rsidRPr="00492DE6">
        <w:t>possible to switch-on or switch-off the mandatory ePDG selection in the country the UE is located in a very short time, by configuration of the VPLMN</w:t>
      </w:r>
      <w:r>
        <w:t xml:space="preserve">(s) (The case of HPLMN has an exclusive roaming agreement with VPLMN without any ePDG but another VPLMN has an ePDG, have to be also covered in such situations) </w:t>
      </w:r>
      <w:r w:rsidRPr="00492DE6">
        <w:t>;</w:t>
      </w:r>
    </w:p>
    <w:p w:rsidR="003B7689" w:rsidRDefault="003B7689" w:rsidP="003B7689">
      <w:pPr>
        <w:numPr>
          <w:ilvl w:val="0"/>
          <w:numId w:val="1"/>
        </w:numPr>
        <w:ind w:left="1276" w:hanging="916"/>
      </w:pPr>
      <w:r w:rsidRPr="0060773D">
        <w:t>As accessing an EPC via an ePDG is a 3GPP service</w:t>
      </w:r>
      <w:r>
        <w:t>, t</w:t>
      </w:r>
      <w:r w:rsidRPr="00492DE6">
        <w:t xml:space="preserve">he VPLMN </w:t>
      </w:r>
      <w:r>
        <w:t xml:space="preserve">or a PLMN in the same country the UE is located, </w:t>
      </w:r>
      <w:r w:rsidRPr="00492DE6">
        <w:t>shall be</w:t>
      </w:r>
      <w:r w:rsidRPr="00A97773">
        <w:t xml:space="preserve"> </w:t>
      </w:r>
      <w:r w:rsidRPr="00492DE6">
        <w:t>able to</w:t>
      </w:r>
      <w:r w:rsidRPr="00A97773">
        <w:t xml:space="preserve"> </w:t>
      </w:r>
      <w:r w:rsidRPr="00E36832">
        <w:t xml:space="preserve">control the access to ePDG whether the UE is attached </w:t>
      </w:r>
      <w:r w:rsidRPr="00492DE6">
        <w:t xml:space="preserve">to 3GPP or not (e.g. UE selection past VPLMN </w:t>
      </w:r>
      <w:r>
        <w:t xml:space="preserve">information, PLMN </w:t>
      </w:r>
      <w:r w:rsidRPr="00492DE6">
        <w:t xml:space="preserve">broadcast </w:t>
      </w:r>
      <w:r>
        <w:t xml:space="preserve">information </w:t>
      </w:r>
      <w:r w:rsidRPr="00492DE6">
        <w:t>or GPS information…). Otherwise a UE accessing to WiFi with inhibition of cellular network would escape LI.</w:t>
      </w:r>
    </w:p>
    <w:p w:rsidR="003B7689" w:rsidRPr="00492DE6" w:rsidRDefault="003B7689" w:rsidP="003B7689">
      <w:pPr>
        <w:numPr>
          <w:ilvl w:val="0"/>
          <w:numId w:val="1"/>
        </w:numPr>
        <w:ind w:left="1276" w:hanging="916"/>
      </w:pPr>
      <w:r w:rsidRPr="0060773D">
        <w:t>A solution whe</w:t>
      </w:r>
      <w:r w:rsidR="00B903C8">
        <w:t>n in</w:t>
      </w:r>
      <w:r w:rsidRPr="0060773D">
        <w:t xml:space="preserve"> the VPLMN the UE is/was attached to via 3GPP access (or, in case of UE not attached to 3GPP, the PLMNs of the country where the UE is located) sends or broadcast an indication that ePDG shall be selected in the same country is what we </w:t>
      </w:r>
      <w:r>
        <w:t xml:space="preserve">may </w:t>
      </w:r>
      <w:r w:rsidRPr="0060773D">
        <w:t>need to implement;</w:t>
      </w:r>
    </w:p>
    <w:p w:rsidR="003B7689" w:rsidRPr="00492DE6" w:rsidRDefault="003B7689" w:rsidP="003B7689">
      <w:r w:rsidRPr="00492DE6">
        <w:t>For clarity, while a UE based solution</w:t>
      </w:r>
      <w:r>
        <w:t xml:space="preserve">, </w:t>
      </w:r>
      <w:r w:rsidRPr="00FB2721">
        <w:t>as a complement</w:t>
      </w:r>
      <w:r>
        <w:t>,</w:t>
      </w:r>
      <w:r w:rsidRPr="00492DE6">
        <w:t xml:space="preserve"> is acceptable if a network-based approach is not possible, a network-based approach is always preferred.</w:t>
      </w:r>
    </w:p>
    <w:p w:rsidR="003B7689" w:rsidRPr="00492DE6" w:rsidRDefault="003B7689" w:rsidP="003B7689">
      <w:pPr>
        <w:pStyle w:val="Titre1"/>
      </w:pPr>
      <w:r w:rsidRPr="00492DE6">
        <w:t>Summary and conclusion</w:t>
      </w:r>
    </w:p>
    <w:p w:rsidR="003B7689" w:rsidRPr="00492DE6" w:rsidRDefault="003B7689" w:rsidP="003B7689">
      <w:r w:rsidRPr="00492DE6">
        <w:t>LI is a national security issue. Countries cannot rely on</w:t>
      </w:r>
      <w:r w:rsidRPr="00A97773">
        <w:t xml:space="preserve"> </w:t>
      </w:r>
      <w:r w:rsidRPr="00E36832">
        <w:t xml:space="preserve">other countries to help them fulfil LI requirements. </w:t>
      </w:r>
      <w:r w:rsidRPr="00492DE6">
        <w:t>The</w:t>
      </w:r>
      <w:r w:rsidRPr="00A97773">
        <w:t xml:space="preserve"> </w:t>
      </w:r>
      <w:r w:rsidRPr="00E36832">
        <w:t>country in which the UE is physical</w:t>
      </w:r>
      <w:r w:rsidRPr="00492DE6">
        <w:t>ly located must be able to meet national regulation in isolation from any other assistance. T</w:t>
      </w:r>
      <w:r>
        <w:t>hus</w:t>
      </w:r>
      <w:r w:rsidRPr="00492DE6">
        <w:t>, the VPLMN</w:t>
      </w:r>
      <w:r>
        <w:t xml:space="preserve"> </w:t>
      </w:r>
      <w:r w:rsidRPr="0060773D">
        <w:t>(more generally the PLMNs in the country the UE is located)</w:t>
      </w:r>
      <w:r w:rsidRPr="00492DE6">
        <w:t xml:space="preserve"> must be able to</w:t>
      </w:r>
      <w:r w:rsidRPr="00A97773">
        <w:t xml:space="preserve"> </w:t>
      </w:r>
      <w:r w:rsidRPr="00E36832">
        <w:t xml:space="preserve">control </w:t>
      </w:r>
      <w:r w:rsidRPr="00492DE6">
        <w:t>the</w:t>
      </w:r>
      <w:r w:rsidRPr="00A97773">
        <w:t xml:space="preserve"> </w:t>
      </w:r>
      <w:r w:rsidRPr="00E36832">
        <w:t>ePDG selection</w:t>
      </w:r>
      <w:r>
        <w:t xml:space="preserve"> </w:t>
      </w:r>
      <w:r w:rsidRPr="00866051">
        <w:t>as described above (see Lawful Interception in the ePDG context)</w:t>
      </w:r>
      <w:r w:rsidRPr="00492DE6">
        <w:t xml:space="preserve">. The existing solution does not meet LI requirements. Only when there is no ePDG system in a country </w:t>
      </w:r>
      <w:r w:rsidRPr="00A97773">
        <w:t>that could let VPLMN ful</w:t>
      </w:r>
      <w:r w:rsidRPr="00E36832">
        <w:t>fils it</w:t>
      </w:r>
      <w:r w:rsidRPr="00492DE6">
        <w:t>s</w:t>
      </w:r>
      <w:r w:rsidRPr="00A97773">
        <w:t xml:space="preserve"> LI regulation, </w:t>
      </w:r>
      <w:r>
        <w:t xml:space="preserve">can </w:t>
      </w:r>
      <w:r w:rsidRPr="00492DE6">
        <w:t>a</w:t>
      </w:r>
      <w:r>
        <w:t>n</w:t>
      </w:r>
      <w:r w:rsidRPr="00A97773">
        <w:t xml:space="preserve"> </w:t>
      </w:r>
      <w:r w:rsidRPr="00E36832">
        <w:t>HPLMN’</w:t>
      </w:r>
      <w:r w:rsidRPr="00492DE6">
        <w:t>s</w:t>
      </w:r>
      <w:r w:rsidRPr="00A97773">
        <w:t xml:space="preserve"> </w:t>
      </w:r>
      <w:r w:rsidRPr="00E36832">
        <w:t>ePDG be used.</w:t>
      </w:r>
    </w:p>
    <w:p w:rsidR="00395006" w:rsidRPr="003B7689" w:rsidRDefault="003B7689">
      <w:pPr>
        <w:rPr>
          <w:u w:val="single"/>
        </w:rPr>
      </w:pPr>
      <w:r w:rsidRPr="00492DE6">
        <w:t xml:space="preserve">As existing standards don’t exactly meet such LI requirements, it is kindly requested that SA mandate SA2 and CT1 to </w:t>
      </w:r>
      <w:r w:rsidRPr="00492DE6">
        <w:rPr>
          <w:lang w:val="en-US"/>
        </w:rPr>
        <w:t>build upon the solution started in the CT CR</w:t>
      </w:r>
      <w:r>
        <w:rPr>
          <w:lang w:val="en-US"/>
        </w:rPr>
        <w:t xml:space="preserve"> </w:t>
      </w:r>
      <w:r w:rsidRPr="009B534F">
        <w:rPr>
          <w:lang w:val="en-US"/>
        </w:rPr>
        <w:t>(CP-150697/CR0426 to TS 24.302)</w:t>
      </w:r>
      <w:r w:rsidRPr="00492DE6">
        <w:rPr>
          <w:lang w:val="en-US"/>
        </w:rPr>
        <w:t xml:space="preserve"> and fulfill the SA3LI requirements in the liaison (as indicated in LS S3i-150344 and in UE based solutions as a complement)</w:t>
      </w:r>
      <w:r w:rsidRPr="00492DE6">
        <w:t xml:space="preserve"> change their standards to fulfil SA3LI requirements (as indicated in LS S3i-150344 and in UE based solutions as a complement) so that the VPLMN is able to control the ePDG selection for roaming users along with supporting UE based solutions in</w:t>
      </w:r>
      <w:r>
        <w:rPr>
          <w:u w:val="single"/>
        </w:rPr>
        <w:t xml:space="preserve"> </w:t>
      </w:r>
      <w:r w:rsidRPr="00492DE6">
        <w:t>order to ensure that VPLMN is able to remain in full control without HPLMN assistance or reliance on roaming agreements</w:t>
      </w:r>
      <w:bookmarkEnd w:id="1"/>
      <w:bookmarkEnd w:id="2"/>
      <w:r>
        <w:rPr>
          <w:u w:val="single"/>
        </w:rPr>
        <w:t>.</w:t>
      </w:r>
    </w:p>
    <w:sectPr w:rsidR="00395006" w:rsidRPr="003B7689" w:rsidSect="00FD5421">
      <w:headerReference w:type="even" r:id="rId7"/>
      <w:footerReference w:type="default" r:id="rId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4C6" w:rsidRDefault="00B754C6">
      <w:pPr>
        <w:spacing w:after="0"/>
      </w:pPr>
      <w:r>
        <w:separator/>
      </w:r>
    </w:p>
  </w:endnote>
  <w:endnote w:type="continuationSeparator" w:id="0">
    <w:p w:rsidR="00B754C6" w:rsidRDefault="00B754C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56" w:rsidRPr="002F785E" w:rsidRDefault="003B7689">
    <w:pPr>
      <w:framePr w:w="646" w:h="244" w:hRule="exact" w:wrap="around" w:vAnchor="text" w:hAnchor="margin" w:y="-5"/>
      <w:rPr>
        <w:rFonts w:ascii="Arial" w:hAnsi="Arial" w:cs="Arial"/>
        <w:b/>
        <w:bCs/>
        <w:i/>
        <w:iCs/>
        <w:sz w:val="18"/>
        <w:lang w:val="fr-FR"/>
      </w:rPr>
    </w:pPr>
    <w:r w:rsidRPr="002F785E">
      <w:rPr>
        <w:rFonts w:ascii="Arial" w:hAnsi="Arial" w:cs="Arial"/>
        <w:b/>
        <w:bCs/>
        <w:i/>
        <w:iCs/>
        <w:sz w:val="18"/>
        <w:lang w:val="fr-FR"/>
      </w:rPr>
      <w:t>3GPP</w:t>
    </w:r>
  </w:p>
  <w:p w:rsidR="000C4856" w:rsidRPr="002F785E" w:rsidRDefault="003B7689">
    <w:pPr>
      <w:framePr w:w="1126" w:h="244" w:hRule="exact" w:wrap="around" w:vAnchor="text" w:hAnchor="page" w:x="9631" w:y="-5"/>
      <w:rPr>
        <w:rFonts w:ascii="Arial" w:hAnsi="Arial" w:cs="Arial"/>
        <w:b/>
        <w:bCs/>
        <w:i/>
        <w:iCs/>
        <w:sz w:val="18"/>
        <w:lang w:val="fr-FR"/>
      </w:rPr>
    </w:pPr>
    <w:r w:rsidRPr="002F785E">
      <w:rPr>
        <w:rFonts w:ascii="Arial" w:hAnsi="Arial" w:cs="Arial"/>
        <w:b/>
        <w:bCs/>
        <w:i/>
        <w:iCs/>
        <w:sz w:val="18"/>
        <w:lang w:val="fr-FR"/>
      </w:rPr>
      <w:t>TSG CT/SA TD</w:t>
    </w:r>
  </w:p>
  <w:p w:rsidR="000C4856" w:rsidRPr="002F785E" w:rsidRDefault="00FD5421">
    <w:pPr>
      <w:rPr>
        <w:lang w:val="fr-FR"/>
      </w:rPr>
    </w:pPr>
    <w:r>
      <w:rPr>
        <w:noProof/>
        <w:lang w:val="fr-FR" w:eastAsia="fr-FR"/>
      </w:rPr>
      <w:pict>
        <v:shapetype id="_x0000_t202" coordsize="21600,21600" o:spt="202" path="m,l,21600r21600,l21600,xe">
          <v:stroke joinstyle="miter"/>
          <v:path gradientshapeok="t" o:connecttype="rect"/>
        </v:shapetype>
        <v:shape id="TextContentMarkingprimary" o:spid="_x0000_s4097" type="#_x0000_t202" style="position:absolute;margin-left:-56.7pt;margin-top:40.15pt;width:595.3pt;height: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" filled="f" stroked="f" strokeweight=".5pt">
          <v:path arrowok="t"/>
          <o:lock v:ext="edit" aspectratio="t"/>
          <v:textbox inset=",0,,0">
            <w:txbxContent>
              <w:p w:rsidR="00483877" w:rsidRPr="00DA475F" w:rsidRDefault="00483877" w:rsidP="00483877">
                <w:pPr>
                  <w:rPr>
                    <w:rFonts w:ascii="Arial" w:hAnsi="Arial" w:cs="Arial"/>
                    <w:sz w:val="14"/>
                  </w:rPr>
                </w:pPr>
                <w:r w:rsidRPr="00DA475F">
                  <w:rPr>
                    <w:rFonts w:ascii="Arial" w:hAnsi="Arial" w:cs="Arial"/>
                    <w:sz w:val="14"/>
                  </w:rPr>
                  <w:t>Vodafone Proprietary classified as C2 - VODAFONE RESTRICTED</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4C6" w:rsidRDefault="00B754C6">
      <w:pPr>
        <w:spacing w:after="0"/>
      </w:pPr>
      <w:r>
        <w:separator/>
      </w:r>
    </w:p>
  </w:footnote>
  <w:footnote w:type="continuationSeparator" w:id="0">
    <w:p w:rsidR="00B754C6" w:rsidRDefault="00B754C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56" w:rsidRDefault="00B754C6"/>
  <w:p w:rsidR="000C4856" w:rsidRDefault="00B754C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B2736"/>
    <w:multiLevelType w:val="hybridMultilevel"/>
    <w:tmpl w:val="9210076E"/>
    <w:lvl w:ilvl="0" w:tplc="874E2CBC">
      <w:numFmt w:val="bullet"/>
      <w:lvlText w:val="-"/>
      <w:lvlJc w:val="left"/>
      <w:pPr>
        <w:ind w:left="1665" w:hanging="13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3B7689"/>
    <w:rsid w:val="00017BBD"/>
    <w:rsid w:val="000E179D"/>
    <w:rsid w:val="003B7689"/>
    <w:rsid w:val="00483877"/>
    <w:rsid w:val="00491EB3"/>
    <w:rsid w:val="005E2D8E"/>
    <w:rsid w:val="00636DC4"/>
    <w:rsid w:val="00797B77"/>
    <w:rsid w:val="009A3AAD"/>
    <w:rsid w:val="00B754C6"/>
    <w:rsid w:val="00B903C8"/>
    <w:rsid w:val="00CF1E04"/>
    <w:rsid w:val="00DA475F"/>
    <w:rsid w:val="00DF60CB"/>
    <w:rsid w:val="00FD542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Titre1">
    <w:name w:val="heading 1"/>
    <w:next w:val="Normal"/>
    <w:link w:val="Titre1C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Titre2">
    <w:name w:val="heading 2"/>
    <w:basedOn w:val="Titre1"/>
    <w:next w:val="Normal"/>
    <w:link w:val="Titre2Car"/>
    <w:qFormat/>
    <w:rsid w:val="003B7689"/>
    <w:pPr>
      <w:pBdr>
        <w:top w:val="none" w:sz="0" w:space="0" w:color="auto"/>
      </w:pBdr>
      <w:spacing w:before="180"/>
      <w:outlineLvl w:val="1"/>
    </w:pPr>
    <w:rPr>
      <w:sz w:val="32"/>
    </w:rPr>
  </w:style>
  <w:style w:type="paragraph" w:styleId="Titre3">
    <w:name w:val="heading 3"/>
    <w:basedOn w:val="Titre2"/>
    <w:next w:val="Normal"/>
    <w:link w:val="Titre3Car"/>
    <w:qFormat/>
    <w:rsid w:val="003B7689"/>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7689"/>
    <w:rPr>
      <w:rFonts w:ascii="Arial" w:eastAsia="Times New Roman" w:hAnsi="Arial" w:cs="Times New Roman"/>
      <w:sz w:val="36"/>
      <w:szCs w:val="20"/>
      <w:lang w:val="en-GB" w:eastAsia="ja-JP"/>
    </w:rPr>
  </w:style>
  <w:style w:type="character" w:customStyle="1" w:styleId="Titre2Car">
    <w:name w:val="Titre 2 Car"/>
    <w:basedOn w:val="Policepardfaut"/>
    <w:link w:val="Titre2"/>
    <w:rsid w:val="003B7689"/>
    <w:rPr>
      <w:rFonts w:ascii="Arial" w:eastAsia="Times New Roman" w:hAnsi="Arial" w:cs="Times New Roman"/>
      <w:sz w:val="32"/>
      <w:szCs w:val="20"/>
      <w:lang w:val="en-GB" w:eastAsia="ja-JP"/>
    </w:rPr>
  </w:style>
  <w:style w:type="character" w:customStyle="1" w:styleId="Titre3Car">
    <w:name w:val="Titre 3 Car"/>
    <w:basedOn w:val="Policepardfaut"/>
    <w:link w:val="Titre3"/>
    <w:rsid w:val="003B7689"/>
    <w:rPr>
      <w:rFonts w:ascii="Arial" w:eastAsia="Times New Roman" w:hAnsi="Arial" w:cs="Times New Roman"/>
      <w:sz w:val="28"/>
      <w:szCs w:val="20"/>
      <w:lang w:val="en-GB" w:eastAsia="ja-JP"/>
    </w:rPr>
  </w:style>
  <w:style w:type="paragraph" w:styleId="En-tte">
    <w:name w:val="header"/>
    <w:basedOn w:val="Normal"/>
    <w:link w:val="En-tteCar"/>
    <w:uiPriority w:val="99"/>
    <w:unhideWhenUsed/>
    <w:rsid w:val="00B903C8"/>
    <w:pPr>
      <w:tabs>
        <w:tab w:val="center" w:pos="4513"/>
        <w:tab w:val="right" w:pos="9026"/>
      </w:tabs>
      <w:spacing w:after="0"/>
    </w:pPr>
  </w:style>
  <w:style w:type="character" w:customStyle="1" w:styleId="En-tteCar">
    <w:name w:val="En-tête Car"/>
    <w:basedOn w:val="Policepardfaut"/>
    <w:link w:val="En-tte"/>
    <w:uiPriority w:val="99"/>
    <w:rsid w:val="00B903C8"/>
    <w:rPr>
      <w:rFonts w:ascii="Times New Roman" w:eastAsia="Times New Roman" w:hAnsi="Times New Roman" w:cs="Times New Roman"/>
      <w:color w:val="000000"/>
      <w:sz w:val="20"/>
      <w:szCs w:val="20"/>
      <w:lang w:val="en-GB" w:eastAsia="ja-JP"/>
    </w:rPr>
  </w:style>
  <w:style w:type="paragraph" w:styleId="Pieddepage">
    <w:name w:val="footer"/>
    <w:basedOn w:val="Normal"/>
    <w:link w:val="PieddepageCar"/>
    <w:uiPriority w:val="99"/>
    <w:unhideWhenUsed/>
    <w:rsid w:val="00B903C8"/>
    <w:pPr>
      <w:tabs>
        <w:tab w:val="center" w:pos="4513"/>
        <w:tab w:val="right" w:pos="9026"/>
      </w:tabs>
      <w:spacing w:after="0"/>
    </w:pPr>
  </w:style>
  <w:style w:type="character" w:customStyle="1" w:styleId="PieddepageCar">
    <w:name w:val="Pied de page Car"/>
    <w:basedOn w:val="Policepardfaut"/>
    <w:link w:val="Pieddepage"/>
    <w:uiPriority w:val="99"/>
    <w:rsid w:val="00B903C8"/>
    <w:rPr>
      <w:rFonts w:ascii="Times New Roman" w:eastAsia="Times New Roma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636DC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36DC4"/>
    <w:rPr>
      <w:rFonts w:ascii="Tahoma" w:eastAsia="Times New Roman"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8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Titre1">
    <w:name w:val="heading 1"/>
    <w:next w:val="Normal"/>
    <w:link w:val="Titre1Car"/>
    <w:qFormat/>
    <w:rsid w:val="003B76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Titre2">
    <w:name w:val="heading 2"/>
    <w:basedOn w:val="Titre1"/>
    <w:next w:val="Normal"/>
    <w:link w:val="Titre2Car"/>
    <w:qFormat/>
    <w:rsid w:val="003B7689"/>
    <w:pPr>
      <w:pBdr>
        <w:top w:val="none" w:sz="0" w:space="0" w:color="auto"/>
      </w:pBdr>
      <w:spacing w:before="180"/>
      <w:outlineLvl w:val="1"/>
    </w:pPr>
    <w:rPr>
      <w:sz w:val="32"/>
    </w:rPr>
  </w:style>
  <w:style w:type="paragraph" w:styleId="Titre3">
    <w:name w:val="heading 3"/>
    <w:basedOn w:val="Titre2"/>
    <w:next w:val="Normal"/>
    <w:link w:val="Titre3Car"/>
    <w:qFormat/>
    <w:rsid w:val="003B7689"/>
    <w:pPr>
      <w:spacing w:before="120"/>
      <w:outlineLvl w:val="2"/>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7689"/>
    <w:rPr>
      <w:rFonts w:ascii="Arial" w:eastAsia="Times New Roman" w:hAnsi="Arial" w:cs="Times New Roman"/>
      <w:sz w:val="36"/>
      <w:szCs w:val="20"/>
      <w:lang w:val="en-GB" w:eastAsia="ja-JP"/>
    </w:rPr>
  </w:style>
  <w:style w:type="character" w:customStyle="1" w:styleId="Titre2Car">
    <w:name w:val="Titre 2 Car"/>
    <w:basedOn w:val="Policepardfaut"/>
    <w:link w:val="Titre2"/>
    <w:rsid w:val="003B7689"/>
    <w:rPr>
      <w:rFonts w:ascii="Arial" w:eastAsia="Times New Roman" w:hAnsi="Arial" w:cs="Times New Roman"/>
      <w:sz w:val="32"/>
      <w:szCs w:val="20"/>
      <w:lang w:val="en-GB" w:eastAsia="ja-JP"/>
    </w:rPr>
  </w:style>
  <w:style w:type="character" w:customStyle="1" w:styleId="Titre3Car">
    <w:name w:val="Titre 3 Car"/>
    <w:basedOn w:val="Policepardfaut"/>
    <w:link w:val="Titre3"/>
    <w:rsid w:val="003B7689"/>
    <w:rPr>
      <w:rFonts w:ascii="Arial" w:eastAsia="Times New Roman" w:hAnsi="Arial" w:cs="Times New Roman"/>
      <w:sz w:val="28"/>
      <w:szCs w:val="20"/>
      <w:lang w:val="en-GB" w:eastAsia="ja-JP"/>
    </w:rPr>
  </w:style>
  <w:style w:type="paragraph" w:styleId="En-tte">
    <w:name w:val="header"/>
    <w:basedOn w:val="Normal"/>
    <w:link w:val="En-tteCar"/>
    <w:uiPriority w:val="99"/>
    <w:unhideWhenUsed/>
    <w:rsid w:val="00B903C8"/>
    <w:pPr>
      <w:tabs>
        <w:tab w:val="center" w:pos="4513"/>
        <w:tab w:val="right" w:pos="9026"/>
      </w:tabs>
      <w:spacing w:after="0"/>
    </w:pPr>
  </w:style>
  <w:style w:type="character" w:customStyle="1" w:styleId="En-tteCar">
    <w:name w:val="En-tête Car"/>
    <w:basedOn w:val="Policepardfaut"/>
    <w:link w:val="En-tte"/>
    <w:uiPriority w:val="99"/>
    <w:rsid w:val="00B903C8"/>
    <w:rPr>
      <w:rFonts w:ascii="Times New Roman" w:eastAsia="Times New Roman" w:hAnsi="Times New Roman" w:cs="Times New Roman"/>
      <w:color w:val="000000"/>
      <w:sz w:val="20"/>
      <w:szCs w:val="20"/>
      <w:lang w:val="en-GB" w:eastAsia="ja-JP"/>
    </w:rPr>
  </w:style>
  <w:style w:type="paragraph" w:styleId="Pieddepage">
    <w:name w:val="footer"/>
    <w:basedOn w:val="Normal"/>
    <w:link w:val="PieddepageCar"/>
    <w:uiPriority w:val="99"/>
    <w:unhideWhenUsed/>
    <w:rsid w:val="00B903C8"/>
    <w:pPr>
      <w:tabs>
        <w:tab w:val="center" w:pos="4513"/>
        <w:tab w:val="right" w:pos="9026"/>
      </w:tabs>
      <w:spacing w:after="0"/>
    </w:pPr>
  </w:style>
  <w:style w:type="character" w:customStyle="1" w:styleId="PieddepageCar">
    <w:name w:val="Pied de page Car"/>
    <w:basedOn w:val="Policepardfaut"/>
    <w:link w:val="Pieddepage"/>
    <w:uiPriority w:val="99"/>
    <w:rsid w:val="00B903C8"/>
    <w:rPr>
      <w:rFonts w:ascii="Times New Roman" w:eastAsia="Times New Roman" w:hAnsi="Times New Roman" w:cs="Times New Roman"/>
      <w:color w:val="000000"/>
      <w:sz w:val="20"/>
      <w:szCs w:val="20"/>
      <w:lang w:val="en-GB" w:eastAsia="ja-JP"/>
    </w:rPr>
  </w:style>
  <w:style w:type="paragraph" w:styleId="Textedebulles">
    <w:name w:val="Balloon Text"/>
    <w:basedOn w:val="Normal"/>
    <w:link w:val="TextedebullesCar"/>
    <w:uiPriority w:val="99"/>
    <w:semiHidden/>
    <w:unhideWhenUsed/>
    <w:rsid w:val="00636DC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36DC4"/>
    <w:rPr>
      <w:rFonts w:ascii="Tahoma" w:eastAsia="Times New Roman"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1061</Words>
  <Characters>5836</Characters>
  <Application>Microsoft Office Word</Application>
  <DocSecurity>0</DocSecurity>
  <Lines>48</Lines>
  <Paragraphs>13</Paragraphs>
  <ScaleCrop>false</ScaleCrop>
  <HeadingPairs>
    <vt:vector size="6" baseType="variant">
      <vt:variant>
        <vt:lpstr>Titre</vt:lpstr>
      </vt:variant>
      <vt:variant>
        <vt:i4>1</vt:i4>
      </vt:variant>
      <vt:variant>
        <vt:lpstr>Titres</vt:lpstr>
      </vt:variant>
      <vt:variant>
        <vt:i4>6</vt:i4>
      </vt:variant>
      <vt:variant>
        <vt:lpstr>Title</vt:lpstr>
      </vt:variant>
      <vt:variant>
        <vt:i4>1</vt:i4>
      </vt:variant>
    </vt:vector>
  </HeadingPairs>
  <TitlesOfParts>
    <vt:vector size="8" baseType="lpstr">
      <vt:lpstr/>
      <vt:lpstr>        3GPP TSG CT/SA Meetings #70	 SP-150738 &amp; CP-150841</vt:lpstr>
      <vt:lpstr>Introduction </vt:lpstr>
      <vt:lpstr>Discussion</vt:lpstr>
      <vt:lpstr>    Lawful interception functional needs and regulatory context</vt:lpstr>
      <vt:lpstr>    Lawful interception in the ePDG context</vt:lpstr>
      <vt:lpstr>Summary and conclusion</vt:lpstr>
      <vt:lpstr/>
    </vt:vector>
  </TitlesOfParts>
  <Company>MINEFI</Company>
  <LinksUpToDate>false</LinksUpToDate>
  <CharactersWithSpaces>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COURBON Pierre</dc:creator>
  <cp:lastModifiedBy>Gendarmerie Nationale</cp:lastModifiedBy>
  <cp:revision>2</cp:revision>
  <dcterms:created xsi:type="dcterms:W3CDTF">2015-12-02T16:21:00Z</dcterms:created>
  <dcterms:modified xsi:type="dcterms:W3CDTF">2015-12-02T16:21:00Z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SIProp12DataClass+ac703b72-41a9-431d-8b65-b3fdb0750b88">
    <vt:lpwstr>v=1.2&gt;I=ac703b72-41a9-431d-8b65-b3fdb0750b88&amp;N=C2+-+VODAFONE+RESTRICTED&amp;V=1.2&amp;U=VF-ROOT%5cgmcquaid&amp;A=Associated&amp;H=False</vt:lpwstr>
  </property>
  <property fmtid="{D5CDD505-2E9C-101B-9397-08002B2CF9AE}" pid="3" name="Classification">
    <vt:lpwstr>C2 - VODAFONE RESTRICTED</vt:lpwstr>
  </property>
  <property fmtid="{D5CDD505-2E9C-101B-9397-08002B2CF9AE}" pid="4" name="_NewReviewCycle">
    <vt:lpwstr/>
  </property>
</Properties>
</file>