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SP-260067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CRs for REL-19 WI IDMS_MN_Ph3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28.312 Correction on implicit intent and PossibleImpact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S5-260075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28.312 Correct the YAML definition to align with stage2 information model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S5-260076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SP-260067</vt:lpwstr>
  </property>
  <property fmtid="{D5CDD505-2E9C-101B-9397-08002B2CF9AE}" pid="19" name="CrpackTitle">
    <vt:lpwstr>SA5 CRs for REL-19 WI IDMS_MN_Ph3</vt:lpwstr>
  </property>
  <property fmtid="{D5CDD505-2E9C-101B-9397-08002B2CF9AE}" pid="20" name="Agenda#">
    <vt:lpwstr>19.5</vt:lpwstr>
  </property>
  <property fmtid="{D5CDD505-2E9C-101B-9397-08002B2CF9AE}" pid="21" name="Source">
    <vt:lpwstr>SA WG5</vt:lpwstr>
  </property>
</Properties>
</file>