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BC7B9" w14:textId="266CB04F" w:rsidR="00795D9D" w:rsidRPr="004B7E17" w:rsidRDefault="00795D9D" w:rsidP="00795D9D">
      <w:pPr>
        <w:widowControl w:val="0"/>
        <w:tabs>
          <w:tab w:val="right" w:pos="9639"/>
          <w:tab w:val="right" w:pos="13323"/>
        </w:tabs>
        <w:spacing w:after="0"/>
        <w:jc w:val="both"/>
        <w:rPr>
          <w:rFonts w:ascii="Arial" w:hAnsi="Arial" w:cs="Arial"/>
          <w:b/>
          <w:noProof/>
          <w:sz w:val="24"/>
          <w:szCs w:val="24"/>
          <w:lang w:val="en-US" w:eastAsia="ja-JP"/>
        </w:rPr>
      </w:pPr>
      <w:bookmarkStart w:id="0" w:name="_GoBack"/>
      <w:bookmarkEnd w:id="0"/>
      <w:r>
        <w:rPr>
          <w:rFonts w:ascii="Arial" w:hAnsi="Arial" w:cs="Arial"/>
          <w:b/>
          <w:noProof/>
          <w:sz w:val="24"/>
          <w:szCs w:val="24"/>
          <w:lang w:val="en-US"/>
        </w:rPr>
        <w:t>3GPP TSG-RAN WG4 NR Ad-hoc#3</w:t>
      </w:r>
      <w:r w:rsidRPr="004B7E17">
        <w:rPr>
          <w:rFonts w:ascii="Arial" w:hAnsi="Arial" w:cs="Arial"/>
          <w:b/>
          <w:noProof/>
          <w:sz w:val="24"/>
          <w:szCs w:val="24"/>
          <w:lang w:val="en-US"/>
        </w:rPr>
        <w:tab/>
        <w:t>R4-1</w:t>
      </w:r>
      <w:r>
        <w:rPr>
          <w:rFonts w:ascii="Arial" w:hAnsi="Arial" w:cs="Arial"/>
          <w:b/>
          <w:noProof/>
          <w:sz w:val="24"/>
          <w:szCs w:val="24"/>
          <w:lang w:val="en-US"/>
        </w:rPr>
        <w:t>709745</w:t>
      </w:r>
    </w:p>
    <w:p w14:paraId="5A79E277" w14:textId="77777777" w:rsidR="00795D9D" w:rsidRDefault="00795D9D" w:rsidP="00795D9D">
      <w:pPr>
        <w:pStyle w:val="Footer"/>
        <w:jc w:val="both"/>
        <w:rPr>
          <w:i w:val="0"/>
          <w:noProof w:val="0"/>
          <w:sz w:val="24"/>
          <w:szCs w:val="24"/>
          <w:lang w:eastAsia="ja-JP"/>
        </w:rPr>
      </w:pPr>
      <w:r>
        <w:rPr>
          <w:rFonts w:eastAsia="SimSun"/>
          <w:i w:val="0"/>
          <w:noProof w:val="0"/>
          <w:sz w:val="24"/>
          <w:szCs w:val="24"/>
          <w:lang w:eastAsia="zh-CN"/>
        </w:rPr>
        <w:t>Nagoya, Japan</w:t>
      </w:r>
      <w:r>
        <w:rPr>
          <w:i w:val="0"/>
          <w:noProof w:val="0"/>
          <w:sz w:val="24"/>
          <w:szCs w:val="24"/>
          <w:lang w:eastAsia="ja-JP"/>
        </w:rPr>
        <w:t>, September 21</w:t>
      </w:r>
      <w:r w:rsidRPr="0074435C">
        <w:rPr>
          <w:i w:val="0"/>
          <w:noProof w:val="0"/>
          <w:sz w:val="24"/>
          <w:szCs w:val="24"/>
          <w:vertAlign w:val="superscript"/>
          <w:lang w:eastAsia="ja-JP"/>
        </w:rPr>
        <w:t>st</w:t>
      </w:r>
      <w:r>
        <w:rPr>
          <w:i w:val="0"/>
          <w:noProof w:val="0"/>
          <w:sz w:val="24"/>
          <w:szCs w:val="24"/>
          <w:lang w:eastAsia="ja-JP"/>
        </w:rPr>
        <w:t>-25</w:t>
      </w:r>
      <w:r w:rsidRPr="006F147E">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7</w:t>
      </w:r>
    </w:p>
    <w:p w14:paraId="2DC4E95A" w14:textId="493FDA54" w:rsidR="009C1F3F" w:rsidRPr="00F56E56" w:rsidRDefault="008209AC" w:rsidP="00AC033F">
      <w:pPr>
        <w:pStyle w:val="Header"/>
        <w:jc w:val="both"/>
        <w:rPr>
          <w:rFonts w:cs="Arial"/>
          <w:b w:val="0"/>
        </w:rPr>
      </w:pPr>
      <w:r w:rsidRPr="00E77225">
        <w:rPr>
          <w:rFonts w:cs="Courier New"/>
          <w:color w:val="FF0000"/>
          <w:sz w:val="24"/>
          <w:szCs w:val="24"/>
        </w:rPr>
        <w:t xml:space="preserve"> </w:t>
      </w:r>
    </w:p>
    <w:p w14:paraId="1C685452" w14:textId="77777777" w:rsidR="00E43D4D" w:rsidRPr="00E53F32" w:rsidRDefault="00E43D4D" w:rsidP="00AC033F">
      <w:pPr>
        <w:pStyle w:val="Footer"/>
        <w:jc w:val="both"/>
      </w:pPr>
    </w:p>
    <w:p w14:paraId="697795CB" w14:textId="675E6A2C"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795D9D">
        <w:rPr>
          <w:rFonts w:ascii="Arial" w:hAnsi="Arial"/>
          <w:sz w:val="24"/>
          <w:lang w:val="en-US"/>
        </w:rPr>
        <w:t>3.6.2</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638B645D"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B4F46">
        <w:rPr>
          <w:rFonts w:ascii="Arial" w:hAnsi="Arial"/>
          <w:sz w:val="24"/>
          <w:lang w:val="en-US"/>
        </w:rPr>
        <w:t xml:space="preserve">Importance of pre-scan to reduce </w:t>
      </w:r>
      <w:r w:rsidR="00023BF2">
        <w:rPr>
          <w:rFonts w:ascii="Arial" w:hAnsi="Arial"/>
          <w:sz w:val="24"/>
          <w:lang w:val="en-US"/>
        </w:rPr>
        <w:t xml:space="preserve">mmW </w:t>
      </w:r>
      <w:r w:rsidR="001A0187" w:rsidRPr="001A0187">
        <w:rPr>
          <w:rFonts w:ascii="Arial" w:hAnsi="Arial"/>
          <w:sz w:val="24"/>
          <w:lang w:val="en-US"/>
        </w:rPr>
        <w:t xml:space="preserve">UE </w:t>
      </w:r>
      <w:r w:rsidR="00023BF2">
        <w:rPr>
          <w:rFonts w:ascii="Arial" w:hAnsi="Arial"/>
          <w:sz w:val="24"/>
          <w:lang w:val="en-US"/>
        </w:rPr>
        <w:t xml:space="preserve">unwanted </w:t>
      </w:r>
      <w:r w:rsidR="001A0187" w:rsidRPr="001A0187">
        <w:rPr>
          <w:rFonts w:ascii="Arial" w:hAnsi="Arial"/>
          <w:sz w:val="24"/>
          <w:lang w:val="en-US"/>
        </w:rPr>
        <w:t xml:space="preserve">emissions </w:t>
      </w:r>
      <w:r w:rsidR="00692A8D" w:rsidRPr="00692A8D">
        <w:rPr>
          <w:rFonts w:ascii="Arial" w:hAnsi="Arial"/>
          <w:sz w:val="24"/>
          <w:lang w:val="en-US"/>
        </w:rPr>
        <w:t>test time</w:t>
      </w:r>
    </w:p>
    <w:p w14:paraId="0E530434" w14:textId="77777777" w:rsidR="00B3066E" w:rsidRDefault="00B3066E" w:rsidP="00B3066E">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Discussion</w:t>
      </w:r>
    </w:p>
    <w:p w14:paraId="21D509D2" w14:textId="77777777" w:rsidR="00B3066E" w:rsidRDefault="00B3066E" w:rsidP="00B3066E">
      <w:pPr>
        <w:pStyle w:val="Heading1"/>
        <w:tabs>
          <w:tab w:val="clear" w:pos="432"/>
          <w:tab w:val="num" w:pos="522"/>
        </w:tabs>
        <w:ind w:left="522" w:hanging="522"/>
        <w:jc w:val="both"/>
        <w:rPr>
          <w:lang w:val="en-US"/>
        </w:rPr>
      </w:pPr>
      <w:bookmarkStart w:id="1" w:name="_Ref463014664"/>
      <w:r>
        <w:rPr>
          <w:lang w:val="en-US"/>
        </w:rPr>
        <w:t>Introduction</w:t>
      </w:r>
      <w:bookmarkEnd w:id="1"/>
    </w:p>
    <w:p w14:paraId="04E68958" w14:textId="77777777" w:rsidR="00B3066E" w:rsidRDefault="00B3066E" w:rsidP="00B3066E">
      <w:r>
        <w:t xml:space="preserve">A </w:t>
      </w:r>
      <w:r>
        <w:rPr>
          <w:lang w:val="en-US"/>
        </w:rPr>
        <w:t>significant</w:t>
      </w:r>
      <w:r w:rsidRPr="00114F07">
        <w:rPr>
          <w:lang w:val="en-US"/>
        </w:rPr>
        <w:t xml:space="preserve"> concern </w:t>
      </w:r>
      <w:r>
        <w:rPr>
          <w:lang w:val="en-US"/>
        </w:rPr>
        <w:t xml:space="preserve">for mmW UE unwanted emission measurements </w:t>
      </w:r>
      <w:r w:rsidRPr="00114F07">
        <w:rPr>
          <w:lang w:val="en-US"/>
        </w:rPr>
        <w:t xml:space="preserve">is </w:t>
      </w:r>
      <w:r>
        <w:rPr>
          <w:lang w:val="en-US"/>
        </w:rPr>
        <w:t xml:space="preserve">impractically long test times required to measure the full frequency range in a radiated environment with respect to a TRP or maximum EIRP limit.  Unwanted emissions in this document include emissions in the Out of Band domain and in the Spurious domain. </w:t>
      </w:r>
      <w:r>
        <w:t>In the RAN4 meeting held in Berlin, contributions were presented to provide analysis on general unwanted emissions test time for mmWave UE and analysis regarding TRP measurement error for various spatial sampling grid size. The results from these contributions indicate impractical test time durations.</w:t>
      </w:r>
    </w:p>
    <w:p w14:paraId="1B2FB675" w14:textId="77777777" w:rsidR="00B3066E" w:rsidRPr="001A0187" w:rsidRDefault="00B3066E" w:rsidP="00B3066E">
      <w:r w:rsidRPr="00F86335">
        <w:t xml:space="preserve">The purpose of this </w:t>
      </w:r>
      <w:r>
        <w:t>contribution</w:t>
      </w:r>
      <w:r w:rsidRPr="00F86335">
        <w:t xml:space="preserve"> is to propose </w:t>
      </w:r>
      <w:r>
        <w:t xml:space="preserve">a </w:t>
      </w:r>
      <w:r w:rsidRPr="00F86335">
        <w:t xml:space="preserve">high-level approach for </w:t>
      </w:r>
      <w:r>
        <w:t>radiated emissions measurements to reduce the test time duration that has been documented in other submissions where TRP measurements are evaluated through the wide frequency ranges of 10 MHz up to over 100 GHz in the case of regulatory testing.  Th</w:t>
      </w:r>
      <w:r w:rsidRPr="00AD34DE">
        <w:t xml:space="preserve">is </w:t>
      </w:r>
      <w:r>
        <w:t xml:space="preserve">high-level approach identifies incremental steps leading to </w:t>
      </w:r>
      <w:r w:rsidRPr="00AD34DE">
        <w:t>TRP</w:t>
      </w:r>
      <w:r>
        <w:t xml:space="preserve"> measurements completed only at emission with amplitudes of interest relative to the intended limit.</w:t>
      </w:r>
      <w:r w:rsidRPr="00AD34DE">
        <w:t xml:space="preserve"> </w:t>
      </w:r>
      <w:r>
        <w:t>The final goal is todefine the complete procedure for spurious emissions measurements which is practical and achieves a good balance of test time vs. detailed test results.</w:t>
      </w:r>
    </w:p>
    <w:p w14:paraId="107776E8" w14:textId="77777777" w:rsidR="00B3066E" w:rsidRDefault="00B3066E" w:rsidP="00B3066E">
      <w:pPr>
        <w:pStyle w:val="Heading1"/>
        <w:tabs>
          <w:tab w:val="clear" w:pos="432"/>
          <w:tab w:val="num" w:pos="522"/>
        </w:tabs>
        <w:ind w:left="522" w:hanging="522"/>
        <w:jc w:val="both"/>
        <w:rPr>
          <w:lang w:val="en-US"/>
        </w:rPr>
      </w:pPr>
      <w:r>
        <w:rPr>
          <w:lang w:val="en-US"/>
        </w:rPr>
        <w:t>Discussion</w:t>
      </w:r>
    </w:p>
    <w:p w14:paraId="521951EF" w14:textId="77777777" w:rsidR="00B3066E" w:rsidRDefault="00B3066E" w:rsidP="00B3066E">
      <w:pPr>
        <w:autoSpaceDE w:val="0"/>
        <w:autoSpaceDN w:val="0"/>
        <w:adjustRightInd w:val="0"/>
      </w:pPr>
      <w:r w:rsidRPr="00F86335">
        <w:t xml:space="preserve">Currently there are no industry measurement procedures defined for </w:t>
      </w:r>
      <w:r>
        <w:t xml:space="preserve">radiated </w:t>
      </w:r>
      <w:r w:rsidRPr="00F86335">
        <w:t>spurious emission measurements</w:t>
      </w:r>
      <w:r>
        <w:t xml:space="preserve"> evaluated to a TRP limit</w:t>
      </w:r>
      <w:r w:rsidRPr="00F86335">
        <w:t>.</w:t>
      </w:r>
      <w:r>
        <w:t xml:space="preserve">  Recent 3GPP contributions (references those below) highlight that completing TRP testing of the full frequency range can take many weeks of measurement time which is impractical for compliance testing.</w:t>
      </w:r>
    </w:p>
    <w:p w14:paraId="30692BBF" w14:textId="77777777" w:rsidR="00B3066E" w:rsidRDefault="00B3066E" w:rsidP="00B3066E">
      <w:pPr>
        <w:jc w:val="both"/>
      </w:pPr>
      <w:r>
        <w:t xml:space="preserve">A proposal to use -13dBm/MHz TRP requirement was originally presented in </w:t>
      </w:r>
      <w:r>
        <w:fldChar w:fldCharType="begin"/>
      </w:r>
      <w:r>
        <w:instrText xml:space="preserve"> REF _Ref491867784 \r \h </w:instrText>
      </w:r>
      <w:r>
        <w:fldChar w:fldCharType="separate"/>
      </w:r>
      <w:r>
        <w:t>[1]</w:t>
      </w:r>
      <w:r>
        <w:fldChar w:fldCharType="end"/>
      </w:r>
      <w:r>
        <w:t xml:space="preserve"> and based on RAN4 discussions a decision was made to adopt a spurious emissions TRP limit of -13dBm/MHz.</w:t>
      </w:r>
      <w:r>
        <w:rPr>
          <w:lang w:val="en-US"/>
        </w:rPr>
        <w:t xml:space="preserve">  RAN</w:t>
      </w:r>
      <w:r w:rsidRPr="00114F07">
        <w:rPr>
          <w:lang w:val="en-US"/>
        </w:rPr>
        <w:t xml:space="preserve">4 </w:t>
      </w:r>
      <w:r>
        <w:rPr>
          <w:lang w:val="en-US"/>
        </w:rPr>
        <w:t>WG4</w:t>
      </w:r>
      <w:r w:rsidRPr="00114F07">
        <w:rPr>
          <w:lang w:val="en-US"/>
        </w:rPr>
        <w:t>#84</w:t>
      </w:r>
      <w:r>
        <w:rPr>
          <w:lang w:val="en-US"/>
        </w:rPr>
        <w:t xml:space="preserve"> contribution</w:t>
      </w:r>
      <w:r>
        <w:t xml:space="preserve"> </w:t>
      </w:r>
      <w:r>
        <w:fldChar w:fldCharType="begin"/>
      </w:r>
      <w:r>
        <w:instrText xml:space="preserve"> REF _Ref491867784 \r \h </w:instrText>
      </w:r>
      <w:r>
        <w:fldChar w:fldCharType="separate"/>
      </w:r>
      <w:r>
        <w:t>[2]</w:t>
      </w:r>
      <w:r>
        <w:fldChar w:fldCharType="end"/>
      </w:r>
      <w:r>
        <w:t xml:space="preserve"> </w:t>
      </w:r>
      <w:r w:rsidRPr="00114F07">
        <w:rPr>
          <w:lang w:val="en-US"/>
        </w:rPr>
        <w:t>highlight</w:t>
      </w:r>
      <w:r>
        <w:rPr>
          <w:lang w:val="en-US"/>
        </w:rPr>
        <w:t>s</w:t>
      </w:r>
      <w:r w:rsidRPr="00114F07">
        <w:rPr>
          <w:lang w:val="en-US"/>
        </w:rPr>
        <w:t xml:space="preserve"> </w:t>
      </w:r>
      <w:r>
        <w:rPr>
          <w:lang w:val="en-US"/>
        </w:rPr>
        <w:t xml:space="preserve">that </w:t>
      </w:r>
      <w:r w:rsidRPr="00114F07">
        <w:rPr>
          <w:lang w:val="en-US"/>
        </w:rPr>
        <w:t>spurious emission measurement test time</w:t>
      </w:r>
      <w:r>
        <w:rPr>
          <w:lang w:val="en-US"/>
        </w:rPr>
        <w:t xml:space="preserve">s require impractical durations exceeding </w:t>
      </w:r>
      <w:r w:rsidRPr="00114F07">
        <w:rPr>
          <w:lang w:val="en-US"/>
        </w:rPr>
        <w:t>days</w:t>
      </w:r>
      <w:r>
        <w:rPr>
          <w:lang w:val="en-US"/>
        </w:rPr>
        <w:t xml:space="preserve"> or weeks of testing.  Another RAN</w:t>
      </w:r>
      <w:r w:rsidRPr="00114F07">
        <w:rPr>
          <w:lang w:val="en-US"/>
        </w:rPr>
        <w:t xml:space="preserve">4 </w:t>
      </w:r>
      <w:r>
        <w:rPr>
          <w:lang w:val="en-US"/>
        </w:rPr>
        <w:t>WG4</w:t>
      </w:r>
      <w:r w:rsidRPr="00114F07">
        <w:rPr>
          <w:lang w:val="en-US"/>
        </w:rPr>
        <w:t>#84</w:t>
      </w:r>
      <w:r>
        <w:rPr>
          <w:lang w:val="en-US"/>
        </w:rPr>
        <w:t xml:space="preserve"> contribution </w:t>
      </w:r>
      <w:r>
        <w:fldChar w:fldCharType="begin"/>
      </w:r>
      <w:r>
        <w:instrText xml:space="preserve"> REF _Ref491867784 \r \h </w:instrText>
      </w:r>
      <w:r>
        <w:fldChar w:fldCharType="separate"/>
      </w:r>
      <w:r>
        <w:t>[3]</w:t>
      </w:r>
      <w:r>
        <w:fldChar w:fldCharType="end"/>
      </w:r>
      <w:r>
        <w:t xml:space="preserve"> provides analysis on test time and optimization using various spatial sampling grid sizes.  </w:t>
      </w:r>
    </w:p>
    <w:p w14:paraId="4DC003C5" w14:textId="200BEB18" w:rsidR="00B3066E" w:rsidRDefault="00B3066E" w:rsidP="00B3066E">
      <w:pPr>
        <w:jc w:val="both"/>
        <w:rPr>
          <w:lang w:val="en-US"/>
        </w:rPr>
      </w:pPr>
      <w:r>
        <w:t xml:space="preserve">The </w:t>
      </w:r>
      <w:r w:rsidRPr="00114F07">
        <w:rPr>
          <w:lang w:val="en-US"/>
        </w:rPr>
        <w:t xml:space="preserve">primary </w:t>
      </w:r>
      <w:r>
        <w:rPr>
          <w:lang w:val="en-US"/>
        </w:rPr>
        <w:t>factor driving impractical test times</w:t>
      </w:r>
      <w:r w:rsidRPr="00114F07">
        <w:rPr>
          <w:lang w:val="en-US"/>
        </w:rPr>
        <w:t xml:space="preserve"> </w:t>
      </w:r>
      <w:r>
        <w:rPr>
          <w:lang w:val="en-US"/>
        </w:rPr>
        <w:t xml:space="preserve">for spurious emissions measurements times is due to the </w:t>
      </w:r>
      <w:r w:rsidRPr="00B30193">
        <w:rPr>
          <w:i/>
          <w:lang w:val="en-US"/>
        </w:rPr>
        <w:t>“full frequency range”</w:t>
      </w:r>
      <w:r>
        <w:rPr>
          <w:lang w:val="en-US"/>
        </w:rPr>
        <w:t xml:space="preserve"> in radiated environment regardless of spectrum content.  A more practical approach is to achieve test time reduction by only completing TRP measurements at frequencies with an emission of interest identified in a radiated emission pre</w:t>
      </w:r>
      <w:r w:rsidR="00C40CE8">
        <w:rPr>
          <w:lang w:val="en-US"/>
        </w:rPr>
        <w:t>-</w:t>
      </w:r>
      <w:r>
        <w:rPr>
          <w:lang w:val="en-US"/>
        </w:rPr>
        <w:t>scan.  Frequencies identified as noise floor or having significant margin to the applicable TRP limit are excluded from a time consuming TRP measurement.</w:t>
      </w:r>
    </w:p>
    <w:p w14:paraId="5A5D7E0C" w14:textId="77777777" w:rsidR="00B3066E" w:rsidRPr="00FD05E8" w:rsidRDefault="00B3066E" w:rsidP="00B3066E">
      <w:pPr>
        <w:jc w:val="both"/>
        <w:rPr>
          <w:lang w:val="en-US"/>
        </w:rPr>
      </w:pPr>
      <w:r>
        <w:rPr>
          <w:lang w:val="en-US"/>
        </w:rPr>
        <w:t>Based on this basic idea, a h</w:t>
      </w:r>
      <w:r w:rsidRPr="00FD05E8">
        <w:rPr>
          <w:lang w:val="en-US"/>
        </w:rPr>
        <w:t xml:space="preserve">igh-level procedure for </w:t>
      </w:r>
      <w:r>
        <w:rPr>
          <w:lang w:val="en-US"/>
        </w:rPr>
        <w:t xml:space="preserve">mmW UE unwanted </w:t>
      </w:r>
      <w:r w:rsidRPr="00FD05E8">
        <w:rPr>
          <w:lang w:val="en-US"/>
        </w:rPr>
        <w:t xml:space="preserve">emissions tests is </w:t>
      </w:r>
      <w:r>
        <w:rPr>
          <w:lang w:val="en-US"/>
        </w:rPr>
        <w:t>proposed be</w:t>
      </w:r>
      <w:r w:rsidRPr="00FD05E8">
        <w:rPr>
          <w:lang w:val="en-US"/>
        </w:rPr>
        <w:t>low:</w:t>
      </w:r>
    </w:p>
    <w:p w14:paraId="4FB97843" w14:textId="77777777" w:rsidR="00B3066E" w:rsidRDefault="00B3066E" w:rsidP="00B3066E">
      <w:pPr>
        <w:pStyle w:val="U-Bullet"/>
        <w:rPr>
          <w:sz w:val="20"/>
        </w:rPr>
      </w:pPr>
      <w:r w:rsidRPr="00FD05E8">
        <w:rPr>
          <w:b/>
          <w:sz w:val="20"/>
        </w:rPr>
        <w:t>Step 1: Pre-scan</w:t>
      </w:r>
      <w:r>
        <w:rPr>
          <w:sz w:val="20"/>
        </w:rPr>
        <w:t xml:space="preserve">: Pre-scan across the full measurement range of frequencies using a handheld probe, antenna, or alternate suitable method to identify the unwanted emissions frequencies radiating from the device.  Alternate methods could include measuring at a closer distance in near field for purposes of identifying a list of radiated emission frequencies which are within a determined margin of the applicable TRP limit. This pre-scanning step across full measurement range of frequencies is an important step to eliminate performing measurements on frequencies with no emissions of interest. This pre-scan step anticipated total test time can be in the order of few hours (including calibration, set up, test time, recording results). </w:t>
      </w:r>
      <w:r w:rsidRPr="00B30193">
        <w:rPr>
          <w:sz w:val="20"/>
        </w:rPr>
        <w:t xml:space="preserve"> </w:t>
      </w:r>
      <w:r>
        <w:rPr>
          <w:sz w:val="20"/>
        </w:rPr>
        <w:t>After the pre-scan, conventional radiated measurements must be competed for an absolute emission level result on the limited number of frequencies identified in pre-scan.</w:t>
      </w:r>
    </w:p>
    <w:p w14:paraId="19477D61" w14:textId="77777777" w:rsidR="00B3066E" w:rsidRPr="0080022F" w:rsidRDefault="00B3066E" w:rsidP="00B3066E">
      <w:pPr>
        <w:pStyle w:val="U-Bullet"/>
        <w:rPr>
          <w:sz w:val="20"/>
        </w:rPr>
      </w:pPr>
      <w:r w:rsidRPr="0080022F">
        <w:rPr>
          <w:b/>
          <w:sz w:val="20"/>
        </w:rPr>
        <w:t>Step 2</w:t>
      </w:r>
      <w:r w:rsidRPr="0080022F">
        <w:rPr>
          <w:sz w:val="20"/>
        </w:rPr>
        <w:t xml:space="preserve">: </w:t>
      </w:r>
      <w:r w:rsidRPr="0080022F">
        <w:rPr>
          <w:b/>
          <w:sz w:val="20"/>
        </w:rPr>
        <w:t>Maximum EIRP</w:t>
      </w:r>
      <w:r>
        <w:rPr>
          <w:b/>
          <w:sz w:val="20"/>
        </w:rPr>
        <w:t xml:space="preserve"> and/or TRP </w:t>
      </w:r>
      <w:r w:rsidRPr="0080022F">
        <w:rPr>
          <w:b/>
          <w:sz w:val="20"/>
        </w:rPr>
        <w:t>at a defined measurement distance</w:t>
      </w:r>
      <w:r w:rsidRPr="0080022F">
        <w:rPr>
          <w:sz w:val="20"/>
        </w:rPr>
        <w:t xml:space="preserve">: For each of the emission frequency identified in pre-scan </w:t>
      </w:r>
      <w:r w:rsidRPr="0080022F">
        <w:rPr>
          <w:sz w:val="20"/>
          <w:lang w:val="en-GB"/>
        </w:rPr>
        <w:t xml:space="preserve">Step 1, measure maximum EIRP referred to as Max EIRP(Ө,ɸ) at a formally defined measurement distance. </w:t>
      </w:r>
    </w:p>
    <w:p w14:paraId="66A1C050" w14:textId="77777777" w:rsidR="00B3066E" w:rsidRPr="00A63A78" w:rsidRDefault="00B3066E" w:rsidP="00B3066E">
      <w:pPr>
        <w:pStyle w:val="U2-Bullet2"/>
        <w:rPr>
          <w:sz w:val="20"/>
        </w:rPr>
      </w:pPr>
      <w:r w:rsidRPr="00A63A78">
        <w:rPr>
          <w:sz w:val="20"/>
        </w:rPr>
        <w:lastRenderedPageBreak/>
        <w:t xml:space="preserve">If the measured Max EIRP(Ө,ɸ) emission &lt; emission TRP limit, then conclude that the particular emission is complaint. No further testing is required at that emission frequency. This approach is important as it </w:t>
      </w:r>
      <w:r>
        <w:rPr>
          <w:sz w:val="20"/>
        </w:rPr>
        <w:t xml:space="preserve">may </w:t>
      </w:r>
      <w:r w:rsidRPr="00A63A78">
        <w:rPr>
          <w:sz w:val="20"/>
        </w:rPr>
        <w:t xml:space="preserve">further </w:t>
      </w:r>
      <w:r>
        <w:rPr>
          <w:sz w:val="20"/>
        </w:rPr>
        <w:t>minimize</w:t>
      </w:r>
      <w:r w:rsidRPr="00A63A78">
        <w:rPr>
          <w:sz w:val="20"/>
        </w:rPr>
        <w:t xml:space="preserve"> the need to perform time intensive TRP procedures. </w:t>
      </w:r>
    </w:p>
    <w:p w14:paraId="665BA13D" w14:textId="77777777" w:rsidR="00B3066E" w:rsidRPr="00DA6E39" w:rsidRDefault="00B3066E" w:rsidP="00B3066E">
      <w:pPr>
        <w:pStyle w:val="U2-Bullet2"/>
        <w:rPr>
          <w:sz w:val="20"/>
        </w:rPr>
      </w:pPr>
      <w:r w:rsidRPr="00A63A78">
        <w:rPr>
          <w:sz w:val="20"/>
        </w:rPr>
        <w:t xml:space="preserve">If the </w:t>
      </w:r>
      <w:r>
        <w:rPr>
          <w:sz w:val="20"/>
        </w:rPr>
        <w:t>measured</w:t>
      </w:r>
      <w:r w:rsidRPr="00A63A78">
        <w:rPr>
          <w:sz w:val="20"/>
        </w:rPr>
        <w:t xml:space="preserve"> Max EIRP(Ө,ɸ) &gt;= emission TRP limit, then </w:t>
      </w:r>
      <w:r>
        <w:rPr>
          <w:sz w:val="20"/>
        </w:rPr>
        <w:t>measure/report TRP</w:t>
      </w:r>
      <w:r w:rsidRPr="00A63A78">
        <w:rPr>
          <w:sz w:val="20"/>
        </w:rPr>
        <w:t xml:space="preserve">. </w:t>
      </w:r>
      <w:r w:rsidRPr="00DA6E39">
        <w:rPr>
          <w:sz w:val="20"/>
        </w:rPr>
        <w:t xml:space="preserve">Various chamber types like anechoic, </w:t>
      </w:r>
      <w:r>
        <w:rPr>
          <w:sz w:val="20"/>
        </w:rPr>
        <w:t>CATR</w:t>
      </w:r>
      <w:r w:rsidRPr="00DA6E39">
        <w:rPr>
          <w:sz w:val="20"/>
        </w:rPr>
        <w:t>, reverberation chamber</w:t>
      </w:r>
      <w:r>
        <w:rPr>
          <w:sz w:val="20"/>
        </w:rPr>
        <w:t xml:space="preserve"> and</w:t>
      </w:r>
      <w:r w:rsidRPr="00DA6E39">
        <w:rPr>
          <w:sz w:val="20"/>
        </w:rPr>
        <w:t xml:space="preserve"> measurement methods may be considered to </w:t>
      </w:r>
      <w:r>
        <w:rPr>
          <w:sz w:val="20"/>
        </w:rPr>
        <w:t xml:space="preserve">further </w:t>
      </w:r>
      <w:r w:rsidRPr="00DA6E39">
        <w:rPr>
          <w:sz w:val="20"/>
        </w:rPr>
        <w:t xml:space="preserve">optimize TRP measurement test time (outside the scope of this contribution).  </w:t>
      </w:r>
    </w:p>
    <w:p w14:paraId="64459BBE" w14:textId="77777777" w:rsidR="00B3066E" w:rsidRDefault="00B3066E" w:rsidP="00B3066E">
      <w:pPr>
        <w:rPr>
          <w:b/>
          <w:i/>
        </w:rPr>
      </w:pPr>
    </w:p>
    <w:p w14:paraId="5D74A828" w14:textId="77777777" w:rsidR="00B3066E" w:rsidRDefault="00B3066E" w:rsidP="00B3066E">
      <w:pPr>
        <w:rPr>
          <w:b/>
          <w:i/>
        </w:rPr>
      </w:pPr>
      <w:r w:rsidRPr="00BC6ED6">
        <w:rPr>
          <w:b/>
          <w:i/>
        </w:rPr>
        <w:t>Observation 1</w:t>
      </w:r>
      <w:r>
        <w:rPr>
          <w:b/>
          <w:i/>
        </w:rPr>
        <w:t>: TRP measurements over full frequency range may not be required. Further most emissions at their peak are expected to be lower than the TRP limit. The Pre-scan procedures eliminate need for formal EIRP and/or TRP measurements of noise floor and low power emissions. Thus Pre-scan procedures and peak EIRP measurements are key aspects to achieve test time reduction. Approach proposed in this contribution can significantly reduce the total test time down to few hours compared to few days of testing if measuring TRP across full frequency range.</w:t>
      </w:r>
    </w:p>
    <w:p w14:paraId="5F63E218" w14:textId="77777777" w:rsidR="00B3066E" w:rsidRDefault="00B3066E" w:rsidP="00B3066E">
      <w:pPr>
        <w:rPr>
          <w:b/>
          <w:i/>
        </w:rPr>
      </w:pPr>
      <w:r>
        <w:rPr>
          <w:b/>
          <w:i/>
        </w:rPr>
        <w:t xml:space="preserve">Observation 2: </w:t>
      </w:r>
      <w:r w:rsidRPr="003B4F6C">
        <w:rPr>
          <w:b/>
          <w:i/>
        </w:rPr>
        <w:t>There is a need to identify accep</w:t>
      </w:r>
      <w:r>
        <w:rPr>
          <w:b/>
          <w:i/>
        </w:rPr>
        <w:t>table measurement uncertainty, TRP error so that suitable measurement chamber type and sampling grid size (sparse vs. dense) may</w:t>
      </w:r>
      <w:r w:rsidRPr="003B4F6C">
        <w:rPr>
          <w:b/>
          <w:i/>
        </w:rPr>
        <w:t xml:space="preserve"> be chosen.</w:t>
      </w:r>
    </w:p>
    <w:p w14:paraId="15E58B36" w14:textId="77777777" w:rsidR="00B3066E" w:rsidRDefault="00B3066E" w:rsidP="00B3066E">
      <w:pPr>
        <w:rPr>
          <w:b/>
          <w:i/>
        </w:rPr>
      </w:pPr>
    </w:p>
    <w:p w14:paraId="221A5DF3" w14:textId="77777777" w:rsidR="00B3066E" w:rsidRPr="004640B1" w:rsidRDefault="00B3066E" w:rsidP="00B3066E">
      <w:pPr>
        <w:rPr>
          <w:b/>
          <w:i/>
        </w:rPr>
      </w:pPr>
      <w:r w:rsidRPr="004640B1">
        <w:rPr>
          <w:b/>
          <w:i/>
        </w:rPr>
        <w:t>Proposal 1:</w:t>
      </w:r>
      <w:r>
        <w:rPr>
          <w:b/>
          <w:i/>
        </w:rPr>
        <w:t xml:space="preserve"> Adapt a three-step measurement procedure like what is proposed in this contribution to achieve test time reduction of unwanted emissions measurement for a mmWave capable UE.</w:t>
      </w:r>
    </w:p>
    <w:p w14:paraId="68930A1E" w14:textId="77777777" w:rsidR="00B3066E" w:rsidRPr="00BC6ED6" w:rsidRDefault="00B3066E" w:rsidP="00B3066E"/>
    <w:p w14:paraId="6BF80EBE" w14:textId="77777777" w:rsidR="00B3066E" w:rsidRDefault="00B3066E" w:rsidP="00B3066E">
      <w:pPr>
        <w:pStyle w:val="Heading1"/>
        <w:numPr>
          <w:ilvl w:val="0"/>
          <w:numId w:val="0"/>
        </w:numPr>
        <w:tabs>
          <w:tab w:val="num" w:pos="432"/>
        </w:tabs>
        <w:ind w:left="432" w:hanging="432"/>
        <w:jc w:val="both"/>
        <w:rPr>
          <w:lang w:val="en-US"/>
        </w:rPr>
      </w:pPr>
      <w:r>
        <w:rPr>
          <w:lang w:val="en-US"/>
        </w:rPr>
        <w:t>Conclusions</w:t>
      </w:r>
    </w:p>
    <w:p w14:paraId="265A73CE" w14:textId="77777777" w:rsidR="00B3066E" w:rsidRPr="003B4F6C" w:rsidRDefault="00B3066E" w:rsidP="00B3066E">
      <w:pPr>
        <w:jc w:val="both"/>
        <w:rPr>
          <w:lang w:val="en-US"/>
        </w:rPr>
      </w:pPr>
      <w:r w:rsidRPr="003B4F6C">
        <w:rPr>
          <w:lang w:val="en-US"/>
        </w:rPr>
        <w:t xml:space="preserve">For mmW UE unwanted emissions, the test procedures should </w:t>
      </w:r>
      <w:r>
        <w:rPr>
          <w:lang w:val="en-US"/>
        </w:rPr>
        <w:t>leverage</w:t>
      </w:r>
      <w:r w:rsidRPr="003B4F6C">
        <w:rPr>
          <w:lang w:val="en-US"/>
        </w:rPr>
        <w:t xml:space="preserve"> Pre-scan and Maximum EIRP measurement </w:t>
      </w:r>
      <w:r>
        <w:rPr>
          <w:lang w:val="en-US"/>
        </w:rPr>
        <w:t xml:space="preserve">procedures to </w:t>
      </w:r>
      <w:r w:rsidRPr="003B4F6C">
        <w:rPr>
          <w:lang w:val="en-US"/>
        </w:rPr>
        <w:t>reduce test time.</w:t>
      </w:r>
    </w:p>
    <w:p w14:paraId="77196526" w14:textId="77777777" w:rsidR="00B3066E" w:rsidRDefault="00B3066E" w:rsidP="00B3066E">
      <w:pPr>
        <w:pStyle w:val="Heading1"/>
        <w:numPr>
          <w:ilvl w:val="0"/>
          <w:numId w:val="0"/>
        </w:numPr>
        <w:tabs>
          <w:tab w:val="num" w:pos="432"/>
        </w:tabs>
        <w:ind w:left="432" w:hanging="432"/>
        <w:jc w:val="both"/>
        <w:rPr>
          <w:lang w:val="en-US"/>
        </w:rPr>
      </w:pPr>
      <w:r>
        <w:rPr>
          <w:lang w:val="en-US"/>
        </w:rPr>
        <w:t>Reference</w:t>
      </w:r>
    </w:p>
    <w:p w14:paraId="244A4F4E" w14:textId="77777777" w:rsidR="00B3066E" w:rsidRDefault="00B3066E" w:rsidP="00B3066E">
      <w:pPr>
        <w:pStyle w:val="ListParagraph"/>
        <w:numPr>
          <w:ilvl w:val="0"/>
          <w:numId w:val="2"/>
        </w:numPr>
        <w:jc w:val="both"/>
        <w:rPr>
          <w:lang w:val="en-US"/>
        </w:rPr>
      </w:pPr>
      <w:bookmarkStart w:id="2" w:name="_Ref491867784"/>
      <w:bookmarkStart w:id="3" w:name="_Ref490059126"/>
      <w:bookmarkStart w:id="4" w:name="_Ref481663184"/>
      <w:bookmarkStart w:id="5" w:name="_Ref473813022"/>
      <w:bookmarkStart w:id="6" w:name="_Ref465947019"/>
      <w:bookmarkStart w:id="7" w:name="_Ref489521996"/>
      <w:r w:rsidRPr="00686416">
        <w:rPr>
          <w:lang w:val="en-US"/>
        </w:rPr>
        <w:t>R4-1700097</w:t>
      </w:r>
      <w:r>
        <w:rPr>
          <w:lang w:val="en-US"/>
        </w:rPr>
        <w:t>, “</w:t>
      </w:r>
      <w:r w:rsidRPr="00686416">
        <w:rPr>
          <w:lang w:val="en-US"/>
        </w:rPr>
        <w:t>Spurious emissions for mmWave</w:t>
      </w:r>
      <w:r>
        <w:rPr>
          <w:lang w:val="en-US"/>
        </w:rPr>
        <w:t>”, Qualcomm Incorporated.</w:t>
      </w:r>
      <w:bookmarkEnd w:id="2"/>
    </w:p>
    <w:p w14:paraId="51D11769" w14:textId="77777777" w:rsidR="00B3066E" w:rsidRPr="00114F07" w:rsidRDefault="00710576" w:rsidP="00B3066E">
      <w:pPr>
        <w:pStyle w:val="ListParagraph"/>
        <w:numPr>
          <w:ilvl w:val="0"/>
          <w:numId w:val="2"/>
        </w:numPr>
        <w:rPr>
          <w:lang w:val="en-US"/>
        </w:rPr>
      </w:pPr>
      <w:hyperlink r:id="rId8" w:history="1">
        <w:r w:rsidR="00B3066E" w:rsidRPr="00114F07">
          <w:rPr>
            <w:lang w:val="en-US"/>
          </w:rPr>
          <w:t>R4-1707219</w:t>
        </w:r>
      </w:hyperlink>
      <w:r w:rsidR="00B3066E">
        <w:rPr>
          <w:lang w:val="en-US"/>
        </w:rPr>
        <w:t>,</w:t>
      </w:r>
      <w:r w:rsidR="00B3066E" w:rsidRPr="00114F07">
        <w:rPr>
          <w:lang w:val="en-US"/>
        </w:rPr>
        <w:t xml:space="preserve"> </w:t>
      </w:r>
      <w:r w:rsidR="00B3066E">
        <w:rPr>
          <w:lang w:val="en-US"/>
        </w:rPr>
        <w:t>“</w:t>
      </w:r>
      <w:r w:rsidR="00B3066E" w:rsidRPr="00114F07">
        <w:rPr>
          <w:lang w:val="en-US"/>
        </w:rPr>
        <w:t>Estimation of general spurious emission test time for mmWave UE</w:t>
      </w:r>
      <w:r w:rsidR="00B3066E">
        <w:rPr>
          <w:lang w:val="en-US"/>
        </w:rPr>
        <w:t>”, Anritsu</w:t>
      </w:r>
    </w:p>
    <w:p w14:paraId="5D7BFA33" w14:textId="77777777" w:rsidR="00B3066E" w:rsidRPr="003B4F6C" w:rsidRDefault="00710576" w:rsidP="00B3066E">
      <w:pPr>
        <w:pStyle w:val="ListParagraph"/>
        <w:numPr>
          <w:ilvl w:val="0"/>
          <w:numId w:val="2"/>
        </w:numPr>
        <w:jc w:val="both"/>
        <w:rPr>
          <w:lang w:val="en-US"/>
        </w:rPr>
      </w:pPr>
      <w:hyperlink r:id="rId9" w:history="1">
        <w:r w:rsidR="00B3066E" w:rsidRPr="00114F07">
          <w:rPr>
            <w:lang w:val="en-US"/>
          </w:rPr>
          <w:t>R4-1707315</w:t>
        </w:r>
      </w:hyperlink>
      <w:r w:rsidR="00B3066E">
        <w:rPr>
          <w:lang w:val="en-US"/>
        </w:rPr>
        <w:t>,</w:t>
      </w:r>
      <w:r w:rsidR="00B3066E" w:rsidRPr="00114F07">
        <w:rPr>
          <w:lang w:val="en-US"/>
        </w:rPr>
        <w:t xml:space="preserve"> </w:t>
      </w:r>
      <w:r w:rsidR="00B3066E">
        <w:rPr>
          <w:lang w:val="en-US"/>
        </w:rPr>
        <w:t>“</w:t>
      </w:r>
      <w:r w:rsidR="00B3066E" w:rsidRPr="00114F07">
        <w:rPr>
          <w:lang w:val="en-US"/>
        </w:rPr>
        <w:t>On UE EiRP measurements grid at &gt; 6 GHz</w:t>
      </w:r>
      <w:r w:rsidR="00B3066E">
        <w:rPr>
          <w:lang w:val="en-US"/>
        </w:rPr>
        <w:t>”, Sony Mobil</w:t>
      </w:r>
      <w:bookmarkEnd w:id="3"/>
      <w:bookmarkEnd w:id="4"/>
      <w:bookmarkEnd w:id="5"/>
      <w:bookmarkEnd w:id="6"/>
      <w:bookmarkEnd w:id="7"/>
      <w:r w:rsidR="00B3066E">
        <w:rPr>
          <w:lang w:val="en-US"/>
        </w:rPr>
        <w:t>e</w:t>
      </w:r>
    </w:p>
    <w:p w14:paraId="759626EA" w14:textId="77777777" w:rsidR="00B3066E" w:rsidRDefault="00B3066E" w:rsidP="00AC033F">
      <w:pPr>
        <w:tabs>
          <w:tab w:val="left" w:pos="1985"/>
        </w:tabs>
        <w:ind w:left="1980" w:hanging="1980"/>
        <w:jc w:val="both"/>
        <w:rPr>
          <w:rFonts w:ascii="Arial" w:hAnsi="Arial"/>
          <w:sz w:val="24"/>
          <w:lang w:val="en-US"/>
        </w:rPr>
      </w:pPr>
    </w:p>
    <w:sectPr w:rsidR="00B3066E"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42A8A" w14:textId="77777777" w:rsidR="00710576" w:rsidRDefault="00710576">
      <w:r>
        <w:separator/>
      </w:r>
    </w:p>
  </w:endnote>
  <w:endnote w:type="continuationSeparator" w:id="0">
    <w:p w14:paraId="5F7406FF" w14:textId="77777777" w:rsidR="00710576" w:rsidRDefault="0071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游ゴシック"/>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916444" w:rsidRDefault="009164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16444" w:rsidRDefault="00916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65F218DE" w:rsidR="00916444" w:rsidRDefault="009164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D41CC">
      <w:rPr>
        <w:rStyle w:val="PageNumber"/>
      </w:rPr>
      <w:t>2</w:t>
    </w:r>
    <w:r>
      <w:rPr>
        <w:rStyle w:val="PageNumber"/>
      </w:rPr>
      <w:fldChar w:fldCharType="end"/>
    </w:r>
  </w:p>
  <w:p w14:paraId="40DAC66D" w14:textId="77777777" w:rsidR="00916444" w:rsidRDefault="009164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61188" w14:textId="77777777" w:rsidR="00710576" w:rsidRDefault="00710576">
      <w:r>
        <w:separator/>
      </w:r>
    </w:p>
  </w:footnote>
  <w:footnote w:type="continuationSeparator" w:id="0">
    <w:p w14:paraId="22887167" w14:textId="77777777" w:rsidR="00710576" w:rsidRDefault="00710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3241"/>
    <w:multiLevelType w:val="hybridMultilevel"/>
    <w:tmpl w:val="31E8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B796F"/>
    <w:multiLevelType w:val="hybridMultilevel"/>
    <w:tmpl w:val="BACA6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967315B"/>
    <w:multiLevelType w:val="hybridMultilevel"/>
    <w:tmpl w:val="57C8F45C"/>
    <w:lvl w:ilvl="0" w:tplc="04090001">
      <w:start w:val="1"/>
      <w:numFmt w:val="bullet"/>
      <w:lvlText w:val=""/>
      <w:lvlJc w:val="left"/>
      <w:pPr>
        <w:ind w:left="876" w:hanging="360"/>
      </w:pPr>
      <w:rPr>
        <w:rFonts w:ascii="Symbol" w:hAnsi="Symbol" w:hint="default"/>
      </w:rPr>
    </w:lvl>
    <w:lvl w:ilvl="1" w:tplc="04090003">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0"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3D286EED"/>
    <w:multiLevelType w:val="multilevel"/>
    <w:tmpl w:val="104C779E"/>
    <w:lvl w:ilvl="0">
      <w:start w:val="1"/>
      <w:numFmt w:val="bullet"/>
      <w:lvlRestart w:val="0"/>
      <w:pStyle w:val="U-Bullet"/>
      <w:lvlText w:val="n"/>
      <w:lvlJc w:val="left"/>
      <w:pPr>
        <w:tabs>
          <w:tab w:val="num" w:pos="288"/>
        </w:tabs>
        <w:ind w:left="288" w:hanging="288"/>
      </w:pPr>
      <w:rPr>
        <w:rFonts w:ascii="Wingdings" w:hAnsi="Wingdings" w:hint="default"/>
        <w:b w:val="0"/>
        <w:i w:val="0"/>
        <w:sz w:val="14"/>
      </w:rPr>
    </w:lvl>
    <w:lvl w:ilvl="1">
      <w:start w:val="1"/>
      <w:numFmt w:val="bullet"/>
      <w:pStyle w:val="U2-Bullet2"/>
      <w:lvlText w:val="¨"/>
      <w:lvlJc w:val="left"/>
      <w:pPr>
        <w:tabs>
          <w:tab w:val="num" w:pos="648"/>
        </w:tabs>
        <w:ind w:left="648" w:hanging="288"/>
      </w:pPr>
      <w:rPr>
        <w:rFonts w:ascii="Wingdings" w:hAnsi="Wingdings" w:hint="default"/>
        <w:b w:val="0"/>
        <w:i w:val="0"/>
        <w:sz w:val="12"/>
      </w:rPr>
    </w:lvl>
    <w:lvl w:ilvl="2">
      <w:start w:val="1"/>
      <w:numFmt w:val="bullet"/>
      <w:pStyle w:val="U3-Bullet3"/>
      <w:lvlText w:val="–"/>
      <w:lvlJc w:val="left"/>
      <w:pPr>
        <w:tabs>
          <w:tab w:val="num" w:pos="907"/>
        </w:tabs>
        <w:ind w:left="907" w:hanging="259"/>
      </w:pPr>
      <w:rPr>
        <w:rFonts w:ascii="Times New Roman" w:hAnsi="Times New Roman" w:cs="Times New Roman" w:hint="default"/>
        <w:b w:val="0"/>
        <w:i w:val="0"/>
        <w:sz w:val="18"/>
      </w:rPr>
    </w:lvl>
    <w:lvl w:ilvl="3">
      <w:start w:val="1"/>
      <w:numFmt w:val="bullet"/>
      <w:pStyle w:val="U4-Bullet4"/>
      <w:lvlText w:val=""/>
      <w:lvlJc w:val="left"/>
      <w:pPr>
        <w:tabs>
          <w:tab w:val="num" w:pos="1224"/>
        </w:tabs>
        <w:ind w:left="1224" w:hanging="216"/>
      </w:pPr>
      <w:rPr>
        <w:rFonts w:ascii="Symbol" w:hAnsi="Symbol" w:hint="default"/>
        <w:b w:val="0"/>
        <w:i w:val="0"/>
        <w:sz w:val="18"/>
      </w:rPr>
    </w:lvl>
    <w:lvl w:ilvl="4">
      <w:start w:val="1"/>
      <w:numFmt w:val="bullet"/>
      <w:lvlText w:val=""/>
      <w:lvlJc w:val="left"/>
      <w:pPr>
        <w:ind w:left="1008" w:hanging="360"/>
      </w:pPr>
      <w:rPr>
        <w:rFonts w:ascii="Symbol" w:hAnsi="Symbol" w:hint="default"/>
      </w:rPr>
    </w:lvl>
    <w:lvl w:ilvl="5">
      <w:start w:val="1"/>
      <w:numFmt w:val="bullet"/>
      <w:lvlText w:val=""/>
      <w:lvlJc w:val="left"/>
      <w:pPr>
        <w:ind w:left="1368" w:hanging="360"/>
      </w:pPr>
      <w:rPr>
        <w:rFonts w:ascii="Wingdings" w:hAnsi="Wingdings" w:hint="default"/>
      </w:rPr>
    </w:lvl>
    <w:lvl w:ilvl="6">
      <w:start w:val="1"/>
      <w:numFmt w:val="bullet"/>
      <w:lvlText w:val=""/>
      <w:lvlJc w:val="left"/>
      <w:pPr>
        <w:ind w:left="1728" w:hanging="360"/>
      </w:pPr>
      <w:rPr>
        <w:rFonts w:ascii="Wingdings" w:hAnsi="Wingdings" w:hint="default"/>
      </w:rPr>
    </w:lvl>
    <w:lvl w:ilvl="7">
      <w:start w:val="1"/>
      <w:numFmt w:val="bullet"/>
      <w:lvlText w:val=""/>
      <w:lvlJc w:val="left"/>
      <w:pPr>
        <w:ind w:left="2088" w:hanging="360"/>
      </w:pPr>
      <w:rPr>
        <w:rFonts w:ascii="Symbol" w:hAnsi="Symbol" w:hint="default"/>
      </w:rPr>
    </w:lvl>
    <w:lvl w:ilvl="8">
      <w:start w:val="1"/>
      <w:numFmt w:val="bullet"/>
      <w:lvlText w:val=""/>
      <w:lvlJc w:val="left"/>
      <w:pPr>
        <w:ind w:left="2448" w:hanging="360"/>
      </w:pPr>
      <w:rPr>
        <w:rFonts w:ascii="Symbol" w:hAnsi="Symbol"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6"/>
  </w:num>
  <w:num w:numId="3">
    <w:abstractNumId w:val="29"/>
  </w:num>
  <w:num w:numId="4">
    <w:abstractNumId w:val="32"/>
  </w:num>
  <w:num w:numId="5">
    <w:abstractNumId w:val="24"/>
  </w:num>
  <w:num w:numId="6">
    <w:abstractNumId w:val="14"/>
  </w:num>
  <w:num w:numId="7">
    <w:abstractNumId w:val="7"/>
  </w:num>
  <w:num w:numId="8">
    <w:abstractNumId w:val="27"/>
  </w:num>
  <w:num w:numId="9">
    <w:abstractNumId w:val="16"/>
  </w:num>
  <w:num w:numId="10">
    <w:abstractNumId w:val="22"/>
  </w:num>
  <w:num w:numId="11">
    <w:abstractNumId w:val="33"/>
  </w:num>
  <w:num w:numId="12">
    <w:abstractNumId w:val="6"/>
  </w:num>
  <w:num w:numId="13">
    <w:abstractNumId w:val="5"/>
  </w:num>
  <w:num w:numId="14">
    <w:abstractNumId w:val="18"/>
  </w:num>
  <w:num w:numId="15">
    <w:abstractNumId w:val="21"/>
  </w:num>
  <w:num w:numId="16">
    <w:abstractNumId w:val="11"/>
  </w:num>
  <w:num w:numId="17">
    <w:abstractNumId w:val="31"/>
  </w:num>
  <w:num w:numId="18">
    <w:abstractNumId w:val="15"/>
  </w:num>
  <w:num w:numId="19">
    <w:abstractNumId w:val="1"/>
  </w:num>
  <w:num w:numId="20">
    <w:abstractNumId w:val="10"/>
  </w:num>
  <w:num w:numId="21">
    <w:abstractNumId w:val="12"/>
  </w:num>
  <w:num w:numId="22">
    <w:abstractNumId w:val="2"/>
  </w:num>
  <w:num w:numId="23">
    <w:abstractNumId w:val="8"/>
  </w:num>
  <w:num w:numId="24">
    <w:abstractNumId w:val="13"/>
  </w:num>
  <w:num w:numId="25">
    <w:abstractNumId w:val="28"/>
  </w:num>
  <w:num w:numId="26">
    <w:abstractNumId w:val="17"/>
  </w:num>
  <w:num w:numId="27">
    <w:abstractNumId w:val="30"/>
  </w:num>
  <w:num w:numId="28">
    <w:abstractNumId w:val="25"/>
  </w:num>
  <w:num w:numId="29">
    <w:abstractNumId w:val="3"/>
  </w:num>
  <w:num w:numId="30">
    <w:abstractNumId w:val="23"/>
  </w:num>
  <w:num w:numId="31">
    <w:abstractNumId w:val="0"/>
  </w:num>
  <w:num w:numId="32">
    <w:abstractNumId w:val="4"/>
  </w:num>
  <w:num w:numId="33">
    <w:abstractNumId w:val="9"/>
  </w:num>
  <w:num w:numId="3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3BF2"/>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4EF9"/>
    <w:rsid w:val="0004511D"/>
    <w:rsid w:val="00045318"/>
    <w:rsid w:val="00045774"/>
    <w:rsid w:val="00045F53"/>
    <w:rsid w:val="00046069"/>
    <w:rsid w:val="0004795F"/>
    <w:rsid w:val="00047A40"/>
    <w:rsid w:val="00047BD8"/>
    <w:rsid w:val="00051030"/>
    <w:rsid w:val="000517BF"/>
    <w:rsid w:val="00052BBE"/>
    <w:rsid w:val="00053E42"/>
    <w:rsid w:val="000549BA"/>
    <w:rsid w:val="00054F6C"/>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2EB0"/>
    <w:rsid w:val="000E39A2"/>
    <w:rsid w:val="000E3B40"/>
    <w:rsid w:val="000E3D46"/>
    <w:rsid w:val="000E3DD1"/>
    <w:rsid w:val="000E4C50"/>
    <w:rsid w:val="000E58CF"/>
    <w:rsid w:val="000E5C51"/>
    <w:rsid w:val="000E5DB5"/>
    <w:rsid w:val="000E6208"/>
    <w:rsid w:val="000E67CC"/>
    <w:rsid w:val="000E7250"/>
    <w:rsid w:val="000F0E0B"/>
    <w:rsid w:val="000F1DA5"/>
    <w:rsid w:val="000F3E12"/>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035"/>
    <w:rsid w:val="001118C5"/>
    <w:rsid w:val="00112756"/>
    <w:rsid w:val="00112A1A"/>
    <w:rsid w:val="001135F5"/>
    <w:rsid w:val="00113626"/>
    <w:rsid w:val="00113700"/>
    <w:rsid w:val="0011401A"/>
    <w:rsid w:val="0011435E"/>
    <w:rsid w:val="00114F07"/>
    <w:rsid w:val="00115243"/>
    <w:rsid w:val="00116046"/>
    <w:rsid w:val="001160A3"/>
    <w:rsid w:val="00116F74"/>
    <w:rsid w:val="001176B7"/>
    <w:rsid w:val="00117FBD"/>
    <w:rsid w:val="00122DA6"/>
    <w:rsid w:val="001239DE"/>
    <w:rsid w:val="00123B8B"/>
    <w:rsid w:val="00124252"/>
    <w:rsid w:val="00124802"/>
    <w:rsid w:val="00124944"/>
    <w:rsid w:val="00125C52"/>
    <w:rsid w:val="001266F1"/>
    <w:rsid w:val="00126DA5"/>
    <w:rsid w:val="001271F9"/>
    <w:rsid w:val="001274D2"/>
    <w:rsid w:val="00127E48"/>
    <w:rsid w:val="001305F7"/>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766"/>
    <w:rsid w:val="00171C88"/>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0187"/>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4F46"/>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058"/>
    <w:rsid w:val="002142D2"/>
    <w:rsid w:val="0021437D"/>
    <w:rsid w:val="00214749"/>
    <w:rsid w:val="00216102"/>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4205"/>
    <w:rsid w:val="0027453E"/>
    <w:rsid w:val="002746C8"/>
    <w:rsid w:val="00274925"/>
    <w:rsid w:val="00274EAB"/>
    <w:rsid w:val="0027504A"/>
    <w:rsid w:val="002778DC"/>
    <w:rsid w:val="00277B68"/>
    <w:rsid w:val="00280813"/>
    <w:rsid w:val="0028105E"/>
    <w:rsid w:val="002834C9"/>
    <w:rsid w:val="00283AAC"/>
    <w:rsid w:val="0028415F"/>
    <w:rsid w:val="0028417E"/>
    <w:rsid w:val="00284391"/>
    <w:rsid w:val="00285070"/>
    <w:rsid w:val="00285405"/>
    <w:rsid w:val="002854F2"/>
    <w:rsid w:val="0028581F"/>
    <w:rsid w:val="002865FA"/>
    <w:rsid w:val="002869C0"/>
    <w:rsid w:val="00290FB2"/>
    <w:rsid w:val="002921C4"/>
    <w:rsid w:val="00292C3A"/>
    <w:rsid w:val="002932EC"/>
    <w:rsid w:val="00296186"/>
    <w:rsid w:val="00296805"/>
    <w:rsid w:val="00296B1B"/>
    <w:rsid w:val="00296B60"/>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1CC"/>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27A5"/>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B04"/>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096"/>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3F40"/>
    <w:rsid w:val="003B4F6C"/>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5A7"/>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B52"/>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0B1"/>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19C"/>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225"/>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50"/>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476"/>
    <w:rsid w:val="00512F02"/>
    <w:rsid w:val="00514780"/>
    <w:rsid w:val="00515953"/>
    <w:rsid w:val="005167E8"/>
    <w:rsid w:val="00517B05"/>
    <w:rsid w:val="00521297"/>
    <w:rsid w:val="0052133A"/>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C4F"/>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2B5F"/>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CBE"/>
    <w:rsid w:val="00586D95"/>
    <w:rsid w:val="005873E4"/>
    <w:rsid w:val="00587536"/>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66C"/>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4BE4"/>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8EC"/>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9C8"/>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A48"/>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87A10"/>
    <w:rsid w:val="0069074E"/>
    <w:rsid w:val="00690ECD"/>
    <w:rsid w:val="006913F1"/>
    <w:rsid w:val="0069257A"/>
    <w:rsid w:val="00692A8D"/>
    <w:rsid w:val="00693226"/>
    <w:rsid w:val="00693486"/>
    <w:rsid w:val="006937D5"/>
    <w:rsid w:val="0069399C"/>
    <w:rsid w:val="00693B21"/>
    <w:rsid w:val="006947F0"/>
    <w:rsid w:val="00694B07"/>
    <w:rsid w:val="00694BAD"/>
    <w:rsid w:val="00694E4D"/>
    <w:rsid w:val="00695D19"/>
    <w:rsid w:val="00696D35"/>
    <w:rsid w:val="00697217"/>
    <w:rsid w:val="0069757C"/>
    <w:rsid w:val="0069791A"/>
    <w:rsid w:val="006A08EC"/>
    <w:rsid w:val="006A0FC3"/>
    <w:rsid w:val="006A16FF"/>
    <w:rsid w:val="006A2312"/>
    <w:rsid w:val="006A2474"/>
    <w:rsid w:val="006A28BE"/>
    <w:rsid w:val="006A2ED4"/>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576"/>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5D9D"/>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70C"/>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25F"/>
    <w:rsid w:val="008505D7"/>
    <w:rsid w:val="008509C9"/>
    <w:rsid w:val="00852E67"/>
    <w:rsid w:val="00853B27"/>
    <w:rsid w:val="00853E55"/>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5FCC"/>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4B6E"/>
    <w:rsid w:val="008E742E"/>
    <w:rsid w:val="008F009E"/>
    <w:rsid w:val="008F05D8"/>
    <w:rsid w:val="008F06EB"/>
    <w:rsid w:val="008F088C"/>
    <w:rsid w:val="008F0928"/>
    <w:rsid w:val="008F1ACD"/>
    <w:rsid w:val="008F2E34"/>
    <w:rsid w:val="008F2E41"/>
    <w:rsid w:val="008F33AA"/>
    <w:rsid w:val="008F38FD"/>
    <w:rsid w:val="008F455D"/>
    <w:rsid w:val="008F47A9"/>
    <w:rsid w:val="008F4EFB"/>
    <w:rsid w:val="008F532F"/>
    <w:rsid w:val="008F5EA6"/>
    <w:rsid w:val="008F6101"/>
    <w:rsid w:val="008F6897"/>
    <w:rsid w:val="008F6999"/>
    <w:rsid w:val="008F77B5"/>
    <w:rsid w:val="009005EE"/>
    <w:rsid w:val="00900663"/>
    <w:rsid w:val="00901646"/>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444"/>
    <w:rsid w:val="00916A01"/>
    <w:rsid w:val="00916AB1"/>
    <w:rsid w:val="00917B84"/>
    <w:rsid w:val="009200ED"/>
    <w:rsid w:val="009201E7"/>
    <w:rsid w:val="00920205"/>
    <w:rsid w:val="009224E7"/>
    <w:rsid w:val="0092276F"/>
    <w:rsid w:val="00922DE5"/>
    <w:rsid w:val="00923C16"/>
    <w:rsid w:val="0092405A"/>
    <w:rsid w:val="00925B35"/>
    <w:rsid w:val="0092609D"/>
    <w:rsid w:val="00926EC6"/>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071"/>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644D"/>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34DE"/>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066E"/>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9A7"/>
    <w:rsid w:val="00B65AC5"/>
    <w:rsid w:val="00B65D55"/>
    <w:rsid w:val="00B66188"/>
    <w:rsid w:val="00B66EC0"/>
    <w:rsid w:val="00B72124"/>
    <w:rsid w:val="00B72140"/>
    <w:rsid w:val="00B73FC3"/>
    <w:rsid w:val="00B7441F"/>
    <w:rsid w:val="00B745E0"/>
    <w:rsid w:val="00B755FD"/>
    <w:rsid w:val="00B7658D"/>
    <w:rsid w:val="00B76B53"/>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46"/>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6ED6"/>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715"/>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6BC7"/>
    <w:rsid w:val="00C37693"/>
    <w:rsid w:val="00C3796D"/>
    <w:rsid w:val="00C40CE8"/>
    <w:rsid w:val="00C42FFC"/>
    <w:rsid w:val="00C4302C"/>
    <w:rsid w:val="00C431E3"/>
    <w:rsid w:val="00C432F5"/>
    <w:rsid w:val="00C43598"/>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9A7"/>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46A"/>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676"/>
    <w:rsid w:val="00D24D18"/>
    <w:rsid w:val="00D26312"/>
    <w:rsid w:val="00D26419"/>
    <w:rsid w:val="00D26BA2"/>
    <w:rsid w:val="00D273DE"/>
    <w:rsid w:val="00D31226"/>
    <w:rsid w:val="00D31FEA"/>
    <w:rsid w:val="00D3265C"/>
    <w:rsid w:val="00D32F25"/>
    <w:rsid w:val="00D33802"/>
    <w:rsid w:val="00D33D97"/>
    <w:rsid w:val="00D33F02"/>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61F"/>
    <w:rsid w:val="00D744C7"/>
    <w:rsid w:val="00D749D2"/>
    <w:rsid w:val="00D74AC4"/>
    <w:rsid w:val="00D750FB"/>
    <w:rsid w:val="00D75151"/>
    <w:rsid w:val="00D753D3"/>
    <w:rsid w:val="00D76896"/>
    <w:rsid w:val="00D770C9"/>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282D"/>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2BF6"/>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77225"/>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4AD6"/>
    <w:rsid w:val="00EB5C05"/>
    <w:rsid w:val="00EB6272"/>
    <w:rsid w:val="00EB668F"/>
    <w:rsid w:val="00EB6EEC"/>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35E0"/>
    <w:rsid w:val="00F8374B"/>
    <w:rsid w:val="00F83D30"/>
    <w:rsid w:val="00F83DDB"/>
    <w:rsid w:val="00F84499"/>
    <w:rsid w:val="00F8467E"/>
    <w:rsid w:val="00F84965"/>
    <w:rsid w:val="00F849FA"/>
    <w:rsid w:val="00F85299"/>
    <w:rsid w:val="00F85976"/>
    <w:rsid w:val="00F859E5"/>
    <w:rsid w:val="00F86335"/>
    <w:rsid w:val="00F868BA"/>
    <w:rsid w:val="00F869B6"/>
    <w:rsid w:val="00F86CE6"/>
    <w:rsid w:val="00F86F42"/>
    <w:rsid w:val="00F876A0"/>
    <w:rsid w:val="00F87783"/>
    <w:rsid w:val="00F90515"/>
    <w:rsid w:val="00F919B9"/>
    <w:rsid w:val="00F92025"/>
    <w:rsid w:val="00F925F8"/>
    <w:rsid w:val="00F928DB"/>
    <w:rsid w:val="00F9297C"/>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5E8"/>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ＭＳ 明朝"/>
      <w:b/>
    </w:rPr>
  </w:style>
  <w:style w:type="paragraph" w:customStyle="1" w:styleId="tabletext">
    <w:name w:val="table text"/>
    <w:basedOn w:val="Normal"/>
    <w:next w:val="table"/>
    <w:rsid w:val="00F1468E"/>
    <w:pPr>
      <w:spacing w:after="0"/>
    </w:pPr>
    <w:rPr>
      <w:rFonts w:eastAsia="ＭＳ 明朝"/>
      <w:i/>
    </w:rPr>
  </w:style>
  <w:style w:type="paragraph" w:customStyle="1" w:styleId="table">
    <w:name w:val="table"/>
    <w:basedOn w:val="Normal"/>
    <w:next w:val="Normal"/>
    <w:rsid w:val="00F1468E"/>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ＭＳ 明朝"/>
      <w:sz w:val="24"/>
      <w:lang w:val="en-US"/>
    </w:rPr>
  </w:style>
  <w:style w:type="paragraph" w:customStyle="1" w:styleId="HE">
    <w:name w:val="HE"/>
    <w:basedOn w:val="Normal"/>
    <w:rsid w:val="00F1468E"/>
    <w:pPr>
      <w:spacing w:after="0"/>
    </w:pPr>
    <w:rPr>
      <w:rFonts w:eastAsia="ＭＳ 明朝"/>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ＭＳ 明朝"/>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ＭＳ 明朝"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ＭＳ 明朝"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B-Body">
    <w:name w:val="B-Body"/>
    <w:link w:val="B-BodyChar"/>
    <w:uiPriority w:val="99"/>
    <w:qFormat/>
    <w:rsid w:val="00023BF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99"/>
    <w:rsid w:val="00023BF2"/>
    <w:rPr>
      <w:rFonts w:ascii="Times New Roman" w:hAnsi="Times New Roman"/>
      <w:sz w:val="22"/>
    </w:rPr>
  </w:style>
  <w:style w:type="paragraph" w:customStyle="1" w:styleId="U-Bullet">
    <w:name w:val="U-Bullet"/>
    <w:qFormat/>
    <w:rsid w:val="00023BF2"/>
    <w:pPr>
      <w:numPr>
        <w:numId w:val="34"/>
      </w:numPr>
      <w:spacing w:before="120" w:after="40"/>
    </w:pPr>
    <w:rPr>
      <w:rFonts w:ascii="Times New Roman" w:hAnsi="Times New Roman"/>
      <w:sz w:val="22"/>
    </w:rPr>
  </w:style>
  <w:style w:type="paragraph" w:customStyle="1" w:styleId="U2-Bullet2">
    <w:name w:val="U2-Bullet 2"/>
    <w:basedOn w:val="U-Bullet"/>
    <w:rsid w:val="00023BF2"/>
    <w:pPr>
      <w:numPr>
        <w:ilvl w:val="1"/>
      </w:numPr>
      <w:tabs>
        <w:tab w:val="left" w:pos="2160"/>
      </w:tabs>
    </w:pPr>
  </w:style>
  <w:style w:type="paragraph" w:customStyle="1" w:styleId="U3-Bullet3">
    <w:name w:val="U3-Bullet 3"/>
    <w:basedOn w:val="U2-Bullet2"/>
    <w:rsid w:val="00023BF2"/>
    <w:pPr>
      <w:numPr>
        <w:ilvl w:val="2"/>
      </w:numPr>
    </w:pPr>
    <w:rPr>
      <w:rFonts w:eastAsia="ＭＳ 明朝"/>
      <w:lang w:eastAsia="ja-JP"/>
    </w:rPr>
  </w:style>
  <w:style w:type="paragraph" w:customStyle="1" w:styleId="U4-Bullet4">
    <w:name w:val="U4-Bullet 4"/>
    <w:basedOn w:val="U3-Bullet3"/>
    <w:rsid w:val="00023BF2"/>
    <w:pPr>
      <w:numPr>
        <w:ilvl w:val="3"/>
      </w:numP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5909309">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013441">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3831748">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54379071">
      <w:bodyDiv w:val="1"/>
      <w:marLeft w:val="0"/>
      <w:marRight w:val="0"/>
      <w:marTop w:val="0"/>
      <w:marBottom w:val="0"/>
      <w:divBdr>
        <w:top w:val="none" w:sz="0" w:space="0" w:color="auto"/>
        <w:left w:val="none" w:sz="0" w:space="0" w:color="auto"/>
        <w:bottom w:val="none" w:sz="0" w:space="0" w:color="auto"/>
        <w:right w:val="none" w:sz="0" w:space="0" w:color="auto"/>
      </w:divBdr>
      <w:divsChild>
        <w:div w:id="1145701471">
          <w:marLeft w:val="547"/>
          <w:marRight w:val="0"/>
          <w:marTop w:val="77"/>
          <w:marBottom w:val="0"/>
          <w:divBdr>
            <w:top w:val="none" w:sz="0" w:space="0" w:color="auto"/>
            <w:left w:val="none" w:sz="0" w:space="0" w:color="auto"/>
            <w:bottom w:val="none" w:sz="0" w:space="0" w:color="auto"/>
            <w:right w:val="none" w:sz="0" w:space="0" w:color="auto"/>
          </w:divBdr>
        </w:div>
        <w:div w:id="351614171">
          <w:marLeft w:val="547"/>
          <w:marRight w:val="0"/>
          <w:marTop w:val="77"/>
          <w:marBottom w:val="0"/>
          <w:divBdr>
            <w:top w:val="none" w:sz="0" w:space="0" w:color="auto"/>
            <w:left w:val="none" w:sz="0" w:space="0" w:color="auto"/>
            <w:bottom w:val="none" w:sz="0" w:space="0" w:color="auto"/>
            <w:right w:val="none" w:sz="0" w:space="0" w:color="auto"/>
          </w:divBdr>
        </w:div>
        <w:div w:id="937175689">
          <w:marLeft w:val="1166"/>
          <w:marRight w:val="0"/>
          <w:marTop w:val="67"/>
          <w:marBottom w:val="0"/>
          <w:divBdr>
            <w:top w:val="none" w:sz="0" w:space="0" w:color="auto"/>
            <w:left w:val="none" w:sz="0" w:space="0" w:color="auto"/>
            <w:bottom w:val="none" w:sz="0" w:space="0" w:color="auto"/>
            <w:right w:val="none" w:sz="0" w:space="0" w:color="auto"/>
          </w:divBdr>
        </w:div>
        <w:div w:id="25104335">
          <w:marLeft w:val="1166"/>
          <w:marRight w:val="0"/>
          <w:marTop w:val="67"/>
          <w:marBottom w:val="0"/>
          <w:divBdr>
            <w:top w:val="none" w:sz="0" w:space="0" w:color="auto"/>
            <w:left w:val="none" w:sz="0" w:space="0" w:color="auto"/>
            <w:bottom w:val="none" w:sz="0" w:space="0" w:color="auto"/>
            <w:right w:val="none" w:sz="0" w:space="0" w:color="auto"/>
          </w:divBdr>
        </w:div>
        <w:div w:id="2105299991">
          <w:marLeft w:val="1166"/>
          <w:marRight w:val="0"/>
          <w:marTop w:val="67"/>
          <w:marBottom w:val="0"/>
          <w:divBdr>
            <w:top w:val="none" w:sz="0" w:space="0" w:color="auto"/>
            <w:left w:val="none" w:sz="0" w:space="0" w:color="auto"/>
            <w:bottom w:val="none" w:sz="0" w:space="0" w:color="auto"/>
            <w:right w:val="none" w:sz="0" w:space="0" w:color="auto"/>
          </w:divBdr>
        </w:div>
        <w:div w:id="2142461239">
          <w:marLeft w:val="1800"/>
          <w:marRight w:val="0"/>
          <w:marTop w:val="58"/>
          <w:marBottom w:val="0"/>
          <w:divBdr>
            <w:top w:val="none" w:sz="0" w:space="0" w:color="auto"/>
            <w:left w:val="none" w:sz="0" w:space="0" w:color="auto"/>
            <w:bottom w:val="none" w:sz="0" w:space="0" w:color="auto"/>
            <w:right w:val="none" w:sz="0" w:space="0" w:color="auto"/>
          </w:divBdr>
        </w:div>
        <w:div w:id="544299506">
          <w:marLeft w:val="1800"/>
          <w:marRight w:val="0"/>
          <w:marTop w:val="58"/>
          <w:marBottom w:val="0"/>
          <w:divBdr>
            <w:top w:val="none" w:sz="0" w:space="0" w:color="auto"/>
            <w:left w:val="none" w:sz="0" w:space="0" w:color="auto"/>
            <w:bottom w:val="none" w:sz="0" w:space="0" w:color="auto"/>
            <w:right w:val="none" w:sz="0" w:space="0" w:color="auto"/>
          </w:divBdr>
        </w:div>
        <w:div w:id="1103377956">
          <w:marLeft w:val="1800"/>
          <w:marRight w:val="0"/>
          <w:marTop w:val="58"/>
          <w:marBottom w:val="0"/>
          <w:divBdr>
            <w:top w:val="none" w:sz="0" w:space="0" w:color="auto"/>
            <w:left w:val="none" w:sz="0" w:space="0" w:color="auto"/>
            <w:bottom w:val="none" w:sz="0" w:space="0" w:color="auto"/>
            <w:right w:val="none" w:sz="0" w:space="0" w:color="auto"/>
          </w:divBdr>
        </w:div>
        <w:div w:id="657004513">
          <w:marLeft w:val="1800"/>
          <w:marRight w:val="0"/>
          <w:marTop w:val="58"/>
          <w:marBottom w:val="0"/>
          <w:divBdr>
            <w:top w:val="none" w:sz="0" w:space="0" w:color="auto"/>
            <w:left w:val="none" w:sz="0" w:space="0" w:color="auto"/>
            <w:bottom w:val="none" w:sz="0" w:space="0" w:color="auto"/>
            <w:right w:val="none" w:sz="0" w:space="0" w:color="auto"/>
          </w:divBdr>
        </w:div>
        <w:div w:id="763846590">
          <w:marLeft w:val="1800"/>
          <w:marRight w:val="0"/>
          <w:marTop w:val="58"/>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5140364">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1411474">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84/Docs/R4-170721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ftp/TSG_RAN/WG4_Radio/TSGR4_84/Docs/R4-17073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B9B0F7D4-D0A9-497C-86D3-1BA0F300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hparikh@qti.qualcomm.com</Manager>
  <Company>Qualcomm</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2017-08-09T09:01:00Z</cp:lastPrinted>
  <dcterms:created xsi:type="dcterms:W3CDTF">2017-09-11T16:43:00Z</dcterms:created>
  <dcterms:modified xsi:type="dcterms:W3CDTF">2017-09-11T16:43:00Z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-190515102</vt:i4>
  </property>
  <property fmtid="{D5CDD505-2E9C-101B-9397-08002B2CF9AE}" pid="11" name="_EmailSubject">
    <vt:lpwstr>testing documents for next RAN4 meeting</vt:lpwstr>
  </property>
  <property fmtid="{D5CDD505-2E9C-101B-9397-08002B2CF9AE}" pid="12" name="_AuthorEmail">
    <vt:lpwstr>hparikh@qti.qualcomm.com</vt:lpwstr>
  </property>
  <property fmtid="{D5CDD505-2E9C-101B-9397-08002B2CF9AE}" pid="13" name="_AuthorEmailDisplayName">
    <vt:lpwstr>Hemish Parikh</vt:lpwstr>
  </property>
  <property fmtid="{D5CDD505-2E9C-101B-9397-08002B2CF9AE}" pid="14" name="_PreviousAdHocReviewCycleID">
    <vt:i4>784395074</vt:i4>
  </property>
  <property fmtid="{D5CDD505-2E9C-101B-9397-08002B2CF9AE}" pid="15" name="_ReviewingToolsShownOnce">
    <vt:lpwstr/>
  </property>
</Properties>
</file>