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C17F56">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2A07E4" w:rsidRPr="002A07E4">
        <w:rPr>
          <w:rFonts w:ascii="Arial" w:eastAsia="宋体" w:hAnsi="Arial" w:cs="Times New Roman"/>
          <w:b/>
          <w:bCs/>
          <w:sz w:val="24"/>
          <w:szCs w:val="20"/>
          <w:lang w:val="en-GB" w:eastAsia="ja-JP"/>
        </w:rPr>
        <w:t>R4-1808776</w:t>
      </w:r>
      <w:bookmarkStart w:id="3" w:name="_GoBack"/>
      <w:bookmarkEnd w:id="3"/>
    </w:p>
    <w:p w:rsidR="00841BCD" w:rsidRPr="00841BCD" w:rsidRDefault="00C17F56"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Montreal</w:t>
      </w:r>
      <w:r w:rsidR="00176671">
        <w:rPr>
          <w:rFonts w:ascii="Arial" w:eastAsia="宋体" w:hAnsi="Arial" w:cs="Times New Roman"/>
          <w:b/>
          <w:sz w:val="24"/>
          <w:szCs w:val="20"/>
          <w:lang w:val="en-GB"/>
        </w:rPr>
        <w:t>,</w:t>
      </w:r>
      <w:r>
        <w:rPr>
          <w:rFonts w:ascii="Arial" w:eastAsia="宋体" w:hAnsi="Arial" w:cs="Times New Roman"/>
          <w:b/>
          <w:sz w:val="24"/>
          <w:szCs w:val="20"/>
          <w:lang w:val="en-GB"/>
        </w:rPr>
        <w:t xml:space="preserve"> Canada</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 xml:space="preserve">July 2 – 6 </w:t>
      </w:r>
      <w:r w:rsidR="00176671" w:rsidRPr="00841BCD">
        <w:rPr>
          <w:rFonts w:ascii="Arial" w:eastAsia="宋体" w:hAnsi="Arial" w:cs="Times New Roman"/>
          <w:b/>
          <w:bCs/>
          <w:noProof/>
          <w:sz w:val="24"/>
          <w:szCs w:val="20"/>
          <w:lang w:eastAsia="zh-CN"/>
        </w:rPr>
        <w:t>201</w:t>
      </w:r>
      <w:r w:rsidR="00176671">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17F56">
        <w:rPr>
          <w:rFonts w:ascii="Arial" w:eastAsia="Calibri" w:hAnsi="Arial" w:cs="Arial"/>
          <w:b/>
          <w:bCs/>
          <w:sz w:val="24"/>
          <w:lang w:val="en-GB"/>
        </w:rPr>
        <w:t>UL transmission in the slot after measurement gap</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17F56">
        <w:rPr>
          <w:rFonts w:ascii="Arial" w:eastAsia="MS Mincho" w:hAnsi="Arial" w:cs="Arial"/>
          <w:b/>
          <w:bCs/>
          <w:sz w:val="24"/>
          <w:szCs w:val="20"/>
          <w:lang w:val="en-GB"/>
        </w:rPr>
        <w:t>5.2.3.1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C17F56" w:rsidP="00C74935">
      <w:pPr>
        <w:ind w:right="-23"/>
        <w:rPr>
          <w:rFonts w:eastAsia="Calibri" w:cs="Times New Roman"/>
          <w:szCs w:val="20"/>
        </w:rPr>
      </w:pPr>
      <w:bookmarkStart w:id="4" w:name="_Hlk513205245"/>
      <w:r>
        <w:rPr>
          <w:rFonts w:eastAsia="Calibri" w:cs="Times New Roman"/>
          <w:szCs w:val="20"/>
        </w:rPr>
        <w:t xml:space="preserve">The interruption due to measurement gap is specified in section 9.1.2 of 38.133. One issue that has not been addressed </w:t>
      </w:r>
      <w:r w:rsidR="00181C34">
        <w:rPr>
          <w:rFonts w:eastAsia="Calibri" w:cs="Times New Roman"/>
          <w:szCs w:val="20"/>
        </w:rPr>
        <w:t>is the UL transmission in the slot immediately after measurement gap. For LTE, the following UE behavior is specified in 36.133:</w:t>
      </w:r>
    </w:p>
    <w:tbl>
      <w:tblPr>
        <w:tblStyle w:val="TableGrid"/>
        <w:tblW w:w="0" w:type="auto"/>
        <w:tblLook w:val="04A0" w:firstRow="1" w:lastRow="0" w:firstColumn="1" w:lastColumn="0" w:noHBand="0" w:noVBand="1"/>
      </w:tblPr>
      <w:tblGrid>
        <w:gridCol w:w="9617"/>
      </w:tblGrid>
      <w:tr w:rsidR="00181C34" w:rsidTr="00181C34">
        <w:tc>
          <w:tcPr>
            <w:tcW w:w="9617" w:type="dxa"/>
          </w:tcPr>
          <w:p w:rsidR="00E72309" w:rsidRPr="00E72309" w:rsidRDefault="00E72309" w:rsidP="00E72309">
            <w:pPr>
              <w:overflowPunct w:val="0"/>
              <w:autoSpaceDE w:val="0"/>
              <w:autoSpaceDN w:val="0"/>
              <w:adjustRightInd w:val="0"/>
              <w:spacing w:before="0" w:after="180"/>
              <w:textAlignment w:val="baseline"/>
              <w:rPr>
                <w:rFonts w:eastAsia="Times New Roman" w:cs="Times New Roman"/>
                <w:szCs w:val="20"/>
                <w:lang w:val="en-GB" w:eastAsia="zh-CN"/>
              </w:rPr>
            </w:pPr>
            <w:r w:rsidRPr="00E72309">
              <w:rPr>
                <w:rFonts w:eastAsia="Times New Roman" w:cs="Times New Roman"/>
                <w:szCs w:val="20"/>
                <w:lang w:val="en-GB" w:eastAsia="zh-CN"/>
              </w:rPr>
              <w:t>I</w:t>
            </w:r>
            <w:r w:rsidRPr="00E72309">
              <w:rPr>
                <w:rFonts w:eastAsia="Times New Roman" w:cs="Times New Roman" w:hint="eastAsia"/>
                <w:szCs w:val="20"/>
                <w:lang w:val="en-GB" w:eastAsia="zh-CN"/>
              </w:rPr>
              <w:t xml:space="preserve">n the uplink subframe </w:t>
            </w:r>
            <w:r w:rsidRPr="00E72309">
              <w:rPr>
                <w:rFonts w:eastAsia="Times New Roman" w:cs="Times New Roman"/>
                <w:szCs w:val="20"/>
                <w:lang w:val="en-GB" w:eastAsia="zh-CN"/>
              </w:rPr>
              <w:t>occurring</w:t>
            </w:r>
            <w:r w:rsidRPr="00E72309">
              <w:rPr>
                <w:rFonts w:eastAsia="Times New Roman" w:cs="Times New Roman" w:hint="eastAsia"/>
                <w:szCs w:val="20"/>
                <w:lang w:val="en-GB" w:eastAsia="zh-CN"/>
              </w:rPr>
              <w:t xml:space="preserve"> immediately after the measurement gap,</w:t>
            </w:r>
          </w:p>
          <w:p w:rsidR="00E72309" w:rsidRPr="00E72309" w:rsidRDefault="00E72309" w:rsidP="00E72309">
            <w:pPr>
              <w:overflowPunct w:val="0"/>
              <w:autoSpaceDE w:val="0"/>
              <w:autoSpaceDN w:val="0"/>
              <w:adjustRightInd w:val="0"/>
              <w:spacing w:before="0" w:after="180"/>
              <w:ind w:left="568"/>
              <w:textAlignment w:val="baseline"/>
              <w:rPr>
                <w:rFonts w:eastAsia="Times New Roman" w:cs="Times New Roman"/>
                <w:szCs w:val="20"/>
                <w:lang w:val="en-GB" w:eastAsia="x-none"/>
              </w:rPr>
            </w:pPr>
            <w:r w:rsidRPr="00E72309">
              <w:rPr>
                <w:rFonts w:eastAsia="Times New Roman" w:cs="Times New Roman"/>
                <w:szCs w:val="20"/>
                <w:lang w:val="en-GB" w:eastAsia="zh-CN"/>
              </w:rPr>
              <w:t>-</w:t>
            </w:r>
            <w:r w:rsidRPr="00E72309">
              <w:rPr>
                <w:rFonts w:eastAsia="Times New Roman" w:cs="Times New Roman"/>
                <w:szCs w:val="20"/>
                <w:lang w:val="en-GB" w:eastAsia="zh-CN"/>
              </w:rPr>
              <w:tab/>
              <w:t>if the following conditions are met then it is up to UE implementation whether or not the UE can transmit data:</w:t>
            </w:r>
          </w:p>
          <w:p w:rsidR="00E72309" w:rsidRPr="00E72309" w:rsidRDefault="00E72309" w:rsidP="00E72309">
            <w:pPr>
              <w:overflowPunct w:val="0"/>
              <w:autoSpaceDE w:val="0"/>
              <w:autoSpaceDN w:val="0"/>
              <w:adjustRightInd w:val="0"/>
              <w:spacing w:before="0" w:after="180"/>
              <w:ind w:left="1004" w:hanging="284"/>
              <w:textAlignment w:val="baseline"/>
              <w:rPr>
                <w:rFonts w:eastAsia="Times New Roman" w:cs="Times New Roman"/>
                <w:szCs w:val="20"/>
                <w:lang w:val="en-GB" w:eastAsia="ko-KR"/>
              </w:rPr>
            </w:pPr>
            <w:r w:rsidRPr="00E72309">
              <w:rPr>
                <w:rFonts w:eastAsia="Times New Roman" w:cs="Times New Roman"/>
                <w:szCs w:val="20"/>
                <w:lang w:val="en-GB" w:eastAsia="ko-KR"/>
              </w:rPr>
              <w:t>-</w:t>
            </w:r>
            <w:r w:rsidRPr="00E72309">
              <w:rPr>
                <w:rFonts w:eastAsia="Times New Roman" w:cs="Times New Roman"/>
                <w:szCs w:val="20"/>
                <w:lang w:val="en-GB" w:eastAsia="ko-KR"/>
              </w:rPr>
              <w:tab/>
              <w:t xml:space="preserve">all </w:t>
            </w:r>
            <w:r w:rsidRPr="00E72309">
              <w:rPr>
                <w:rFonts w:eastAsia="Times New Roman" w:cs="Times New Roman" w:hint="eastAsia"/>
                <w:szCs w:val="20"/>
                <w:lang w:val="en-GB" w:eastAsia="ko-KR"/>
              </w:rPr>
              <w:t xml:space="preserve">the </w:t>
            </w:r>
            <w:r w:rsidRPr="00E72309">
              <w:rPr>
                <w:rFonts w:eastAsia="Times New Roman" w:cs="Times New Roman"/>
                <w:szCs w:val="20"/>
                <w:lang w:val="en-GB" w:eastAsia="ko-KR"/>
              </w:rPr>
              <w:t>serving cells belong to E-UTRAN TDD;</w:t>
            </w:r>
          </w:p>
          <w:p w:rsidR="00E72309" w:rsidRPr="00E72309" w:rsidRDefault="00E72309" w:rsidP="00E72309">
            <w:pPr>
              <w:overflowPunct w:val="0"/>
              <w:autoSpaceDE w:val="0"/>
              <w:autoSpaceDN w:val="0"/>
              <w:adjustRightInd w:val="0"/>
              <w:spacing w:before="0" w:after="180"/>
              <w:ind w:left="1004" w:hanging="284"/>
              <w:textAlignment w:val="baseline"/>
              <w:rPr>
                <w:rFonts w:eastAsia="Times New Roman" w:cs="Times New Roman"/>
                <w:szCs w:val="20"/>
                <w:lang w:val="en-GB" w:eastAsia="ko-KR"/>
              </w:rPr>
            </w:pPr>
            <w:r w:rsidRPr="00E72309">
              <w:rPr>
                <w:rFonts w:eastAsia="Times New Roman" w:cs="Times New Roman"/>
                <w:szCs w:val="20"/>
                <w:lang w:val="en-GB" w:eastAsia="ko-KR"/>
              </w:rPr>
              <w:t>-</w:t>
            </w:r>
            <w:r w:rsidRPr="00E72309">
              <w:rPr>
                <w:rFonts w:eastAsia="Times New Roman" w:cs="Times New Roman"/>
                <w:szCs w:val="20"/>
                <w:lang w:val="en-GB" w:eastAsia="ko-KR"/>
              </w:rPr>
              <w:tab/>
            </w:r>
            <w:r w:rsidRPr="00E72309">
              <w:rPr>
                <w:rFonts w:eastAsia="Times New Roman" w:cs="Times New Roman" w:hint="eastAsia"/>
                <w:szCs w:val="20"/>
                <w:lang w:val="en-GB" w:eastAsia="ko-KR"/>
              </w:rPr>
              <w:t xml:space="preserve">if the </w:t>
            </w:r>
            <w:r w:rsidRPr="00E72309">
              <w:rPr>
                <w:rFonts w:eastAsia="Times New Roman" w:cs="Times New Roman"/>
                <w:szCs w:val="20"/>
                <w:lang w:val="en-GB" w:eastAsia="ko-KR"/>
              </w:rPr>
              <w:t xml:space="preserve">subframe occurring immediately before the measurement gap is an uplink subframe. </w:t>
            </w:r>
          </w:p>
          <w:p w:rsidR="00E72309" w:rsidRPr="00E72309" w:rsidRDefault="00E72309" w:rsidP="00E72309">
            <w:pPr>
              <w:overflowPunct w:val="0"/>
              <w:autoSpaceDE w:val="0"/>
              <w:autoSpaceDN w:val="0"/>
              <w:adjustRightInd w:val="0"/>
              <w:spacing w:before="0" w:after="180"/>
              <w:ind w:left="568"/>
              <w:textAlignment w:val="baseline"/>
              <w:rPr>
                <w:rFonts w:eastAsia="Times New Roman" w:cs="Times New Roman"/>
                <w:szCs w:val="20"/>
                <w:lang w:val="en-GB" w:eastAsia="x-none"/>
              </w:rPr>
            </w:pPr>
            <w:r w:rsidRPr="00E72309">
              <w:rPr>
                <w:rFonts w:eastAsia="Times New Roman" w:cs="Times New Roman"/>
                <w:szCs w:val="20"/>
                <w:lang w:val="en-GB" w:eastAsia="x-none"/>
              </w:rPr>
              <w:t>-</w:t>
            </w:r>
            <w:r w:rsidRPr="00E72309">
              <w:rPr>
                <w:rFonts w:eastAsia="Times New Roman" w:cs="Times New Roman"/>
                <w:szCs w:val="20"/>
                <w:lang w:val="en-GB" w:eastAsia="x-none"/>
              </w:rPr>
              <w:tab/>
              <w:t>Otherwise the UE shall not transmit any data.</w:t>
            </w:r>
          </w:p>
          <w:p w:rsidR="00181C34" w:rsidRPr="00E72309" w:rsidRDefault="00E72309" w:rsidP="00E72309">
            <w:pPr>
              <w:overflowPunct w:val="0"/>
              <w:autoSpaceDE w:val="0"/>
              <w:autoSpaceDN w:val="0"/>
              <w:adjustRightInd w:val="0"/>
              <w:spacing w:before="0" w:after="180"/>
              <w:textAlignment w:val="baseline"/>
              <w:rPr>
                <w:rFonts w:eastAsia="Times New Roman" w:cs="Times New Roman"/>
                <w:szCs w:val="20"/>
                <w:lang w:val="en-GB" w:eastAsia="ko-KR"/>
              </w:rPr>
            </w:pPr>
            <w:r w:rsidRPr="00E72309">
              <w:rPr>
                <w:rFonts w:eastAsia="Times New Roman" w:cs="Times New Roman"/>
                <w:szCs w:val="20"/>
                <w:lang w:val="en-GB" w:eastAsia="zh-CN"/>
              </w:rPr>
              <w:t xml:space="preserve">In determining the above UE behaviour in the uplink subframe occurring immediately after the measurement gap the UE shall treat </w:t>
            </w:r>
            <w:r w:rsidRPr="00E72309">
              <w:rPr>
                <w:rFonts w:eastAsia="Times New Roman" w:cs="Times New Roman"/>
                <w:szCs w:val="20"/>
                <w:lang w:val="en-GB" w:eastAsia="ko-KR"/>
              </w:rPr>
              <w:t xml:space="preserve">a special subframe as an uplink subframe if the special subframe occurs immediately before the </w:t>
            </w:r>
            <w:r w:rsidRPr="00E72309">
              <w:rPr>
                <w:rFonts w:eastAsia="Times New Roman" w:cs="Times New Roman"/>
                <w:szCs w:val="20"/>
                <w:lang w:val="en-GB" w:eastAsia="zh-CN"/>
              </w:rPr>
              <w:t>measurement gap</w:t>
            </w:r>
          </w:p>
        </w:tc>
      </w:tr>
    </w:tbl>
    <w:p w:rsidR="00126990" w:rsidRPr="00126990" w:rsidRDefault="00E72309" w:rsidP="00C74935">
      <w:pPr>
        <w:ind w:right="-23"/>
        <w:rPr>
          <w:rFonts w:eastAsia="Calibri" w:cs="Times New Roman"/>
          <w:szCs w:val="20"/>
        </w:rPr>
      </w:pPr>
      <w:bookmarkStart w:id="5" w:name="_Hlk513205847"/>
      <w:bookmarkEnd w:id="4"/>
      <w:r>
        <w:rPr>
          <w:rFonts w:eastAsia="Calibri" w:cs="Times New Roman"/>
          <w:szCs w:val="20"/>
        </w:rPr>
        <w:t>In order to allow network to schedule the UE properly, the UE behavior in NR for the similar case should be discussed.</w:t>
      </w:r>
      <w:r w:rsidR="002F15C5">
        <w:rPr>
          <w:rFonts w:eastAsia="Calibri" w:cs="Times New Roman"/>
          <w:szCs w:val="20"/>
        </w:rPr>
        <w:t xml:space="preserve"> </w:t>
      </w:r>
      <w:r w:rsidR="00C203DD">
        <w:rPr>
          <w:rFonts w:eastAsia="Calibri" w:cs="Times New Roman"/>
          <w:szCs w:val="20"/>
        </w:rPr>
        <w:t xml:space="preserve">In this paper, we will provide our views on </w:t>
      </w:r>
      <w:r>
        <w:rPr>
          <w:rFonts w:eastAsia="Calibri" w:cs="Times New Roman"/>
          <w:szCs w:val="20"/>
        </w:rPr>
        <w:t>UL transmission in the slot immediately after measurement gaps</w:t>
      </w:r>
      <w:r w:rsidR="00E1417F">
        <w:rPr>
          <w:rFonts w:eastAsia="Calibri" w:cs="Times New Roman"/>
          <w:szCs w:val="20"/>
        </w:rPr>
        <w:t>.</w:t>
      </w:r>
    </w:p>
    <w:bookmarkEnd w:id="5"/>
    <w:p w:rsidR="003B659E" w:rsidRDefault="003B659E" w:rsidP="00AE56B1">
      <w:pPr>
        <w:pStyle w:val="RAN4H1"/>
      </w:pPr>
      <w:r w:rsidRPr="00AE56B1">
        <w:t>Discussion</w:t>
      </w:r>
    </w:p>
    <w:p w:rsidR="0086744C" w:rsidRDefault="00BC6076" w:rsidP="006769B7">
      <w:bookmarkStart w:id="6" w:name="_Hlk513733380"/>
      <w:r>
        <w:t>Specific</w:t>
      </w:r>
      <w:r w:rsidR="00CE2E4F">
        <w:t xml:space="preserve"> rules are defined for the transmission in the UL subframe immediately after measurement gaps in LTE because </w:t>
      </w:r>
      <w:r w:rsidR="00670729">
        <w:t xml:space="preserve">UL transmission are with TA and will </w:t>
      </w:r>
      <w:r w:rsidR="006909A7">
        <w:t>squeeze the gap length if the subframe immediately before gap is DL subframe.</w:t>
      </w:r>
      <w:r w:rsidR="006769B7" w:rsidRPr="006769B7">
        <w:t xml:space="preserve"> </w:t>
      </w:r>
      <w:r w:rsidR="006909A7">
        <w:t xml:space="preserve">This can be shown in </w:t>
      </w:r>
      <w:r w:rsidR="006909A7">
        <w:fldChar w:fldCharType="begin"/>
      </w:r>
      <w:r w:rsidR="006909A7">
        <w:instrText xml:space="preserve"> REF _Ref516846367 \h </w:instrText>
      </w:r>
      <w:r w:rsidR="006909A7">
        <w:fldChar w:fldCharType="separate"/>
      </w:r>
      <w:r w:rsidR="006909A7">
        <w:t xml:space="preserve">Figure </w:t>
      </w:r>
      <w:r w:rsidR="006909A7">
        <w:rPr>
          <w:noProof/>
        </w:rPr>
        <w:t>1</w:t>
      </w:r>
      <w:r w:rsidR="006909A7">
        <w:fldChar w:fldCharType="end"/>
      </w:r>
      <w:r w:rsidR="006909A7">
        <w:t xml:space="preserve"> (a). As measurement gap will only start when the previous subframe before gap ends, if the subframe before gap is DL, the gap start is delayed by the propagation delay from the BS to the UE; and if UE transmits in the subframe after the gap, the end of the gap is advanced by TA. In total the gap length is squeezed by sum of propagation delay and TA.</w:t>
      </w:r>
      <w:r w:rsidR="005340CE">
        <w:t xml:space="preserve"> In this case, UE is required not to transmit in the subframe after gap, to ensure measurement time is not impacted.</w:t>
      </w:r>
      <w:r w:rsidR="00422290">
        <w:t xml:space="preserve"> </w:t>
      </w:r>
      <w:r w:rsidR="0086744C">
        <w:t xml:space="preserve">If the subframe before gap </w:t>
      </w:r>
      <w:r w:rsidR="00422290">
        <w:t>is UL, both the gap starting time and gap ending time are advanced by TA, which effectively means the gap is shifted advance by TA. As the gap length is not impacted, UE may be able to transmit in the subframe after gap.</w:t>
      </w:r>
    </w:p>
    <w:p w:rsidR="005340CE" w:rsidRDefault="005340CE" w:rsidP="006769B7"/>
    <w:p w:rsidR="006909A7" w:rsidRDefault="006909A7" w:rsidP="006909A7">
      <w:pPr>
        <w:keepNext/>
        <w:jc w:val="center"/>
      </w:pPr>
      <w:r>
        <w:rPr>
          <w:noProof/>
        </w:rPr>
        <w:lastRenderedPageBreak/>
        <w:drawing>
          <wp:inline distT="0" distB="0" distL="0" distR="0" wp14:anchorId="7F602AFA">
            <wp:extent cx="4300602" cy="1791110"/>
            <wp:effectExtent l="19050" t="19050" r="24130" b="19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7788" cy="1794103"/>
                    </a:xfrm>
                    <a:prstGeom prst="rect">
                      <a:avLst/>
                    </a:prstGeom>
                    <a:noFill/>
                    <a:ln>
                      <a:solidFill>
                        <a:schemeClr val="accent1"/>
                      </a:solidFill>
                    </a:ln>
                  </pic:spPr>
                </pic:pic>
              </a:graphicData>
            </a:graphic>
          </wp:inline>
        </w:drawing>
      </w:r>
    </w:p>
    <w:p w:rsidR="006909A7" w:rsidRPr="006769B7" w:rsidRDefault="006909A7" w:rsidP="006909A7">
      <w:pPr>
        <w:pStyle w:val="Caption"/>
      </w:pPr>
      <w:bookmarkStart w:id="7" w:name="_Ref516846367"/>
      <w:bookmarkStart w:id="8" w:name="_Ref516846360"/>
      <w:r>
        <w:t xml:space="preserve">Figure </w:t>
      </w:r>
      <w:fldSimple w:instr=" SEQ Figure \* ARABIC ">
        <w:r w:rsidR="006F1199">
          <w:rPr>
            <w:noProof/>
          </w:rPr>
          <w:t>1</w:t>
        </w:r>
      </w:fldSimple>
      <w:bookmarkEnd w:id="7"/>
      <w:r>
        <w:t xml:space="preserve"> Impact of UL subframe on the gap length</w:t>
      </w:r>
      <w:bookmarkEnd w:id="8"/>
      <w:r w:rsidR="005340CE">
        <w:t xml:space="preserve"> in LTE</w:t>
      </w:r>
      <w:r>
        <w:t xml:space="preserve">  </w:t>
      </w:r>
    </w:p>
    <w:p w:rsidR="006F1199" w:rsidRDefault="00422290" w:rsidP="009C7D8C">
      <w:pPr>
        <w:ind w:right="-23"/>
        <w:rPr>
          <w:rFonts w:eastAsia="Calibri" w:cs="Times New Roman"/>
          <w:szCs w:val="20"/>
        </w:rPr>
      </w:pPr>
      <w:r>
        <w:rPr>
          <w:rFonts w:eastAsia="Calibri" w:cs="Times New Roman"/>
          <w:szCs w:val="20"/>
        </w:rPr>
        <w:t xml:space="preserve">For NR, it is reasonable to apply the same rule. One difference in NR as compared to LTE is the </w:t>
      </w:r>
      <w:r w:rsidRPr="00422290">
        <w:rPr>
          <w:rFonts w:eastAsia="Calibri" w:cs="Times New Roman"/>
          <w:szCs w:val="20"/>
        </w:rPr>
        <w:t xml:space="preserve">measurement </w:t>
      </w:r>
      <w:r w:rsidR="006F1199">
        <w:rPr>
          <w:rFonts w:eastAsia="Calibri" w:cs="Times New Roman"/>
          <w:szCs w:val="20"/>
        </w:rPr>
        <w:t>confinement</w:t>
      </w:r>
      <w:r>
        <w:rPr>
          <w:rFonts w:eastAsia="Calibri" w:cs="Times New Roman"/>
          <w:szCs w:val="20"/>
        </w:rPr>
        <w:t xml:space="preserve"> to SMTC window. </w:t>
      </w:r>
      <w:r w:rsidR="006F1199">
        <w:rPr>
          <w:rFonts w:eastAsia="Calibri" w:cs="Times New Roman"/>
          <w:szCs w:val="20"/>
        </w:rPr>
        <w:t xml:space="preserve">In LTE, any 5ms can be a valid measurement window. In NR, the measurement is confined to SMTC window. This is shown in </w:t>
      </w:r>
      <w:r w:rsidR="006F1199">
        <w:rPr>
          <w:rFonts w:eastAsia="Calibri" w:cs="Times New Roman"/>
          <w:szCs w:val="20"/>
        </w:rPr>
        <w:fldChar w:fldCharType="begin"/>
      </w:r>
      <w:r w:rsidR="006F1199">
        <w:rPr>
          <w:rFonts w:eastAsia="Calibri" w:cs="Times New Roman"/>
          <w:szCs w:val="20"/>
        </w:rPr>
        <w:instrText xml:space="preserve"> REF _Ref517171580 \h </w:instrText>
      </w:r>
      <w:r w:rsidR="006F1199">
        <w:rPr>
          <w:rFonts w:eastAsia="Calibri" w:cs="Times New Roman"/>
          <w:szCs w:val="20"/>
        </w:rPr>
      </w:r>
      <w:r w:rsidR="006F1199">
        <w:rPr>
          <w:rFonts w:eastAsia="Calibri" w:cs="Times New Roman"/>
          <w:szCs w:val="20"/>
        </w:rPr>
        <w:fldChar w:fldCharType="separate"/>
      </w:r>
      <w:r w:rsidR="006F1199">
        <w:t xml:space="preserve">Figure </w:t>
      </w:r>
      <w:r w:rsidR="006F1199">
        <w:rPr>
          <w:noProof/>
        </w:rPr>
        <w:t>2</w:t>
      </w:r>
      <w:r w:rsidR="006F1199">
        <w:rPr>
          <w:rFonts w:eastAsia="Calibri" w:cs="Times New Roman"/>
          <w:szCs w:val="20"/>
        </w:rPr>
        <w:fldChar w:fldCharType="end"/>
      </w:r>
      <w:r w:rsidR="006F1199">
        <w:rPr>
          <w:rFonts w:eastAsia="Calibri" w:cs="Times New Roman"/>
          <w:szCs w:val="20"/>
        </w:rPr>
        <w:t xml:space="preserve">. </w:t>
      </w:r>
    </w:p>
    <w:p w:rsidR="006F1199" w:rsidRDefault="006F1199" w:rsidP="006F1199">
      <w:pPr>
        <w:keepNext/>
        <w:ind w:right="-23"/>
        <w:jc w:val="center"/>
      </w:pPr>
      <w:r>
        <w:rPr>
          <w:rFonts w:eastAsia="Calibri" w:cs="Times New Roman"/>
          <w:noProof/>
          <w:szCs w:val="20"/>
        </w:rPr>
        <w:drawing>
          <wp:inline distT="0" distB="0" distL="0" distR="0" wp14:anchorId="5DBD4957">
            <wp:extent cx="4257791" cy="636270"/>
            <wp:effectExtent l="19050" t="19050" r="28575" b="114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4413" cy="653698"/>
                    </a:xfrm>
                    <a:prstGeom prst="rect">
                      <a:avLst/>
                    </a:prstGeom>
                    <a:noFill/>
                    <a:ln>
                      <a:solidFill>
                        <a:schemeClr val="accent1"/>
                      </a:solidFill>
                    </a:ln>
                  </pic:spPr>
                </pic:pic>
              </a:graphicData>
            </a:graphic>
          </wp:inline>
        </w:drawing>
      </w:r>
    </w:p>
    <w:p w:rsidR="009C7D8C" w:rsidRDefault="006F1199" w:rsidP="006F1199">
      <w:pPr>
        <w:pStyle w:val="Caption"/>
        <w:rPr>
          <w:rFonts w:eastAsia="Calibri" w:cs="Times New Roman"/>
          <w:szCs w:val="20"/>
        </w:rPr>
      </w:pPr>
      <w:bookmarkStart w:id="9" w:name="_Ref517171580"/>
      <w:r>
        <w:t xml:space="preserve">Figure </w:t>
      </w:r>
      <w:fldSimple w:instr=" SEQ Figure \* ARABIC ">
        <w:r>
          <w:rPr>
            <w:noProof/>
          </w:rPr>
          <w:t>2</w:t>
        </w:r>
      </w:fldSimple>
      <w:bookmarkEnd w:id="9"/>
      <w:r>
        <w:t xml:space="preserve"> </w:t>
      </w:r>
      <w:r w:rsidRPr="006F1199">
        <w:t xml:space="preserve">Impact of UL subframe on the gap length in </w:t>
      </w:r>
      <w:r>
        <w:t>NR</w:t>
      </w:r>
    </w:p>
    <w:p w:rsidR="006769B7" w:rsidRDefault="006F1199" w:rsidP="006769B7">
      <w:r>
        <w:t xml:space="preserve">As can be seen, since UE has to re-tune after the SMTC window, the transmission in the slot after gap may squeeze the RF re-tuning time even the actual gap length is not shortened. In the example of </w:t>
      </w:r>
      <w:r>
        <w:rPr>
          <w:rFonts w:eastAsia="Calibri" w:cs="Times New Roman"/>
          <w:szCs w:val="20"/>
        </w:rPr>
        <w:fldChar w:fldCharType="begin"/>
      </w:r>
      <w:r>
        <w:rPr>
          <w:rFonts w:eastAsia="Calibri" w:cs="Times New Roman"/>
          <w:szCs w:val="20"/>
        </w:rPr>
        <w:instrText xml:space="preserve"> REF _Ref517171580 \h </w:instrText>
      </w:r>
      <w:r>
        <w:rPr>
          <w:rFonts w:eastAsia="Calibri" w:cs="Times New Roman"/>
          <w:szCs w:val="20"/>
        </w:rPr>
      </w:r>
      <w:r>
        <w:rPr>
          <w:rFonts w:eastAsia="Calibri" w:cs="Times New Roman"/>
          <w:szCs w:val="20"/>
        </w:rPr>
        <w:fldChar w:fldCharType="separate"/>
      </w:r>
      <w:r>
        <w:t xml:space="preserve">Figure </w:t>
      </w:r>
      <w:r>
        <w:rPr>
          <w:noProof/>
        </w:rPr>
        <w:t>2</w:t>
      </w:r>
      <w:r>
        <w:rPr>
          <w:rFonts w:eastAsia="Calibri" w:cs="Times New Roman"/>
          <w:szCs w:val="20"/>
        </w:rPr>
        <w:fldChar w:fldCharType="end"/>
      </w:r>
      <w:r>
        <w:t xml:space="preserve">, the </w:t>
      </w:r>
      <w:r w:rsidRPr="006F1199">
        <w:t>propagation delay</w:t>
      </w:r>
      <w:r>
        <w:t xml:space="preserve"> is 166.67us, which corresponds to a cell range of 50km, and </w:t>
      </w:r>
      <w:r w:rsidR="009419C0">
        <w:t>there will be no re-tuning time left after the SMTC window. In this case it is impossible for UE to transmit in the slit after gap without impacting the measurement time.</w:t>
      </w:r>
    </w:p>
    <w:p w:rsidR="00EA09F1" w:rsidRDefault="009419C0" w:rsidP="00EA09F1">
      <w:r>
        <w:t xml:space="preserve">Of course, 50km cell range </w:t>
      </w:r>
      <w:r w:rsidR="00663C6D">
        <w:t xml:space="preserve">in the example </w:t>
      </w:r>
      <w:r>
        <w:t xml:space="preserve">is extreme. </w:t>
      </w:r>
      <w:r w:rsidR="00663C6D">
        <w:t xml:space="preserve">With </w:t>
      </w:r>
      <w:r>
        <w:t xml:space="preserve">normal </w:t>
      </w:r>
      <w:r w:rsidR="00663C6D">
        <w:t xml:space="preserve">cell range like 3km, the reduction in the re-tuning time is 30us, which can be absorbed in the 500us switching time budget. It is still therefore still possible for UE to transmit in the slot after gap. In the end, it is up to </w:t>
      </w:r>
      <w:r w:rsidR="00663C6D" w:rsidRPr="00663C6D">
        <w:t>UE implementation whether or not the UE can transmit data</w:t>
      </w:r>
      <w:r w:rsidR="00663C6D">
        <w:t>.</w:t>
      </w:r>
    </w:p>
    <w:p w:rsidR="008D36CC" w:rsidRDefault="008D36CC" w:rsidP="00EA09F1">
      <w:r>
        <w:t xml:space="preserve">In NR the slot length is depending on SCS and can be much shorter than 1ms (LTE subframe length), so one may ask if more than one slot after gap can be impacted. </w:t>
      </w:r>
      <w:r w:rsidR="000A1A77">
        <w:t>T</w:t>
      </w:r>
      <w:r w:rsidR="001715FF">
        <w:t xml:space="preserve">his should depend on the </w:t>
      </w:r>
      <w:r w:rsidR="000A1A77">
        <w:t>maximum cell range that are supported with each SCS, and in our view 1 slot is enough since the cell range in real deployment is smaller with increasing SCS.</w:t>
      </w:r>
    </w:p>
    <w:p w:rsidR="000A1A77" w:rsidRDefault="000A1A77" w:rsidP="00EA09F1">
      <w:r>
        <w:t>In NR t</w:t>
      </w:r>
      <w:r w:rsidR="007A040C">
        <w:t>he MGTA is defined. For the SCS of 30/60/120kHz, the gap length is not changed, so the same LTE rule should be re-used. For the SCS of 15kHz, the gap length is effectively increased by 1ms, and it effectively leaves 500us un-used time period after the gap. In this sense, the slot after gap can be used for transmission as long as the cell range is no more than 50km. However, making such a differentiation (between the case of 15kHz with MGTA and the others) will complicate the specification and UE implementation, so our preference is apply a single rule (same rule as in LTE) for UL transmission after gap.</w:t>
      </w:r>
    </w:p>
    <w:p w:rsidR="000A1A77" w:rsidRPr="008D36CC" w:rsidRDefault="000A1A77" w:rsidP="000A1A77">
      <w:pPr>
        <w:pStyle w:val="RAN4proposal"/>
      </w:pPr>
      <w:r w:rsidRPr="008D36CC">
        <w:t xml:space="preserve">LTE rule on the UL transmission in the slot immediately after measurement gap </w:t>
      </w:r>
      <w:r>
        <w:t>is</w:t>
      </w:r>
      <w:r w:rsidRPr="008D36CC">
        <w:t xml:space="preserve"> re-used in NR.</w:t>
      </w:r>
    </w:p>
    <w:bookmarkEnd w:id="6"/>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E0134E" w:rsidRPr="00E0134E">
        <w:rPr>
          <w:lang w:val="en-GB"/>
        </w:rPr>
        <w:t>the</w:t>
      </w:r>
      <w:r w:rsidR="007A040C">
        <w:rPr>
          <w:lang w:val="en-GB"/>
        </w:rPr>
        <w:t xml:space="preserve"> </w:t>
      </w:r>
      <w:r w:rsidR="007A040C" w:rsidRPr="007A040C">
        <w:rPr>
          <w:lang w:val="en-GB"/>
        </w:rPr>
        <w:t>UL transmission in the slot immediately after measurement gaps</w:t>
      </w:r>
      <w:r w:rsidRPr="00B8606D">
        <w:rPr>
          <w:lang w:val="en-GB"/>
        </w:rPr>
        <w:t>.</w:t>
      </w:r>
    </w:p>
    <w:p w:rsidR="003B659E" w:rsidRPr="0095295C" w:rsidRDefault="003B659E" w:rsidP="0008612A">
      <w:pPr>
        <w:pStyle w:val="RAN4H1"/>
      </w:pPr>
      <w:r w:rsidRPr="0095295C">
        <w:t>References</w:t>
      </w:r>
    </w:p>
    <w:p w:rsidR="00CF7FE6" w:rsidRDefault="00CF7FE6" w:rsidP="00162C40">
      <w:pPr>
        <w:numPr>
          <w:ilvl w:val="0"/>
          <w:numId w:val="1"/>
        </w:numPr>
        <w:overflowPunct w:val="0"/>
        <w:autoSpaceDE w:val="0"/>
        <w:autoSpaceDN w:val="0"/>
        <w:adjustRightInd w:val="0"/>
        <w:spacing w:before="0"/>
        <w:jc w:val="both"/>
        <w:rPr>
          <w:rFonts w:eastAsia="Times New Roman" w:cs="Times New Roman"/>
          <w:szCs w:val="20"/>
          <w:lang w:val="en-GB"/>
        </w:rPr>
      </w:pPr>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E00" w:rsidRDefault="00404E00" w:rsidP="00001C9B">
      <w:pPr>
        <w:spacing w:after="0" w:line="240" w:lineRule="auto"/>
      </w:pPr>
      <w:r>
        <w:separator/>
      </w:r>
    </w:p>
  </w:endnote>
  <w:endnote w:type="continuationSeparator" w:id="0">
    <w:p w:rsidR="00404E00" w:rsidRDefault="00404E0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E00" w:rsidRDefault="00404E00" w:rsidP="00001C9B">
      <w:pPr>
        <w:spacing w:after="0" w:line="240" w:lineRule="auto"/>
      </w:pPr>
      <w:r>
        <w:separator/>
      </w:r>
    </w:p>
  </w:footnote>
  <w:footnote w:type="continuationSeparator" w:id="0">
    <w:p w:rsidR="00404E00" w:rsidRDefault="00404E0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9"/>
  </w:num>
  <w:num w:numId="6">
    <w:abstractNumId w:val="1"/>
  </w:num>
  <w:num w:numId="7">
    <w:abstractNumId w:val="3"/>
  </w:num>
  <w:num w:numId="8">
    <w:abstractNumId w:val="10"/>
  </w:num>
  <w:num w:numId="9">
    <w:abstractNumId w:val="8"/>
  </w:num>
  <w:num w:numId="10">
    <w:abstractNumId w:val="2"/>
  </w:num>
  <w:num w:numId="11">
    <w:abstractNumId w:val="12"/>
  </w:num>
  <w:num w:numId="12">
    <w:abstractNumId w:val="7"/>
  </w:num>
  <w:num w:numId="13">
    <w:abstractNumId w:val="4"/>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5259"/>
    <w:rsid w:val="00006B53"/>
    <w:rsid w:val="000308D2"/>
    <w:rsid w:val="0007101A"/>
    <w:rsid w:val="0008612A"/>
    <w:rsid w:val="000A1A77"/>
    <w:rsid w:val="000A1D60"/>
    <w:rsid w:val="000B0056"/>
    <w:rsid w:val="000B021D"/>
    <w:rsid w:val="000C5B30"/>
    <w:rsid w:val="000D0EC5"/>
    <w:rsid w:val="000D447E"/>
    <w:rsid w:val="000E02C1"/>
    <w:rsid w:val="000E0505"/>
    <w:rsid w:val="00100DF1"/>
    <w:rsid w:val="00107D6F"/>
    <w:rsid w:val="00126990"/>
    <w:rsid w:val="001625F8"/>
    <w:rsid w:val="00162C40"/>
    <w:rsid w:val="001715FF"/>
    <w:rsid w:val="001745F8"/>
    <w:rsid w:val="001754B4"/>
    <w:rsid w:val="00176671"/>
    <w:rsid w:val="00181C34"/>
    <w:rsid w:val="001838CF"/>
    <w:rsid w:val="001841C4"/>
    <w:rsid w:val="00191266"/>
    <w:rsid w:val="0019443D"/>
    <w:rsid w:val="001B0034"/>
    <w:rsid w:val="001B7100"/>
    <w:rsid w:val="001C5304"/>
    <w:rsid w:val="001E30F6"/>
    <w:rsid w:val="00213824"/>
    <w:rsid w:val="00220ED5"/>
    <w:rsid w:val="00230501"/>
    <w:rsid w:val="002316D0"/>
    <w:rsid w:val="00235F5C"/>
    <w:rsid w:val="00237338"/>
    <w:rsid w:val="00241561"/>
    <w:rsid w:val="00251A3E"/>
    <w:rsid w:val="002714C1"/>
    <w:rsid w:val="00293297"/>
    <w:rsid w:val="002A07E4"/>
    <w:rsid w:val="002A37E4"/>
    <w:rsid w:val="002A71D5"/>
    <w:rsid w:val="002B4922"/>
    <w:rsid w:val="002C2D19"/>
    <w:rsid w:val="002D10FA"/>
    <w:rsid w:val="002D4C55"/>
    <w:rsid w:val="002F15C5"/>
    <w:rsid w:val="002F3989"/>
    <w:rsid w:val="00300C27"/>
    <w:rsid w:val="0032623A"/>
    <w:rsid w:val="003471C5"/>
    <w:rsid w:val="0036162C"/>
    <w:rsid w:val="00370383"/>
    <w:rsid w:val="0038214C"/>
    <w:rsid w:val="003A2443"/>
    <w:rsid w:val="003B659E"/>
    <w:rsid w:val="003E7F12"/>
    <w:rsid w:val="00404E00"/>
    <w:rsid w:val="00417AA0"/>
    <w:rsid w:val="00422290"/>
    <w:rsid w:val="0043750A"/>
    <w:rsid w:val="00443559"/>
    <w:rsid w:val="00450F5D"/>
    <w:rsid w:val="00463825"/>
    <w:rsid w:val="004B7B4A"/>
    <w:rsid w:val="004C1EB4"/>
    <w:rsid w:val="004D35C8"/>
    <w:rsid w:val="004D7F9F"/>
    <w:rsid w:val="004E27A4"/>
    <w:rsid w:val="004E5E66"/>
    <w:rsid w:val="004F3D3B"/>
    <w:rsid w:val="004F796F"/>
    <w:rsid w:val="00503B4D"/>
    <w:rsid w:val="00504EE9"/>
    <w:rsid w:val="00510765"/>
    <w:rsid w:val="00512F8C"/>
    <w:rsid w:val="005340CE"/>
    <w:rsid w:val="0054442C"/>
    <w:rsid w:val="00547F5E"/>
    <w:rsid w:val="00550285"/>
    <w:rsid w:val="0058317D"/>
    <w:rsid w:val="005836F8"/>
    <w:rsid w:val="005918FA"/>
    <w:rsid w:val="005E61A8"/>
    <w:rsid w:val="005F6419"/>
    <w:rsid w:val="00617400"/>
    <w:rsid w:val="00655EA6"/>
    <w:rsid w:val="00660DC2"/>
    <w:rsid w:val="00663C6D"/>
    <w:rsid w:val="00664950"/>
    <w:rsid w:val="00670729"/>
    <w:rsid w:val="006764BB"/>
    <w:rsid w:val="006769B7"/>
    <w:rsid w:val="00683220"/>
    <w:rsid w:val="00687FA0"/>
    <w:rsid w:val="006909A7"/>
    <w:rsid w:val="006A4DAC"/>
    <w:rsid w:val="006B2AF8"/>
    <w:rsid w:val="006B7010"/>
    <w:rsid w:val="006F1199"/>
    <w:rsid w:val="006F4187"/>
    <w:rsid w:val="00702B7D"/>
    <w:rsid w:val="007145FF"/>
    <w:rsid w:val="00736818"/>
    <w:rsid w:val="00751515"/>
    <w:rsid w:val="00782462"/>
    <w:rsid w:val="00785232"/>
    <w:rsid w:val="007A040C"/>
    <w:rsid w:val="007A6422"/>
    <w:rsid w:val="007C0DA8"/>
    <w:rsid w:val="007C33D9"/>
    <w:rsid w:val="007C3ED0"/>
    <w:rsid w:val="007F6B81"/>
    <w:rsid w:val="00806A76"/>
    <w:rsid w:val="00811C9D"/>
    <w:rsid w:val="00816C80"/>
    <w:rsid w:val="00820C48"/>
    <w:rsid w:val="00820C57"/>
    <w:rsid w:val="00821EA5"/>
    <w:rsid w:val="0082271A"/>
    <w:rsid w:val="00835C66"/>
    <w:rsid w:val="00841BCD"/>
    <w:rsid w:val="00860308"/>
    <w:rsid w:val="00866276"/>
    <w:rsid w:val="0086744C"/>
    <w:rsid w:val="0088046B"/>
    <w:rsid w:val="008826C1"/>
    <w:rsid w:val="008A23C5"/>
    <w:rsid w:val="008C37E4"/>
    <w:rsid w:val="008C6F57"/>
    <w:rsid w:val="008D36CC"/>
    <w:rsid w:val="009042BD"/>
    <w:rsid w:val="00912E2D"/>
    <w:rsid w:val="00916E4C"/>
    <w:rsid w:val="00921C13"/>
    <w:rsid w:val="009249B4"/>
    <w:rsid w:val="00937A19"/>
    <w:rsid w:val="009419C0"/>
    <w:rsid w:val="0095476A"/>
    <w:rsid w:val="00977E1D"/>
    <w:rsid w:val="009830D1"/>
    <w:rsid w:val="00985EAF"/>
    <w:rsid w:val="0099686D"/>
    <w:rsid w:val="009B2113"/>
    <w:rsid w:val="009C3226"/>
    <w:rsid w:val="009C4527"/>
    <w:rsid w:val="009C7D8C"/>
    <w:rsid w:val="009F0439"/>
    <w:rsid w:val="00A02AF0"/>
    <w:rsid w:val="00A077CE"/>
    <w:rsid w:val="00A15A9F"/>
    <w:rsid w:val="00A22B78"/>
    <w:rsid w:val="00A25AE5"/>
    <w:rsid w:val="00A37002"/>
    <w:rsid w:val="00A506FD"/>
    <w:rsid w:val="00A85E46"/>
    <w:rsid w:val="00A95C98"/>
    <w:rsid w:val="00AA1B0E"/>
    <w:rsid w:val="00AA1C57"/>
    <w:rsid w:val="00AC21E5"/>
    <w:rsid w:val="00AC2B38"/>
    <w:rsid w:val="00AC5CA7"/>
    <w:rsid w:val="00AD7661"/>
    <w:rsid w:val="00AE4940"/>
    <w:rsid w:val="00AE56B1"/>
    <w:rsid w:val="00AE6451"/>
    <w:rsid w:val="00B13BFE"/>
    <w:rsid w:val="00B16397"/>
    <w:rsid w:val="00B17E6E"/>
    <w:rsid w:val="00B53D00"/>
    <w:rsid w:val="00B5454D"/>
    <w:rsid w:val="00B56F0A"/>
    <w:rsid w:val="00B73862"/>
    <w:rsid w:val="00B749E2"/>
    <w:rsid w:val="00B74C1F"/>
    <w:rsid w:val="00B85AFC"/>
    <w:rsid w:val="00B8606D"/>
    <w:rsid w:val="00BA6E48"/>
    <w:rsid w:val="00BC6076"/>
    <w:rsid w:val="00BF2218"/>
    <w:rsid w:val="00C04855"/>
    <w:rsid w:val="00C073BD"/>
    <w:rsid w:val="00C1670A"/>
    <w:rsid w:val="00C17F56"/>
    <w:rsid w:val="00C203DD"/>
    <w:rsid w:val="00C22A0E"/>
    <w:rsid w:val="00C36634"/>
    <w:rsid w:val="00C42272"/>
    <w:rsid w:val="00C5261B"/>
    <w:rsid w:val="00C63E4C"/>
    <w:rsid w:val="00C74935"/>
    <w:rsid w:val="00C83C46"/>
    <w:rsid w:val="00CB5915"/>
    <w:rsid w:val="00CD7492"/>
    <w:rsid w:val="00CE1EBA"/>
    <w:rsid w:val="00CE2001"/>
    <w:rsid w:val="00CE2E4F"/>
    <w:rsid w:val="00CE3A6B"/>
    <w:rsid w:val="00CF5B5D"/>
    <w:rsid w:val="00CF7FE6"/>
    <w:rsid w:val="00D00211"/>
    <w:rsid w:val="00D03FC6"/>
    <w:rsid w:val="00D06309"/>
    <w:rsid w:val="00D24E4B"/>
    <w:rsid w:val="00D351EA"/>
    <w:rsid w:val="00D3564B"/>
    <w:rsid w:val="00D43403"/>
    <w:rsid w:val="00D62E71"/>
    <w:rsid w:val="00D740CA"/>
    <w:rsid w:val="00D762F2"/>
    <w:rsid w:val="00D775D8"/>
    <w:rsid w:val="00D85728"/>
    <w:rsid w:val="00DA2080"/>
    <w:rsid w:val="00DA7616"/>
    <w:rsid w:val="00DF2997"/>
    <w:rsid w:val="00E0134E"/>
    <w:rsid w:val="00E1417F"/>
    <w:rsid w:val="00E20ED2"/>
    <w:rsid w:val="00E529FA"/>
    <w:rsid w:val="00E6410D"/>
    <w:rsid w:val="00E72309"/>
    <w:rsid w:val="00E80E17"/>
    <w:rsid w:val="00E8297E"/>
    <w:rsid w:val="00E93772"/>
    <w:rsid w:val="00EA09F1"/>
    <w:rsid w:val="00EA2962"/>
    <w:rsid w:val="00EB7D30"/>
    <w:rsid w:val="00EC1B37"/>
    <w:rsid w:val="00EC7BC3"/>
    <w:rsid w:val="00ED7600"/>
    <w:rsid w:val="00EE15DB"/>
    <w:rsid w:val="00EE7CB7"/>
    <w:rsid w:val="00EF236A"/>
    <w:rsid w:val="00EF6F57"/>
    <w:rsid w:val="00F03CC9"/>
    <w:rsid w:val="00F1362C"/>
    <w:rsid w:val="00F3291A"/>
    <w:rsid w:val="00F34499"/>
    <w:rsid w:val="00F44843"/>
    <w:rsid w:val="00F45713"/>
    <w:rsid w:val="00F824F5"/>
    <w:rsid w:val="00F92A15"/>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30"/>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CDADD-E22B-489D-A0F3-2B09EDA0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6742</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53</cp:revision>
  <dcterms:created xsi:type="dcterms:W3CDTF">2018-05-01T11:51:00Z</dcterms:created>
  <dcterms:modified xsi:type="dcterms:W3CDTF">2018-06-25T18:40:00Z</dcterms:modified>
</cp:coreProperties>
</file>