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7B17A3" w:rsidRPr="007B17A3">
        <w:rPr>
          <w:rFonts w:ascii="Arial" w:hAnsi="Arial" w:cs="Arial"/>
          <w:b/>
          <w:sz w:val="24"/>
          <w:lang w:val="en-US" w:eastAsia="zh-CN"/>
        </w:rPr>
        <w:t>R4-2110914</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55BFA" w:rsidRPr="00755BFA">
        <w:rPr>
          <w:rFonts w:ascii="Arial" w:eastAsia="宋体" w:hAnsi="Arial"/>
          <w:b/>
          <w:sz w:val="24"/>
          <w:lang w:val="en-US" w:eastAsia="zh-CN"/>
        </w:rPr>
        <w:t>Discussion on GNSS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55BFA">
        <w:rPr>
          <w:rFonts w:ascii="Arial" w:eastAsia="宋体" w:hAnsi="Arial"/>
          <w:b/>
          <w:sz w:val="24"/>
          <w:lang w:val="en-US" w:eastAsia="zh-CN"/>
        </w:rPr>
        <w:t>9.12.4.2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755BFA"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issues for NTN RRM requirements were discussed in RAN4#98-bis-e, and the outcomes are captured in [1]</w:t>
      </w:r>
      <w:r w:rsidR="00D56BD6">
        <w:rPr>
          <w:rFonts w:eastAsia="宋体"/>
          <w:lang w:eastAsia="zh-CN"/>
        </w:rPr>
        <w:t xml:space="preserve">. </w:t>
      </w:r>
      <w:r>
        <w:rPr>
          <w:rFonts w:eastAsia="宋体"/>
          <w:lang w:eastAsia="zh-CN"/>
        </w:rPr>
        <w:t>Based on our understanding, RAN4 needs to further discuss the GNSS related requirements as GNSS is assumed to be used in some procedure in NTN system.</w:t>
      </w:r>
    </w:p>
    <w:p w:rsidR="004E082D" w:rsidRPr="00D12E24" w:rsidRDefault="00755BFA"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the GNSS related requirements as assumptions for defining NTN RRM requirements</w:t>
      </w:r>
      <w:r w:rsidR="004E082D">
        <w:rPr>
          <w:rFonts w:eastAsia="宋体"/>
          <w:lang w:eastAsia="zh-CN"/>
        </w:rPr>
        <w:t>.</w:t>
      </w:r>
    </w:p>
    <w:p w:rsidR="00754DE9" w:rsidRDefault="00B06084" w:rsidP="00754DE9">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BA7084" w:rsidTr="00BA7084">
        <w:tc>
          <w:tcPr>
            <w:tcW w:w="9621" w:type="dxa"/>
          </w:tcPr>
          <w:p w:rsidR="00156B39" w:rsidRPr="00BA7084" w:rsidRDefault="00245EC9" w:rsidP="00BA7084">
            <w:pPr>
              <w:numPr>
                <w:ilvl w:val="1"/>
                <w:numId w:val="20"/>
              </w:numPr>
              <w:spacing w:before="120" w:after="120"/>
              <w:rPr>
                <w:rFonts w:eastAsiaTheme="minorEastAsia"/>
                <w:lang w:val="en-US" w:eastAsia="zh-CN"/>
              </w:rPr>
            </w:pPr>
            <w:r w:rsidRPr="00BA7084">
              <w:rPr>
                <w:rFonts w:eastAsiaTheme="minorEastAsia"/>
                <w:lang w:val="en-US" w:eastAsia="zh-CN"/>
              </w:rPr>
              <w:t>Issue 2-4: Criteria of GNSS accuracy</w:t>
            </w:r>
          </w:p>
          <w:p w:rsidR="00156B39" w:rsidRPr="00BA7084" w:rsidRDefault="00245EC9" w:rsidP="00BA7084">
            <w:pPr>
              <w:numPr>
                <w:ilvl w:val="2"/>
                <w:numId w:val="20"/>
              </w:numPr>
              <w:spacing w:before="120" w:after="120"/>
              <w:rPr>
                <w:rFonts w:eastAsiaTheme="minorEastAsia"/>
                <w:lang w:val="en-US" w:eastAsia="zh-CN"/>
              </w:rPr>
            </w:pPr>
            <w:r w:rsidRPr="00BA7084">
              <w:rPr>
                <w:rFonts w:eastAsiaTheme="minorEastAsia"/>
                <w:lang w:eastAsia="zh-CN"/>
              </w:rPr>
              <w:t>The impact of GNSS accuracy should be considered when defining each RRM requirement</w:t>
            </w:r>
          </w:p>
          <w:p w:rsidR="00156B39" w:rsidRPr="00BA7084" w:rsidRDefault="00245EC9" w:rsidP="00BA7084">
            <w:pPr>
              <w:numPr>
                <w:ilvl w:val="3"/>
                <w:numId w:val="20"/>
              </w:numPr>
              <w:spacing w:before="120" w:after="120"/>
              <w:rPr>
                <w:rFonts w:eastAsiaTheme="minorEastAsia"/>
                <w:lang w:val="en-US" w:eastAsia="zh-CN"/>
              </w:rPr>
            </w:pPr>
            <w:r w:rsidRPr="00BA7084">
              <w:rPr>
                <w:rFonts w:eastAsiaTheme="minorEastAsia"/>
                <w:lang w:eastAsia="zh-CN"/>
              </w:rPr>
              <w:t>GNSS accuracy (e.g. as a function of UE GNSS capability) and side conditions and exact impact on the RRM requirements are FFS.</w:t>
            </w:r>
          </w:p>
          <w:p w:rsidR="00156B39" w:rsidRPr="00BA7084" w:rsidRDefault="00245EC9" w:rsidP="00BA7084">
            <w:pPr>
              <w:numPr>
                <w:ilvl w:val="3"/>
                <w:numId w:val="20"/>
              </w:numPr>
              <w:spacing w:before="120" w:after="120"/>
              <w:rPr>
                <w:rFonts w:eastAsiaTheme="minorEastAsia"/>
                <w:lang w:val="en-US" w:eastAsia="zh-CN"/>
              </w:rPr>
            </w:pPr>
            <w:r w:rsidRPr="00BA7084">
              <w:rPr>
                <w:rFonts w:eastAsiaTheme="minorEastAsia"/>
                <w:lang w:eastAsia="zh-CN"/>
              </w:rPr>
              <w:t xml:space="preserve">GNSS accuracy enhancements are out of scope </w:t>
            </w:r>
          </w:p>
          <w:p w:rsidR="00156B39" w:rsidRPr="00BA7084" w:rsidRDefault="00245EC9" w:rsidP="00BA7084">
            <w:pPr>
              <w:numPr>
                <w:ilvl w:val="1"/>
                <w:numId w:val="20"/>
              </w:numPr>
              <w:spacing w:before="120" w:after="120"/>
              <w:rPr>
                <w:rFonts w:eastAsiaTheme="minorEastAsia"/>
                <w:lang w:val="en-US" w:eastAsia="zh-CN"/>
              </w:rPr>
            </w:pPr>
            <w:r w:rsidRPr="00BA7084">
              <w:rPr>
                <w:rFonts w:eastAsiaTheme="minorEastAsia"/>
                <w:lang w:val="en-US" w:eastAsia="zh-CN"/>
              </w:rPr>
              <w:t>Issue 2-6: Impact of time to first fix/time to subsequent fix on RRM requirements</w:t>
            </w:r>
          </w:p>
          <w:p w:rsidR="00BA7084" w:rsidRDefault="00245EC9" w:rsidP="00BA7084">
            <w:pPr>
              <w:numPr>
                <w:ilvl w:val="2"/>
                <w:numId w:val="20"/>
              </w:numPr>
              <w:spacing w:before="120" w:after="120"/>
              <w:rPr>
                <w:rFonts w:eastAsiaTheme="minorEastAsia"/>
                <w:lang w:val="en-US" w:eastAsia="zh-CN"/>
              </w:rPr>
            </w:pPr>
            <w:r w:rsidRPr="00BA7084">
              <w:rPr>
                <w:rFonts w:eastAsiaTheme="minorEastAsia"/>
                <w:lang w:eastAsia="zh-CN"/>
              </w:rPr>
              <w:t>RAN4 shall figure out the accuracy or response time difference between TTFF and TTFS before concluding this issue. The impact on specific RRM requirements and respective scenarios is FFS.</w:t>
            </w:r>
          </w:p>
          <w:p w:rsidR="00156B39" w:rsidRPr="00BA7084" w:rsidRDefault="00245EC9" w:rsidP="00BA7084">
            <w:pPr>
              <w:numPr>
                <w:ilvl w:val="1"/>
                <w:numId w:val="20"/>
              </w:numPr>
              <w:spacing w:before="120" w:after="120"/>
              <w:rPr>
                <w:rFonts w:eastAsiaTheme="minorEastAsia"/>
                <w:lang w:val="en-US" w:eastAsia="zh-CN"/>
              </w:rPr>
            </w:pPr>
            <w:r w:rsidRPr="00BA7084">
              <w:rPr>
                <w:rFonts w:eastAsiaTheme="minorEastAsia"/>
                <w:lang w:val="en-US" w:eastAsia="zh-CN"/>
              </w:rPr>
              <w:t>Issue 2-8: Reference GNSS scenario</w:t>
            </w:r>
          </w:p>
          <w:p w:rsidR="00156B39" w:rsidRPr="00BA7084" w:rsidRDefault="00245EC9" w:rsidP="00BA7084">
            <w:pPr>
              <w:numPr>
                <w:ilvl w:val="2"/>
                <w:numId w:val="20"/>
              </w:numPr>
              <w:spacing w:before="120" w:after="120"/>
              <w:rPr>
                <w:rFonts w:eastAsiaTheme="minorEastAsia"/>
                <w:lang w:val="en-US" w:eastAsia="zh-CN"/>
              </w:rPr>
            </w:pPr>
            <w:r w:rsidRPr="00BA7084">
              <w:rPr>
                <w:rFonts w:eastAsiaTheme="minorEastAsia"/>
                <w:lang w:eastAsia="zh-CN"/>
              </w:rPr>
              <w:t>Typical and worst-case scenario parameters are FFS. For worst-case parameters, the following minimum requirements can be used as starting point:</w:t>
            </w:r>
          </w:p>
          <w:tbl>
            <w:tblPr>
              <w:tblW w:w="0" w:type="auto"/>
              <w:jc w:val="center"/>
              <w:tblCellMar>
                <w:left w:w="0" w:type="dxa"/>
                <w:right w:w="0" w:type="dxa"/>
              </w:tblCellMar>
              <w:tblLook w:val="04A0" w:firstRow="1" w:lastRow="0" w:firstColumn="1" w:lastColumn="0" w:noHBand="0" w:noVBand="1"/>
            </w:tblPr>
            <w:tblGrid>
              <w:gridCol w:w="864"/>
              <w:gridCol w:w="1279"/>
              <w:gridCol w:w="1835"/>
              <w:gridCol w:w="1908"/>
            </w:tblGrid>
            <w:tr w:rsidR="00BA7084" w:rsidRPr="00BA7084" w:rsidTr="00BA7084">
              <w:trPr>
                <w:trHeight w:val="517"/>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Pr>
                      <w:rFonts w:eastAsiaTheme="minorEastAsia" w:hint="eastAsia"/>
                      <w:lang w:val="en-US" w:eastAsia="zh-CN"/>
                    </w:rPr>
                    <w:t xml:space="preserve"> </w:t>
                  </w:r>
                  <w:r w:rsidRPr="00BA7084">
                    <w:rPr>
                      <w:rFonts w:eastAsiaTheme="minorEastAsia"/>
                      <w:b/>
                      <w:bCs/>
                      <w:lang w:eastAsia="zh-CN"/>
                    </w:rPr>
                    <w:t>System</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b/>
                      <w:bCs/>
                      <w:lang w:eastAsia="zh-CN"/>
                    </w:rPr>
                    <w:t>Success rate</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b/>
                      <w:bCs/>
                      <w:lang w:eastAsia="zh-CN"/>
                    </w:rPr>
                    <w:t>2-D position error</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b/>
                      <w:bCs/>
                      <w:lang w:eastAsia="zh-CN"/>
                    </w:rPr>
                    <w:t>Max response time</w:t>
                  </w:r>
                </w:p>
              </w:tc>
            </w:tr>
            <w:tr w:rsidR="00BA7084" w:rsidRPr="00BA7084" w:rsidTr="00BA7084">
              <w:trPr>
                <w:trHeight w:val="51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b/>
                      <w:bCs/>
                      <w:lang w:eastAsia="zh-CN"/>
                    </w:rPr>
                    <w:t>All</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lang w:eastAsia="zh-CN"/>
                    </w:rPr>
                    <w:t>95 %</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lang w:eastAsia="zh-CN"/>
                    </w:rPr>
                    <w:t>100 m</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28" w:type="dxa"/>
                    <w:bottom w:w="0" w:type="dxa"/>
                    <w:right w:w="108" w:type="dxa"/>
                  </w:tcMar>
                  <w:hideMark/>
                </w:tcPr>
                <w:p w:rsidR="00BA7084" w:rsidRPr="00BA7084" w:rsidRDefault="00BA7084" w:rsidP="00BA7084">
                  <w:pPr>
                    <w:spacing w:before="120" w:after="120"/>
                    <w:rPr>
                      <w:rFonts w:eastAsiaTheme="minorEastAsia"/>
                      <w:lang w:val="en-US" w:eastAsia="zh-CN"/>
                    </w:rPr>
                  </w:pPr>
                  <w:r w:rsidRPr="00BA7084">
                    <w:rPr>
                      <w:rFonts w:eastAsiaTheme="minorEastAsia"/>
                      <w:lang w:eastAsia="zh-CN"/>
                    </w:rPr>
                    <w:t>20 s</w:t>
                  </w:r>
                </w:p>
              </w:tc>
            </w:tr>
          </w:tbl>
          <w:p w:rsidR="00156B39" w:rsidRPr="00BA7084" w:rsidRDefault="00245EC9" w:rsidP="00BA7084">
            <w:pPr>
              <w:numPr>
                <w:ilvl w:val="2"/>
                <w:numId w:val="20"/>
              </w:numPr>
              <w:spacing w:before="120" w:after="120"/>
              <w:rPr>
                <w:rFonts w:eastAsiaTheme="minorEastAsia"/>
                <w:lang w:val="en-US" w:eastAsia="zh-CN"/>
              </w:rPr>
            </w:pPr>
            <w:r w:rsidRPr="00BA7084">
              <w:rPr>
                <w:rFonts w:eastAsiaTheme="minorEastAsia"/>
                <w:lang w:val="en-US" w:eastAsia="zh-CN"/>
              </w:rPr>
              <w:t>FFS how much total timing error budget the UE can consume</w:t>
            </w:r>
          </w:p>
          <w:p w:rsidR="00BA7084" w:rsidRPr="00D33817" w:rsidRDefault="00245EC9" w:rsidP="00BA7084">
            <w:pPr>
              <w:numPr>
                <w:ilvl w:val="2"/>
                <w:numId w:val="20"/>
              </w:numPr>
              <w:spacing w:before="120" w:after="120"/>
              <w:rPr>
                <w:rFonts w:eastAsiaTheme="minorEastAsia"/>
                <w:lang w:val="en-US" w:eastAsia="zh-CN"/>
              </w:rPr>
            </w:pPr>
            <w:r w:rsidRPr="00BA7084">
              <w:rPr>
                <w:rFonts w:eastAsiaTheme="minorEastAsia"/>
                <w:lang w:val="en-US" w:eastAsia="zh-CN"/>
              </w:rPr>
              <w:t>FFS on how to narrow down from 3GPP spec such as 38.171 to avoid extensive discussion</w:t>
            </w:r>
          </w:p>
        </w:tc>
      </w:tr>
    </w:tbl>
    <w:p w:rsidR="00B0583B" w:rsidRDefault="00B0583B" w:rsidP="00D56BD6">
      <w:pPr>
        <w:spacing w:before="120" w:after="120"/>
        <w:rPr>
          <w:rFonts w:eastAsiaTheme="minorEastAsia"/>
          <w:lang w:val="en-US" w:eastAsia="zh-CN"/>
        </w:rPr>
      </w:pPr>
      <w:r>
        <w:rPr>
          <w:rFonts w:eastAsiaTheme="minorEastAsia"/>
          <w:lang w:val="en-US" w:eastAsia="zh-CN"/>
        </w:rPr>
        <w:t>We understand defining or enhancing GNSS related requirements for NTN is out of scope the NTN WI</w:t>
      </w:r>
      <w:r w:rsidR="00D33817">
        <w:rPr>
          <w:rFonts w:eastAsiaTheme="minorEastAsia"/>
          <w:lang w:val="en-US" w:eastAsia="zh-CN"/>
        </w:rPr>
        <w:t xml:space="preserve"> as agreed in [1] under Issue 2-4</w:t>
      </w:r>
      <w:r>
        <w:rPr>
          <w:rFonts w:eastAsiaTheme="minorEastAsia"/>
          <w:lang w:val="en-US" w:eastAsia="zh-CN"/>
        </w:rPr>
        <w:t xml:space="preserve">, but instead RAN4 could discuss GNSS related requirements as assumptions for NTN RRM requirements. </w:t>
      </w:r>
      <w:r>
        <w:rPr>
          <w:rFonts w:eastAsiaTheme="minorEastAsia" w:hint="eastAsia"/>
          <w:lang w:val="en-US" w:eastAsia="zh-CN"/>
        </w:rPr>
        <w:t>A</w:t>
      </w:r>
      <w:r>
        <w:rPr>
          <w:rFonts w:eastAsiaTheme="minorEastAsia"/>
          <w:lang w:val="en-US" w:eastAsia="zh-CN"/>
        </w:rPr>
        <w:t xml:space="preserve">s 38.171 is the only </w:t>
      </w:r>
      <w:r w:rsidR="00315B6F">
        <w:rPr>
          <w:rFonts w:eastAsiaTheme="minorEastAsia"/>
          <w:lang w:val="en-US" w:eastAsia="zh-CN"/>
        </w:rPr>
        <w:t xml:space="preserve">3GPP spec that specifies GNSS </w:t>
      </w:r>
      <w:r>
        <w:rPr>
          <w:rFonts w:eastAsiaTheme="minorEastAsia"/>
          <w:lang w:val="en-US" w:eastAsia="zh-CN"/>
        </w:rPr>
        <w:t>requirements</w:t>
      </w:r>
      <w:r w:rsidR="00315B6F">
        <w:rPr>
          <w:rFonts w:eastAsiaTheme="minorEastAsia"/>
          <w:lang w:val="en-US" w:eastAsia="zh-CN"/>
        </w:rPr>
        <w:t xml:space="preserve">, we suggest to take it as the baseline for defining NTN RRM requirements. </w:t>
      </w:r>
    </w:p>
    <w:p w:rsidR="00315B6F" w:rsidRPr="00315B6F" w:rsidRDefault="00315B6F" w:rsidP="00D56BD6">
      <w:pPr>
        <w:spacing w:before="120" w:after="120"/>
        <w:rPr>
          <w:rFonts w:eastAsiaTheme="minorEastAsia"/>
          <w:b/>
          <w:lang w:val="en-US" w:eastAsia="zh-CN"/>
        </w:rPr>
      </w:pPr>
      <w:r w:rsidRPr="00315B6F">
        <w:rPr>
          <w:rFonts w:eastAsiaTheme="minorEastAsia" w:hint="eastAsia"/>
          <w:b/>
          <w:lang w:val="en-US" w:eastAsia="zh-CN"/>
        </w:rPr>
        <w:t>P</w:t>
      </w:r>
      <w:r w:rsidRPr="00315B6F">
        <w:rPr>
          <w:rFonts w:eastAsiaTheme="minorEastAsia"/>
          <w:b/>
          <w:lang w:val="en-US" w:eastAsia="zh-CN"/>
        </w:rPr>
        <w:t>roposal 1: Take GNSS requirements in 38171 as the baseline for defining NTN RRM requirements.</w:t>
      </w:r>
    </w:p>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Table 1, we listed the GNSS accuracy requirements in 38.171.</w:t>
      </w:r>
    </w:p>
    <w:p w:rsidR="00315B6F" w:rsidRPr="00F32F2F" w:rsidRDefault="00315B6F" w:rsidP="00315B6F">
      <w:pPr>
        <w:overflowPunct w:val="0"/>
        <w:autoSpaceDE w:val="0"/>
        <w:autoSpaceDN w:val="0"/>
        <w:adjustRightInd w:val="0"/>
        <w:spacing w:beforeLines="0" w:before="120" w:afterLines="0" w:after="120"/>
        <w:jc w:val="center"/>
        <w:textAlignment w:val="baseline"/>
        <w:rPr>
          <w:rFonts w:eastAsia="宋体"/>
          <w:b/>
          <w:lang w:eastAsia="zh-CN"/>
        </w:rPr>
      </w:pPr>
      <w:r w:rsidRPr="00F32F2F">
        <w:rPr>
          <w:rFonts w:eastAsia="宋体"/>
          <w:b/>
          <w:lang w:eastAsia="zh-CN"/>
        </w:rPr>
        <w:lastRenderedPageBreak/>
        <w:t>Table 1: GNSS positioning accuracy requirements in 38.171</w:t>
      </w:r>
    </w:p>
    <w:tbl>
      <w:tblPr>
        <w:tblStyle w:val="af4"/>
        <w:tblW w:w="0" w:type="auto"/>
        <w:tblLook w:val="04A0" w:firstRow="1" w:lastRow="0" w:firstColumn="1" w:lastColumn="0" w:noHBand="0" w:noVBand="1"/>
      </w:tblPr>
      <w:tblGrid>
        <w:gridCol w:w="1201"/>
        <w:gridCol w:w="7192"/>
        <w:gridCol w:w="1228"/>
      </w:tblGrid>
      <w:tr w:rsidR="00315B6F" w:rsidTr="00315B6F">
        <w:tc>
          <w:tcPr>
            <w:tcW w:w="0" w:type="auto"/>
          </w:tcPr>
          <w:p w:rsidR="00315B6F" w:rsidRPr="005D2F78" w:rsidRDefault="00315B6F" w:rsidP="00315B6F">
            <w:pPr>
              <w:overflowPunct w:val="0"/>
              <w:autoSpaceDE w:val="0"/>
              <w:autoSpaceDN w:val="0"/>
              <w:adjustRightInd w:val="0"/>
              <w:spacing w:beforeLines="0" w:before="120" w:afterLines="0" w:after="120"/>
              <w:textAlignment w:val="baseline"/>
              <w:rPr>
                <w:rFonts w:eastAsia="宋体"/>
                <w:b/>
                <w:lang w:eastAsia="zh-CN"/>
              </w:rPr>
            </w:pPr>
            <w:r w:rsidRPr="005D2F78">
              <w:rPr>
                <w:rFonts w:eastAsia="宋体" w:hint="eastAsia"/>
                <w:b/>
                <w:lang w:eastAsia="zh-CN"/>
              </w:rPr>
              <w:t>S</w:t>
            </w:r>
            <w:r w:rsidRPr="005D2F78">
              <w:rPr>
                <w:rFonts w:eastAsia="宋体"/>
                <w:b/>
                <w:lang w:eastAsia="zh-CN"/>
              </w:rPr>
              <w:t xml:space="preserve">cenario </w:t>
            </w:r>
          </w:p>
        </w:tc>
        <w:tc>
          <w:tcPr>
            <w:tcW w:w="0" w:type="auto"/>
          </w:tcPr>
          <w:p w:rsidR="00315B6F" w:rsidRPr="005D2F78" w:rsidRDefault="00315B6F" w:rsidP="00315B6F">
            <w:pPr>
              <w:overflowPunct w:val="0"/>
              <w:autoSpaceDE w:val="0"/>
              <w:autoSpaceDN w:val="0"/>
              <w:adjustRightInd w:val="0"/>
              <w:spacing w:beforeLines="0" w:before="120" w:afterLines="0" w:after="120"/>
              <w:textAlignment w:val="baseline"/>
              <w:rPr>
                <w:rFonts w:eastAsia="宋体"/>
                <w:b/>
                <w:lang w:eastAsia="zh-CN"/>
              </w:rPr>
            </w:pPr>
            <w:r w:rsidRPr="005D2F78">
              <w:rPr>
                <w:rFonts w:eastAsia="宋体"/>
                <w:b/>
                <w:lang w:eastAsia="zh-CN"/>
              </w:rPr>
              <w:t>Description</w:t>
            </w:r>
            <w:r w:rsidRPr="005D2F78">
              <w:rPr>
                <w:rFonts w:eastAsia="宋体" w:hint="eastAsia"/>
                <w:b/>
                <w:lang w:eastAsia="zh-CN"/>
              </w:rPr>
              <w:t xml:space="preserve"> </w:t>
            </w:r>
          </w:p>
        </w:tc>
        <w:tc>
          <w:tcPr>
            <w:tcW w:w="0" w:type="auto"/>
          </w:tcPr>
          <w:p w:rsidR="00315B6F" w:rsidRPr="005D2F78" w:rsidRDefault="00315B6F" w:rsidP="00315B6F">
            <w:pPr>
              <w:overflowPunct w:val="0"/>
              <w:autoSpaceDE w:val="0"/>
              <w:autoSpaceDN w:val="0"/>
              <w:adjustRightInd w:val="0"/>
              <w:spacing w:beforeLines="0" w:before="120" w:afterLines="0" w:after="120"/>
              <w:textAlignment w:val="baseline"/>
              <w:rPr>
                <w:rFonts w:eastAsia="宋体"/>
                <w:b/>
                <w:lang w:eastAsia="zh-CN"/>
              </w:rPr>
            </w:pPr>
            <w:r w:rsidRPr="005D2F78">
              <w:rPr>
                <w:rFonts w:eastAsia="宋体" w:hint="eastAsia"/>
                <w:b/>
                <w:lang w:eastAsia="zh-CN"/>
              </w:rPr>
              <w:t>A</w:t>
            </w:r>
            <w:r w:rsidRPr="005D2F78">
              <w:rPr>
                <w:rFonts w:eastAsia="宋体"/>
                <w:b/>
                <w:lang w:eastAsia="zh-CN"/>
              </w:rPr>
              <w:t>ccuracy</w:t>
            </w:r>
            <w:r>
              <w:rPr>
                <w:rFonts w:eastAsia="宋体"/>
                <w:b/>
                <w:lang w:eastAsia="zh-CN"/>
              </w:rPr>
              <w:t xml:space="preserve"> (m)</w:t>
            </w:r>
          </w:p>
        </w:tc>
      </w:tr>
      <w:tr w:rsidR="00315B6F" w:rsidTr="00315B6F">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w:t>
            </w:r>
            <w:r>
              <w:rPr>
                <w:rFonts w:eastAsia="宋体"/>
                <w:lang w:eastAsia="zh-CN"/>
              </w:rPr>
              <w:t>ominal</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sidRPr="00033949">
              <w:t>Nominal accuracy requirement verifies the accuracy of A-GNSS position estimate in ideal conditions. The primarily aim of the test is to ensure good accuracy for a position estimate when satellite signal conditions allow it.</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30/</w:t>
            </w:r>
            <w:r>
              <w:rPr>
                <w:rFonts w:eastAsia="宋体"/>
                <w:lang w:eastAsia="zh-CN"/>
              </w:rPr>
              <w:t>15</w:t>
            </w:r>
          </w:p>
        </w:tc>
      </w:tr>
      <w:tr w:rsidR="00315B6F" w:rsidTr="00315B6F">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D</w:t>
            </w:r>
            <w:r>
              <w:rPr>
                <w:rFonts w:eastAsia="宋体"/>
                <w:lang w:eastAsia="zh-CN"/>
              </w:rPr>
              <w:t>ynamic range</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sidRPr="00033949">
              <w:t>The aim of a dynamic range requirement is to ensure that a GNSS receiver performs well when visible satellites have rather different signal levels.</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r>
              <w:rPr>
                <w:rFonts w:eastAsia="宋体"/>
                <w:lang w:eastAsia="zh-CN"/>
              </w:rPr>
              <w:t>00/100</w:t>
            </w:r>
          </w:p>
        </w:tc>
      </w:tr>
      <w:tr w:rsidR="00315B6F" w:rsidTr="00315B6F">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Multi-path</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sidRPr="00033949">
              <w:rPr>
                <w:iCs/>
              </w:rPr>
              <w:t>The purpose of the test case is to</w:t>
            </w:r>
            <w:r w:rsidRPr="00033949">
              <w:t xml:space="preserve"> verify the receiver's tolerance to multipath while keeping the test setup simple.</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r>
              <w:rPr>
                <w:rFonts w:eastAsia="宋体"/>
                <w:lang w:eastAsia="zh-CN"/>
              </w:rPr>
              <w:t>00/100</w:t>
            </w:r>
          </w:p>
        </w:tc>
      </w:tr>
      <w:tr w:rsidR="00315B6F" w:rsidTr="00315B6F">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Moving </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sidRPr="00033949">
              <w:rPr>
                <w:iCs/>
              </w:rPr>
              <w:t xml:space="preserve">The purpose of the test case is to verify </w:t>
            </w:r>
            <w:r w:rsidRPr="00033949">
              <w:t>the receiver's capability to produce GNSS measurements or location fixes on a regular basis, and to follow when it is located in a vehicle that slows down, turns or accelerates.</w:t>
            </w:r>
          </w:p>
        </w:tc>
        <w:tc>
          <w:tcPr>
            <w:tcW w:w="0" w:type="auto"/>
          </w:tcPr>
          <w:p w:rsidR="00315B6F" w:rsidRDefault="00315B6F" w:rsidP="00315B6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r>
              <w:rPr>
                <w:rFonts w:eastAsia="宋体"/>
                <w:lang w:eastAsia="zh-CN"/>
              </w:rPr>
              <w:t>00/50</w:t>
            </w:r>
          </w:p>
        </w:tc>
      </w:tr>
    </w:tbl>
    <w:p w:rsidR="00315B6F" w:rsidRDefault="00315B6F" w:rsidP="00D56BD6">
      <w:pPr>
        <w:spacing w:before="120" w:after="120"/>
        <w:rPr>
          <w:rFonts w:eastAsiaTheme="minorEastAsia"/>
          <w:lang w:val="en-US" w:eastAsia="zh-CN"/>
        </w:rPr>
      </w:pPr>
      <w:r>
        <w:rPr>
          <w:rFonts w:eastAsiaTheme="minorEastAsia"/>
          <w:lang w:val="en-US" w:eastAsia="zh-CN"/>
        </w:rPr>
        <w:t xml:space="preserve">GNSS accuracy is quite scenario dependent, e.g. in outdoor open space scenarios with good satellite signal strength, the accuracy can be as low as a few meters, while the accuracy degrades in scenarios with weak satellite signal, blockage and multi-path propagation, and sometimes the accuracy can be up to several hundred meters or it may even not work at all. </w:t>
      </w:r>
    </w:p>
    <w:p w:rsidR="00315B6F" w:rsidRDefault="00315B6F" w:rsidP="00D56BD6">
      <w:pPr>
        <w:spacing w:before="120" w:after="120"/>
        <w:rPr>
          <w:rFonts w:eastAsiaTheme="minorEastAsia"/>
          <w:lang w:val="en-US" w:eastAsia="zh-CN"/>
        </w:rPr>
      </w:pPr>
      <w:r>
        <w:rPr>
          <w:rFonts w:eastAsiaTheme="minorEastAsia"/>
          <w:lang w:val="en-US" w:eastAsia="zh-CN"/>
        </w:rPr>
        <w:t>Therefore, we suggest to consider multiple sets of GNSS accuracies as assumptions for RRM requirements, with respective side conditions. For example, a good accuracy like 1</w:t>
      </w:r>
      <w:r w:rsidR="00640BF4">
        <w:rPr>
          <w:rFonts w:eastAsiaTheme="minorEastAsia"/>
          <w:lang w:val="en-US" w:eastAsia="zh-CN"/>
        </w:rPr>
        <w:t>5</w:t>
      </w:r>
      <w:r>
        <w:rPr>
          <w:rFonts w:eastAsiaTheme="minorEastAsia"/>
          <w:lang w:val="en-US" w:eastAsia="zh-CN"/>
        </w:rPr>
        <w:t>m can be assumed based on conditions in clause 6.2 of 38.171 (for nominal accuracy), while a worse accuracy like 100m is assumed in other conditions</w:t>
      </w:r>
      <w:r w:rsidRPr="00315B6F">
        <w:rPr>
          <w:rFonts w:eastAsiaTheme="minorEastAsia"/>
          <w:lang w:val="en-US" w:eastAsia="zh-CN"/>
        </w:rPr>
        <w:t xml:space="preserve"> </w:t>
      </w:r>
      <w:r>
        <w:rPr>
          <w:rFonts w:eastAsiaTheme="minorEastAsia"/>
          <w:lang w:val="en-US" w:eastAsia="zh-CN"/>
        </w:rPr>
        <w:t xml:space="preserve">in clause 6.3~6.5 of 38.171. Other accuracy and respective condition can be also considered </w:t>
      </w:r>
      <w:r w:rsidR="00BA7084">
        <w:rPr>
          <w:rFonts w:eastAsiaTheme="minorEastAsia"/>
          <w:lang w:val="en-US" w:eastAsia="zh-CN"/>
        </w:rPr>
        <w:t>if needed and proved reasonable.</w:t>
      </w:r>
    </w:p>
    <w:p w:rsidR="00315B6F" w:rsidRDefault="00BA7084" w:rsidP="00D56BD6">
      <w:pPr>
        <w:spacing w:before="120" w:after="120"/>
        <w:rPr>
          <w:rFonts w:eastAsiaTheme="minorEastAsia"/>
          <w:b/>
          <w:lang w:val="en-US" w:eastAsia="zh-CN"/>
        </w:rPr>
      </w:pPr>
      <w:r w:rsidRPr="00BA7084">
        <w:rPr>
          <w:rFonts w:eastAsiaTheme="minorEastAsia" w:hint="eastAsia"/>
          <w:b/>
          <w:lang w:val="en-US" w:eastAsia="zh-CN"/>
        </w:rPr>
        <w:t>P</w:t>
      </w:r>
      <w:r w:rsidRPr="00BA7084">
        <w:rPr>
          <w:rFonts w:eastAsiaTheme="minorEastAsia"/>
          <w:b/>
          <w:lang w:val="en-US" w:eastAsia="zh-CN"/>
        </w:rPr>
        <w:t xml:space="preserve">roposal 2: </w:t>
      </w:r>
      <w:r w:rsidR="00640BF4">
        <w:rPr>
          <w:rFonts w:eastAsiaTheme="minorEastAsia"/>
          <w:b/>
          <w:lang w:val="en-US" w:eastAsia="zh-CN"/>
        </w:rPr>
        <w:t>RAN4 to c</w:t>
      </w:r>
      <w:r w:rsidRPr="00BA7084">
        <w:rPr>
          <w:rFonts w:eastAsiaTheme="minorEastAsia"/>
          <w:b/>
          <w:lang w:val="en-US" w:eastAsia="zh-CN"/>
        </w:rPr>
        <w:t>onsider multiple sets of GNSS accuracies as assumptions for</w:t>
      </w:r>
      <w:r w:rsidR="00640BF4">
        <w:rPr>
          <w:rFonts w:eastAsiaTheme="minorEastAsia"/>
          <w:b/>
          <w:lang w:val="en-US" w:eastAsia="zh-CN"/>
        </w:rPr>
        <w:t xml:space="preserve"> defining</w:t>
      </w:r>
      <w:r w:rsidRPr="00BA7084">
        <w:rPr>
          <w:rFonts w:eastAsiaTheme="minorEastAsia"/>
          <w:b/>
          <w:lang w:val="en-US" w:eastAsia="zh-CN"/>
        </w:rPr>
        <w:t xml:space="preserve"> RRM requirements.</w:t>
      </w:r>
      <w:r>
        <w:rPr>
          <w:rFonts w:eastAsiaTheme="minorEastAsia"/>
          <w:b/>
          <w:lang w:val="en-US" w:eastAsia="zh-CN"/>
        </w:rPr>
        <w:t xml:space="preserve"> At least the following two sets are considered</w:t>
      </w:r>
    </w:p>
    <w:p w:rsidR="00BA7084" w:rsidRDefault="00BA7084" w:rsidP="00BA7084">
      <w:pPr>
        <w:pStyle w:val="af8"/>
        <w:numPr>
          <w:ilvl w:val="0"/>
          <w:numId w:val="19"/>
        </w:numPr>
        <w:spacing w:before="120" w:after="120"/>
        <w:rPr>
          <w:rFonts w:eastAsiaTheme="minorEastAsia"/>
          <w:b/>
          <w:lang w:eastAsia="zh-CN"/>
        </w:rPr>
      </w:pPr>
      <w:r>
        <w:rPr>
          <w:rFonts w:eastAsiaTheme="minorEastAsia"/>
          <w:b/>
          <w:lang w:eastAsia="zh-CN"/>
        </w:rPr>
        <w:t>Set#1: accuracy 1</w:t>
      </w:r>
      <w:r w:rsidR="00640BF4">
        <w:rPr>
          <w:rFonts w:eastAsiaTheme="minorEastAsia"/>
          <w:b/>
          <w:lang w:eastAsia="zh-CN"/>
        </w:rPr>
        <w:t>5</w:t>
      </w:r>
      <w:r>
        <w:rPr>
          <w:rFonts w:eastAsiaTheme="minorEastAsia"/>
          <w:b/>
          <w:lang w:eastAsia="zh-CN"/>
        </w:rPr>
        <w:t xml:space="preserve">m, based on conditions in </w:t>
      </w:r>
      <w:r w:rsidRPr="00BA7084">
        <w:rPr>
          <w:rFonts w:eastAsiaTheme="minorEastAsia"/>
          <w:b/>
          <w:lang w:eastAsia="zh-CN"/>
        </w:rPr>
        <w:t>clause 6.2 of 38.171</w:t>
      </w:r>
    </w:p>
    <w:p w:rsidR="00BA7084" w:rsidRDefault="00BA7084" w:rsidP="00BA7084">
      <w:pPr>
        <w:pStyle w:val="af8"/>
        <w:numPr>
          <w:ilvl w:val="0"/>
          <w:numId w:val="19"/>
        </w:numPr>
        <w:spacing w:before="120" w:after="120"/>
        <w:rPr>
          <w:rFonts w:eastAsiaTheme="minorEastAsia"/>
          <w:b/>
          <w:lang w:eastAsia="zh-CN"/>
        </w:rPr>
      </w:pPr>
      <w:r>
        <w:rPr>
          <w:rFonts w:eastAsiaTheme="minorEastAsia"/>
          <w:b/>
          <w:lang w:eastAsia="zh-CN"/>
        </w:rPr>
        <w:t xml:space="preserve">Set#2: accuracy 100m, based on conditions in </w:t>
      </w:r>
      <w:r w:rsidRPr="00BA7084">
        <w:rPr>
          <w:rFonts w:eastAsiaTheme="minorEastAsia"/>
          <w:b/>
          <w:lang w:eastAsia="zh-CN"/>
        </w:rPr>
        <w:t>clause 6.</w:t>
      </w:r>
      <w:r>
        <w:rPr>
          <w:rFonts w:eastAsiaTheme="minorEastAsia"/>
          <w:b/>
          <w:lang w:eastAsia="zh-CN"/>
        </w:rPr>
        <w:t>3~6.5</w:t>
      </w:r>
      <w:r w:rsidRPr="00BA7084">
        <w:rPr>
          <w:rFonts w:eastAsiaTheme="minorEastAsia"/>
          <w:b/>
          <w:lang w:eastAsia="zh-CN"/>
        </w:rPr>
        <w:t xml:space="preserve"> of 38.171</w:t>
      </w:r>
    </w:p>
    <w:p w:rsidR="00BA7084" w:rsidRDefault="00BA7084" w:rsidP="00BA7084">
      <w:pPr>
        <w:spacing w:before="120" w:after="120"/>
        <w:rPr>
          <w:rFonts w:eastAsiaTheme="minorEastAsia"/>
          <w:lang w:val="en-US" w:eastAsia="zh-CN"/>
        </w:rPr>
      </w:pPr>
      <w:r>
        <w:rPr>
          <w:rFonts w:eastAsiaTheme="minorEastAsia"/>
          <w:lang w:val="en-US" w:eastAsia="zh-CN"/>
        </w:rPr>
        <w:t xml:space="preserve">The applicability of different sets of </w:t>
      </w:r>
      <w:r w:rsidR="00640BF4">
        <w:rPr>
          <w:rFonts w:eastAsiaTheme="minorEastAsia"/>
          <w:lang w:val="en-US" w:eastAsia="zh-CN"/>
        </w:rPr>
        <w:t xml:space="preserve">accuracies is another issue to discuss. In RAN4#98-bis-e, some companies </w:t>
      </w:r>
      <w:r w:rsidR="008D7961">
        <w:rPr>
          <w:rFonts w:eastAsiaTheme="minorEastAsia"/>
          <w:lang w:val="en-US" w:eastAsia="zh-CN"/>
        </w:rPr>
        <w:t>proposed that different accuracies may be assumed for different RRM requirements. We think this is a valid point. So far, we can foresee that at least two types of RRM requirements will be based on certain assumptions on GNSS accuracy:</w:t>
      </w:r>
    </w:p>
    <w:p w:rsidR="008D7961" w:rsidRPr="0026151A" w:rsidRDefault="008D7961" w:rsidP="008D7961">
      <w:pPr>
        <w:spacing w:before="120" w:after="120"/>
        <w:rPr>
          <w:rFonts w:eastAsiaTheme="minorEastAsia"/>
          <w:lang w:eastAsia="zh-CN"/>
        </w:rPr>
      </w:pPr>
      <w:r>
        <w:rPr>
          <w:rFonts w:eastAsiaTheme="minorEastAsia"/>
          <w:lang w:eastAsia="zh-CN"/>
        </w:rPr>
        <w:t>One type of requirements is t</w:t>
      </w:r>
      <w:r w:rsidRPr="008D7961">
        <w:rPr>
          <w:rFonts w:eastAsiaTheme="minorEastAsia"/>
          <w:lang w:eastAsia="zh-CN"/>
        </w:rPr>
        <w:t>iming related</w:t>
      </w:r>
      <w:r>
        <w:rPr>
          <w:rFonts w:eastAsiaTheme="minorEastAsia"/>
          <w:lang w:eastAsia="zh-CN"/>
        </w:rPr>
        <w:t xml:space="preserve">. </w:t>
      </w:r>
      <w:r w:rsidRPr="008D7961">
        <w:rPr>
          <w:rFonts w:eastAsiaTheme="minorEastAsia"/>
          <w:lang w:eastAsia="zh-CN"/>
        </w:rPr>
        <w:t xml:space="preserve">RAN1 has agreed </w:t>
      </w:r>
      <w:r w:rsidRPr="008D7961">
        <w:rPr>
          <w:rFonts w:eastAsia="Times New Roman"/>
          <w:szCs w:val="22"/>
          <w:lang w:val="en-US"/>
        </w:rPr>
        <w:t>UE self-estimated TA to pre-compensate for the service link delay</w:t>
      </w:r>
      <w:r w:rsidRPr="008D7961">
        <w:rPr>
          <w:rFonts w:eastAsiaTheme="minorEastAsia"/>
          <w:lang w:eastAsia="zh-CN"/>
        </w:rPr>
        <w:t xml:space="preserve"> (</w:t>
      </w:r>
      <m:oMath>
        <m:sSub>
          <m:sSubPr>
            <m:ctrlPr>
              <w:rPr>
                <w:rFonts w:ascii="Cambria Math" w:eastAsiaTheme="minorEastAsia" w:hAnsi="Cambria Math"/>
                <w:b/>
                <w:bCs/>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TA,UE-specific</m:t>
            </m:r>
          </m:sub>
        </m:sSub>
      </m:oMath>
      <w:r w:rsidRPr="008D7961">
        <w:rPr>
          <w:rFonts w:eastAsiaTheme="minorEastAsia"/>
          <w:lang w:eastAsia="zh-CN"/>
        </w:rPr>
        <w:t xml:space="preserve">) will be part of the TA in NTN UL, and RAN4 has been discussing how to account the inaccuracy of </w:t>
      </w:r>
      <w:r w:rsidRPr="008D7961">
        <w:rPr>
          <w:rFonts w:eastAsia="Times New Roman"/>
          <w:szCs w:val="22"/>
          <w:lang w:val="en-US"/>
        </w:rPr>
        <w:t>UE self-estimated TA</w:t>
      </w:r>
      <w:r w:rsidRPr="008D7961">
        <w:rPr>
          <w:szCs w:val="22"/>
        </w:rPr>
        <w:t xml:space="preserve"> in the timing related requirements.</w:t>
      </w:r>
      <w:r w:rsidRPr="008D7961">
        <w:rPr>
          <w:rFonts w:eastAsiaTheme="minorEastAsia"/>
          <w:lang w:eastAsia="zh-CN"/>
        </w:rPr>
        <w:t xml:space="preserve"> RAN1 has agreed </w:t>
      </w:r>
      <w:r>
        <w:rPr>
          <w:rFonts w:eastAsiaTheme="minorEastAsia"/>
          <w:lang w:eastAsia="zh-CN"/>
        </w:rPr>
        <w:t xml:space="preserve">that </w:t>
      </w:r>
      <w:r w:rsidRPr="008D7961">
        <w:rPr>
          <w:rFonts w:eastAsia="Times New Roman"/>
          <w:szCs w:val="22"/>
          <w:lang w:val="en-US"/>
        </w:rPr>
        <w:t>UE self-estimated TA</w:t>
      </w:r>
      <w:r>
        <w:rPr>
          <w:rFonts w:eastAsia="Times New Roman"/>
          <w:szCs w:val="22"/>
          <w:lang w:val="en-US"/>
        </w:rPr>
        <w:t xml:space="preserve"> will be based on </w:t>
      </w:r>
      <w:r w:rsidRPr="008D7961">
        <w:rPr>
          <w:rFonts w:eastAsia="Times New Roman"/>
          <w:szCs w:val="22"/>
          <w:lang w:val="en-US"/>
        </w:rPr>
        <w:t>GNSS-acquired position and the serving satellite ephemeris</w:t>
      </w:r>
      <w:r>
        <w:rPr>
          <w:rFonts w:eastAsia="Times New Roman"/>
          <w:szCs w:val="22"/>
          <w:lang w:val="en-US"/>
        </w:rPr>
        <w:t xml:space="preserve">, which means the accuracy of </w:t>
      </w:r>
      <w:r w:rsidRPr="008D7961">
        <w:rPr>
          <w:rFonts w:eastAsia="Times New Roman"/>
          <w:szCs w:val="22"/>
          <w:lang w:val="en-US"/>
        </w:rPr>
        <w:t>UE self-estimated TA</w:t>
      </w:r>
      <w:r>
        <w:rPr>
          <w:rFonts w:eastAsia="Times New Roman"/>
          <w:szCs w:val="22"/>
          <w:lang w:val="en-US"/>
        </w:rPr>
        <w:t xml:space="preserve"> will be based on certain assumptions of GNSS accuracy. </w:t>
      </w:r>
    </w:p>
    <w:p w:rsidR="0026151A" w:rsidRDefault="0026151A" w:rsidP="008D7961">
      <w:pPr>
        <w:spacing w:before="120" w:after="120"/>
        <w:rPr>
          <w:rFonts w:eastAsia="Times New Roman"/>
          <w:szCs w:val="22"/>
          <w:lang w:val="en-US"/>
        </w:rPr>
      </w:pPr>
      <w:r>
        <w:rPr>
          <w:rFonts w:eastAsia="Times New Roman"/>
          <w:szCs w:val="22"/>
          <w:lang w:val="en-US"/>
        </w:rPr>
        <w:t xml:space="preserve">For this type of requirements it is more reasonable to use GNSS accuracy assumption set#1. The current </w:t>
      </w:r>
      <w:proofErr w:type="spellStart"/>
      <w:r>
        <w:rPr>
          <w:rFonts w:eastAsia="Times New Roman"/>
          <w:szCs w:val="22"/>
          <w:lang w:val="en-US"/>
        </w:rPr>
        <w:t>Te</w:t>
      </w:r>
      <w:proofErr w:type="spellEnd"/>
      <w:r>
        <w:rPr>
          <w:rFonts w:eastAsia="Times New Roman"/>
          <w:szCs w:val="22"/>
          <w:lang w:val="en-US"/>
        </w:rPr>
        <w:t xml:space="preserve"> requirement is copied below, and if set#2 assumption is used, the total timing error of NTN UL will have to be relaxed by 10Ts (100m divided by speed of light) due to GNSS inaccuracy. </w:t>
      </w:r>
      <w:r w:rsidR="00297A03">
        <w:rPr>
          <w:rFonts w:eastAsia="Times New Roman"/>
          <w:szCs w:val="22"/>
          <w:lang w:val="en-US"/>
        </w:rPr>
        <w:t xml:space="preserve">It will have a big impact on the UL performance. Of course, using set#1 means the timing accuracy requirements will be applicable only when UE is in good GNSS side conditions. This is not perfect but should be acceptable considering the typical use cases of NTN system. </w:t>
      </w:r>
    </w:p>
    <w:p w:rsidR="0026151A" w:rsidRDefault="0026151A" w:rsidP="0026151A">
      <w:pPr>
        <w:keepNext/>
        <w:keepLines/>
        <w:spacing w:beforeLines="0" w:before="60" w:afterLines="0" w:after="180"/>
        <w:jc w:val="center"/>
        <w:rPr>
          <w:rFonts w:eastAsia="Times New Roman"/>
          <w:szCs w:val="22"/>
          <w:lang w:val="en-US"/>
        </w:rPr>
      </w:pPr>
      <w:r w:rsidRPr="0026151A">
        <w:rPr>
          <w:rFonts w:ascii="Arial" w:eastAsia="宋体" w:hAnsi="Arial"/>
          <w:b/>
          <w:sz w:val="20"/>
        </w:rPr>
        <w:lastRenderedPageBreak/>
        <w:t xml:space="preserve">Table 7.1.2-1: </w:t>
      </w:r>
      <w:proofErr w:type="spellStart"/>
      <w:r w:rsidRPr="0026151A">
        <w:rPr>
          <w:rFonts w:ascii="Arial" w:eastAsia="宋体" w:hAnsi="Arial"/>
          <w:b/>
          <w:sz w:val="20"/>
        </w:rPr>
        <w:t>T</w:t>
      </w:r>
      <w:r w:rsidRPr="0026151A">
        <w:rPr>
          <w:rFonts w:ascii="Arial" w:eastAsia="宋体" w:hAnsi="Arial"/>
          <w:b/>
          <w:sz w:val="20"/>
          <w:vertAlign w:val="subscript"/>
        </w:rPr>
        <w:t>e</w:t>
      </w:r>
      <w:proofErr w:type="spellEnd"/>
      <w:r w:rsidRPr="0026151A">
        <w:rPr>
          <w:rFonts w:ascii="Arial" w:eastAsia="宋体" w:hAnsi="Arial"/>
          <w:b/>
          <w:sz w:val="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26151A" w:rsidRPr="0026151A" w:rsidTr="0026151A">
        <w:trPr>
          <w:cantSplit/>
          <w:jc w:val="center"/>
        </w:trPr>
        <w:tc>
          <w:tcPr>
            <w:tcW w:w="1033" w:type="pct"/>
            <w:vAlign w:val="center"/>
          </w:tcPr>
          <w:p w:rsidR="0026151A" w:rsidRPr="0026151A" w:rsidRDefault="0026151A" w:rsidP="0026151A">
            <w:pPr>
              <w:keepNext/>
              <w:keepLines/>
              <w:spacing w:beforeLines="0" w:before="120" w:afterLines="0" w:after="120"/>
              <w:jc w:val="center"/>
              <w:rPr>
                <w:rFonts w:ascii="Arial" w:eastAsia="宋体" w:hAnsi="Arial"/>
                <w:b/>
                <w:sz w:val="18"/>
              </w:rPr>
            </w:pPr>
            <w:r w:rsidRPr="0026151A">
              <w:rPr>
                <w:rFonts w:ascii="Arial" w:eastAsia="宋体" w:hAnsi="Arial"/>
                <w:b/>
                <w:sz w:val="18"/>
              </w:rPr>
              <w:t>Frequency Range</w:t>
            </w:r>
          </w:p>
        </w:tc>
        <w:tc>
          <w:tcPr>
            <w:tcW w:w="1244" w:type="pct"/>
            <w:vAlign w:val="center"/>
          </w:tcPr>
          <w:p w:rsidR="0026151A" w:rsidRPr="0026151A" w:rsidRDefault="0026151A" w:rsidP="0026151A">
            <w:pPr>
              <w:keepNext/>
              <w:keepLines/>
              <w:spacing w:beforeLines="0" w:before="0" w:afterLines="0" w:after="0"/>
              <w:jc w:val="center"/>
              <w:rPr>
                <w:rFonts w:ascii="Arial" w:eastAsia="宋体" w:hAnsi="Arial"/>
                <w:b/>
                <w:sz w:val="18"/>
              </w:rPr>
            </w:pPr>
            <w:r w:rsidRPr="0026151A">
              <w:rPr>
                <w:rFonts w:ascii="Arial" w:eastAsia="宋体" w:hAnsi="Arial"/>
                <w:b/>
                <w:sz w:val="18"/>
              </w:rPr>
              <w:t>SCS of SSB signals (kHz)</w:t>
            </w:r>
          </w:p>
        </w:tc>
        <w:tc>
          <w:tcPr>
            <w:tcW w:w="1245" w:type="pct"/>
            <w:vAlign w:val="center"/>
          </w:tcPr>
          <w:p w:rsidR="0026151A" w:rsidRPr="0026151A" w:rsidRDefault="0026151A" w:rsidP="0026151A">
            <w:pPr>
              <w:keepNext/>
              <w:keepLines/>
              <w:spacing w:beforeLines="0" w:before="0" w:afterLines="0" w:after="0"/>
              <w:jc w:val="center"/>
              <w:rPr>
                <w:rFonts w:ascii="Arial" w:eastAsia="宋体" w:hAnsi="Arial"/>
                <w:b/>
                <w:sz w:val="18"/>
              </w:rPr>
            </w:pPr>
            <w:r w:rsidRPr="0026151A">
              <w:rPr>
                <w:rFonts w:ascii="Arial" w:eastAsia="宋体" w:hAnsi="Arial"/>
                <w:b/>
                <w:sz w:val="18"/>
              </w:rPr>
              <w:t>SCS of uplink signals (kHz)</w:t>
            </w:r>
          </w:p>
        </w:tc>
        <w:tc>
          <w:tcPr>
            <w:tcW w:w="1478" w:type="pct"/>
            <w:vAlign w:val="center"/>
          </w:tcPr>
          <w:p w:rsidR="0026151A" w:rsidRPr="0026151A" w:rsidRDefault="0026151A" w:rsidP="0026151A">
            <w:pPr>
              <w:keepNext/>
              <w:keepLines/>
              <w:spacing w:beforeLines="0" w:before="0" w:afterLines="0" w:after="0"/>
              <w:jc w:val="center"/>
              <w:rPr>
                <w:rFonts w:ascii="Arial" w:eastAsia="宋体" w:hAnsi="Arial"/>
                <w:b/>
                <w:sz w:val="18"/>
              </w:rPr>
            </w:pPr>
            <w:proofErr w:type="spellStart"/>
            <w:r w:rsidRPr="0026151A">
              <w:rPr>
                <w:rFonts w:ascii="Arial" w:eastAsia="宋体" w:hAnsi="Arial"/>
                <w:b/>
                <w:sz w:val="18"/>
              </w:rPr>
              <w:t>T</w:t>
            </w:r>
            <w:r w:rsidRPr="0026151A">
              <w:rPr>
                <w:rFonts w:ascii="Arial" w:eastAsia="宋体" w:hAnsi="Arial"/>
                <w:b/>
                <w:sz w:val="18"/>
                <w:vertAlign w:val="subscript"/>
              </w:rPr>
              <w:t>e</w:t>
            </w:r>
            <w:proofErr w:type="spellEnd"/>
          </w:p>
        </w:tc>
      </w:tr>
      <w:tr w:rsidR="0026151A" w:rsidRPr="0026151A" w:rsidTr="0026151A">
        <w:trPr>
          <w:cantSplit/>
          <w:jc w:val="center"/>
        </w:trPr>
        <w:tc>
          <w:tcPr>
            <w:tcW w:w="1033" w:type="pct"/>
            <w:tcBorders>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w:t>
            </w:r>
          </w:p>
        </w:tc>
        <w:tc>
          <w:tcPr>
            <w:tcW w:w="1244" w:type="pct"/>
            <w:tcBorders>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15</w:t>
            </w: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15</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12*64*T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top w:val="nil"/>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10*64*T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top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60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10*64*T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30</w:t>
            </w: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15</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8*64*T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top w:val="nil"/>
              <w:bottom w:val="nil"/>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8*64*T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single" w:sz="4" w:space="0" w:color="auto"/>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top w:val="nil"/>
              <w:bottom w:val="single" w:sz="4" w:space="0" w:color="auto"/>
            </w:tcBorders>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60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7*64*T</w:t>
            </w:r>
            <w:r w:rsidRPr="0026151A">
              <w:rPr>
                <w:rFonts w:ascii="Arial" w:eastAsia="宋体" w:hAnsi="Arial"/>
                <w:sz w:val="18"/>
                <w:vertAlign w:val="subscript"/>
              </w:rPr>
              <w:t>c</w:t>
            </w:r>
          </w:p>
        </w:tc>
      </w:tr>
      <w:tr w:rsidR="0026151A" w:rsidRPr="0026151A" w:rsidTr="0026151A">
        <w:trPr>
          <w:cantSplit/>
          <w:jc w:val="center"/>
        </w:trPr>
        <w:tc>
          <w:tcPr>
            <w:tcW w:w="1033" w:type="pct"/>
            <w:tcBorders>
              <w:bottom w:val="nil"/>
            </w:tcBorders>
            <w:shd w:val="clear" w:color="auto" w:fill="auto"/>
            <w:vAlign w:val="center"/>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2</w:t>
            </w:r>
          </w:p>
        </w:tc>
        <w:tc>
          <w:tcPr>
            <w:tcW w:w="1244" w:type="pct"/>
            <w:tcBorders>
              <w:bottom w:val="nil"/>
            </w:tcBorders>
            <w:shd w:val="clear" w:color="auto" w:fill="auto"/>
            <w:vAlign w:val="center"/>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120</w:t>
            </w: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60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3.5*64*T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nil"/>
            </w:tcBorders>
            <w:shd w:val="clear" w:color="auto" w:fill="auto"/>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top w:val="nil"/>
              <w:bottom w:val="single" w:sz="4" w:space="0" w:color="auto"/>
            </w:tcBorders>
            <w:shd w:val="clear" w:color="auto" w:fill="auto"/>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120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3.5*64*T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bottom w:val="nil"/>
            </w:tcBorders>
            <w:shd w:val="clear" w:color="auto" w:fill="auto"/>
            <w:vAlign w:val="center"/>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bottom w:val="nil"/>
            </w:tcBorders>
            <w:shd w:val="clear" w:color="auto" w:fill="auto"/>
            <w:vAlign w:val="center"/>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240</w:t>
            </w: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60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3*64*T</w:t>
            </w:r>
            <w:r w:rsidRPr="0026151A">
              <w:rPr>
                <w:rFonts w:ascii="Arial" w:eastAsia="宋体" w:hAnsi="Arial"/>
                <w:sz w:val="18"/>
                <w:vertAlign w:val="subscript"/>
              </w:rPr>
              <w:t>c</w:t>
            </w:r>
          </w:p>
        </w:tc>
      </w:tr>
      <w:tr w:rsidR="0026151A" w:rsidRPr="0026151A" w:rsidTr="0026151A">
        <w:trPr>
          <w:cantSplit/>
          <w:jc w:val="center"/>
        </w:trPr>
        <w:tc>
          <w:tcPr>
            <w:tcW w:w="1033" w:type="pct"/>
            <w:tcBorders>
              <w:top w:val="nil"/>
            </w:tcBorders>
            <w:shd w:val="clear" w:color="auto" w:fill="auto"/>
          </w:tcPr>
          <w:p w:rsidR="0026151A" w:rsidRPr="0026151A" w:rsidRDefault="0026151A" w:rsidP="0026151A">
            <w:pPr>
              <w:keepNext/>
              <w:keepLines/>
              <w:spacing w:beforeLines="0" w:before="0" w:afterLines="0" w:after="0"/>
              <w:jc w:val="center"/>
              <w:rPr>
                <w:rFonts w:ascii="Arial" w:eastAsia="宋体" w:hAnsi="Arial"/>
                <w:sz w:val="18"/>
              </w:rPr>
            </w:pPr>
          </w:p>
        </w:tc>
        <w:tc>
          <w:tcPr>
            <w:tcW w:w="1244" w:type="pct"/>
            <w:tcBorders>
              <w:top w:val="nil"/>
            </w:tcBorders>
            <w:shd w:val="clear" w:color="auto" w:fill="auto"/>
          </w:tcPr>
          <w:p w:rsidR="0026151A" w:rsidRPr="0026151A" w:rsidRDefault="0026151A" w:rsidP="0026151A">
            <w:pPr>
              <w:keepNext/>
              <w:keepLines/>
              <w:spacing w:beforeLines="0" w:before="0" w:afterLines="0" w:after="0"/>
              <w:jc w:val="center"/>
              <w:rPr>
                <w:rFonts w:ascii="Arial" w:eastAsia="宋体" w:hAnsi="Arial"/>
                <w:sz w:val="18"/>
              </w:rPr>
            </w:pPr>
          </w:p>
        </w:tc>
        <w:tc>
          <w:tcPr>
            <w:tcW w:w="1245"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120</w:t>
            </w:r>
          </w:p>
        </w:tc>
        <w:tc>
          <w:tcPr>
            <w:tcW w:w="1478" w:type="pct"/>
          </w:tcPr>
          <w:p w:rsidR="0026151A" w:rsidRPr="0026151A" w:rsidRDefault="0026151A" w:rsidP="0026151A">
            <w:pPr>
              <w:keepNext/>
              <w:keepLines/>
              <w:spacing w:beforeLines="0" w:before="0" w:afterLines="0" w:after="0"/>
              <w:jc w:val="center"/>
              <w:rPr>
                <w:rFonts w:ascii="Arial" w:eastAsia="宋体" w:hAnsi="Arial"/>
                <w:sz w:val="18"/>
              </w:rPr>
            </w:pPr>
            <w:r w:rsidRPr="0026151A">
              <w:rPr>
                <w:rFonts w:ascii="Arial" w:eastAsia="宋体" w:hAnsi="Arial"/>
                <w:sz w:val="18"/>
              </w:rPr>
              <w:t>3*64*T</w:t>
            </w:r>
            <w:r w:rsidRPr="0026151A">
              <w:rPr>
                <w:rFonts w:ascii="Arial" w:eastAsia="宋体" w:hAnsi="Arial"/>
                <w:sz w:val="18"/>
                <w:vertAlign w:val="subscript"/>
              </w:rPr>
              <w:t>c</w:t>
            </w:r>
          </w:p>
        </w:tc>
      </w:tr>
      <w:tr w:rsidR="0026151A" w:rsidRPr="0026151A" w:rsidTr="0026151A">
        <w:trPr>
          <w:cantSplit/>
          <w:jc w:val="center"/>
        </w:trPr>
        <w:tc>
          <w:tcPr>
            <w:tcW w:w="5000" w:type="pct"/>
            <w:gridSpan w:val="4"/>
          </w:tcPr>
          <w:p w:rsidR="0026151A" w:rsidRPr="0026151A" w:rsidRDefault="0026151A" w:rsidP="0026151A">
            <w:pPr>
              <w:keepNext/>
              <w:keepLines/>
              <w:spacing w:beforeLines="0" w:before="120" w:afterLines="0" w:after="120"/>
              <w:ind w:left="851" w:hanging="851"/>
              <w:rPr>
                <w:rFonts w:ascii="Arial" w:eastAsia="宋体" w:hAnsi="Arial"/>
                <w:sz w:val="18"/>
              </w:rPr>
            </w:pPr>
            <w:r w:rsidRPr="0026151A">
              <w:rPr>
                <w:rFonts w:ascii="Arial" w:eastAsia="宋体" w:hAnsi="Arial" w:cs="Arial"/>
                <w:sz w:val="18"/>
              </w:rPr>
              <w:t>Note</w:t>
            </w:r>
            <w:r w:rsidRPr="0026151A">
              <w:rPr>
                <w:rFonts w:ascii="Arial" w:eastAsia="宋体" w:hAnsi="Arial"/>
                <w:sz w:val="18"/>
              </w:rPr>
              <w:t xml:space="preserve"> 1:</w:t>
            </w:r>
            <w:r w:rsidRPr="0026151A">
              <w:rPr>
                <w:rFonts w:ascii="Arial" w:eastAsia="宋体" w:hAnsi="Arial"/>
                <w:sz w:val="18"/>
              </w:rPr>
              <w:tab/>
              <w:t>T</w:t>
            </w:r>
            <w:r w:rsidRPr="0026151A">
              <w:rPr>
                <w:rFonts w:ascii="Arial" w:eastAsia="宋体" w:hAnsi="Arial"/>
                <w:sz w:val="18"/>
                <w:vertAlign w:val="subscript"/>
              </w:rPr>
              <w:t>c</w:t>
            </w:r>
            <w:r w:rsidRPr="0026151A">
              <w:rPr>
                <w:rFonts w:ascii="Arial" w:eastAsia="宋体" w:hAnsi="Arial"/>
                <w:sz w:val="18"/>
              </w:rPr>
              <w:t xml:space="preserve"> is the basic timing unit defined in TS 38.211 [6]</w:t>
            </w:r>
          </w:p>
        </w:tc>
      </w:tr>
    </w:tbl>
    <w:p w:rsidR="00297A03" w:rsidRDefault="00297A03" w:rsidP="00297A03">
      <w:pPr>
        <w:spacing w:before="120" w:after="120"/>
        <w:rPr>
          <w:rFonts w:eastAsia="Times New Roman"/>
          <w:szCs w:val="22"/>
          <w:lang w:val="en-US"/>
        </w:rPr>
      </w:pPr>
      <w:r>
        <w:rPr>
          <w:rFonts w:eastAsia="Times New Roman"/>
          <w:szCs w:val="22"/>
          <w:lang w:val="en-US"/>
        </w:rPr>
        <w:t xml:space="preserve">Another type of requirement is mobility related. RAN2 has been discussing measurement or mobility procedures (reselection and CHO) based on UE location. </w:t>
      </w:r>
    </w:p>
    <w:p w:rsidR="00297A03" w:rsidRDefault="00297A03" w:rsidP="00297A03">
      <w:pPr>
        <w:spacing w:before="120" w:after="120"/>
        <w:rPr>
          <w:rFonts w:eastAsia="Times New Roman"/>
          <w:szCs w:val="22"/>
          <w:lang w:val="en-US"/>
        </w:rPr>
      </w:pPr>
      <w:r>
        <w:rPr>
          <w:rFonts w:eastAsia="Times New Roman"/>
          <w:szCs w:val="22"/>
          <w:lang w:val="en-US"/>
        </w:rPr>
        <w:t>For this type of requirements it is more reasonable to use GNSS accuracy assumption set#2. Considering the typical deployment scenario of NTN (large cell size), an accuracy of 100m should be tolerable for NTN mobility. It will also broaden the applicability of the NTN mobility requirements, i.e. the NTN mobility can work even when UE is not in good GNSS condition.</w:t>
      </w:r>
    </w:p>
    <w:p w:rsidR="0026151A" w:rsidRPr="00B20C43" w:rsidRDefault="00297A03" w:rsidP="008D7961">
      <w:pPr>
        <w:spacing w:before="120" w:after="120"/>
        <w:rPr>
          <w:rFonts w:eastAsiaTheme="minorEastAsia"/>
          <w:b/>
          <w:lang w:val="en-US" w:eastAsia="zh-CN"/>
        </w:rPr>
      </w:pPr>
      <w:r w:rsidRPr="00B20C43">
        <w:rPr>
          <w:rFonts w:eastAsiaTheme="minorEastAsia"/>
          <w:b/>
          <w:lang w:val="en-US" w:eastAsia="zh-CN"/>
        </w:rPr>
        <w:t xml:space="preserve">Proposal 3: RAN4 to consider using different GNSS accuracy assumptions for </w:t>
      </w:r>
      <w:r w:rsidR="00B20C43" w:rsidRPr="00B20C43">
        <w:rPr>
          <w:rFonts w:eastAsiaTheme="minorEastAsia"/>
          <w:b/>
          <w:lang w:val="en-US" w:eastAsia="zh-CN"/>
        </w:rPr>
        <w:t xml:space="preserve">different RRM requirements. </w:t>
      </w:r>
    </w:p>
    <w:p w:rsidR="00297A03" w:rsidRDefault="00B20C43" w:rsidP="008D7961">
      <w:pPr>
        <w:spacing w:before="120" w:after="120"/>
        <w:rPr>
          <w:rFonts w:eastAsiaTheme="minorEastAsia"/>
          <w:lang w:eastAsia="zh-CN"/>
        </w:rPr>
      </w:pPr>
      <w:r>
        <w:rPr>
          <w:rFonts w:eastAsiaTheme="minorEastAsia"/>
          <w:lang w:eastAsia="zh-CN"/>
        </w:rPr>
        <w:t xml:space="preserve">Besides accuracy, the time to fix was also discussed by some companies during RAN4#98-bis-e. In 38.171 the TTFF is defined together with the accuracy. The TTSF or the frequency/rate of fixing after the first fix is not defined in 38.171, but in general a shorter time can be expected. </w:t>
      </w:r>
    </w:p>
    <w:p w:rsidR="00B20C43" w:rsidRDefault="00B20C43" w:rsidP="008D7961">
      <w:pPr>
        <w:spacing w:before="120" w:after="120"/>
        <w:rPr>
          <w:rFonts w:eastAsiaTheme="minorEastAsia"/>
          <w:lang w:eastAsia="zh-CN"/>
        </w:rPr>
      </w:pPr>
      <w:r>
        <w:rPr>
          <w:rFonts w:eastAsiaTheme="minorEastAsia"/>
          <w:lang w:eastAsia="zh-CN"/>
        </w:rPr>
        <w:t>In our view, it is a bit unclear whether RAN4 needs to define assumptions on delay or frequency of GNSS fix for defining RRM requirements. So far, we think what is relevant for the two types of RRM requirements (timing and mobility) is the GNSS accuracy, and how fast or how frequent UE performs GNSS fix can be left to UE GNSS implementation, as long as UE</w:t>
      </w:r>
      <w:r w:rsidR="00877B2E">
        <w:rPr>
          <w:rFonts w:eastAsiaTheme="minorEastAsia"/>
          <w:lang w:eastAsia="zh-CN"/>
        </w:rPr>
        <w:t xml:space="preserve"> can meet the RRM requirements defined based on certain GNSS accuracies.</w:t>
      </w:r>
    </w:p>
    <w:p w:rsidR="00297A03" w:rsidRPr="00877B2E" w:rsidRDefault="00877B2E" w:rsidP="008D7961">
      <w:pPr>
        <w:spacing w:before="120" w:after="120"/>
        <w:rPr>
          <w:rFonts w:eastAsiaTheme="minorEastAsia"/>
          <w:b/>
          <w:lang w:eastAsia="zh-CN"/>
        </w:rPr>
      </w:pPr>
      <w:r w:rsidRPr="00877B2E">
        <w:rPr>
          <w:rFonts w:eastAsiaTheme="minorEastAsia" w:hint="eastAsia"/>
          <w:b/>
          <w:lang w:eastAsia="zh-CN"/>
        </w:rPr>
        <w:t>P</w:t>
      </w:r>
      <w:r w:rsidRPr="00877B2E">
        <w:rPr>
          <w:rFonts w:eastAsiaTheme="minorEastAsia"/>
          <w:b/>
          <w:lang w:eastAsia="zh-CN"/>
        </w:rPr>
        <w:t>roposal 4: RAN4 to further discuss the need to define assumptions on delay or frequency of GNSS fix for defining RRM requirements</w:t>
      </w:r>
      <w:r>
        <w:rPr>
          <w:rFonts w:eastAsiaTheme="minorEastAsia"/>
          <w:b/>
          <w:lang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BA5B73">
        <w:rPr>
          <w:rFonts w:eastAsia="宋体"/>
          <w:lang w:eastAsia="zh-CN"/>
        </w:rPr>
        <w:t xml:space="preserve">initial </w:t>
      </w:r>
      <w:r w:rsidR="00980473">
        <w:rPr>
          <w:rFonts w:eastAsia="宋体"/>
          <w:lang w:eastAsia="zh-CN"/>
        </w:rPr>
        <w:t>views on</w:t>
      </w:r>
      <w:r w:rsidR="00CB1679">
        <w:rPr>
          <w:rFonts w:eastAsia="宋体"/>
          <w:lang w:eastAsia="zh-CN"/>
        </w:rPr>
        <w:t xml:space="preserve"> </w:t>
      </w:r>
      <w:r w:rsidR="00755BFA">
        <w:rPr>
          <w:rFonts w:eastAsia="宋体"/>
          <w:lang w:eastAsia="zh-CN"/>
        </w:rPr>
        <w:t>GNSS related requirements as assumptions for defining NTN RRM requirements</w:t>
      </w:r>
      <w:r w:rsidR="00210C78">
        <w:rPr>
          <w:rFonts w:eastAsia="宋体"/>
          <w:lang w:eastAsia="zh-CN"/>
        </w:rPr>
        <w:t>.</w:t>
      </w:r>
    </w:p>
    <w:p w:rsidR="00877B2E" w:rsidRPr="00315B6F" w:rsidRDefault="00877B2E" w:rsidP="00877B2E">
      <w:pPr>
        <w:spacing w:before="120" w:after="120"/>
        <w:rPr>
          <w:rFonts w:eastAsiaTheme="minorEastAsia"/>
          <w:b/>
          <w:lang w:val="en-US" w:eastAsia="zh-CN"/>
        </w:rPr>
      </w:pPr>
      <w:r w:rsidRPr="00315B6F">
        <w:rPr>
          <w:rFonts w:eastAsiaTheme="minorEastAsia" w:hint="eastAsia"/>
          <w:b/>
          <w:lang w:val="en-US" w:eastAsia="zh-CN"/>
        </w:rPr>
        <w:t>P</w:t>
      </w:r>
      <w:r w:rsidRPr="00315B6F">
        <w:rPr>
          <w:rFonts w:eastAsiaTheme="minorEastAsia"/>
          <w:b/>
          <w:lang w:val="en-US" w:eastAsia="zh-CN"/>
        </w:rPr>
        <w:t>roposal 1: Take GNSS requirements in 38171 as the baseline for defining NTN RRM requirements.</w:t>
      </w:r>
    </w:p>
    <w:p w:rsidR="00877B2E" w:rsidRDefault="00877B2E" w:rsidP="00877B2E">
      <w:pPr>
        <w:spacing w:before="120" w:after="120"/>
        <w:rPr>
          <w:rFonts w:eastAsiaTheme="minorEastAsia"/>
          <w:b/>
          <w:lang w:val="en-US" w:eastAsia="zh-CN"/>
        </w:rPr>
      </w:pPr>
      <w:r w:rsidRPr="00BA7084">
        <w:rPr>
          <w:rFonts w:eastAsiaTheme="minorEastAsia" w:hint="eastAsia"/>
          <w:b/>
          <w:lang w:val="en-US" w:eastAsia="zh-CN"/>
        </w:rPr>
        <w:t>P</w:t>
      </w:r>
      <w:r w:rsidRPr="00BA7084">
        <w:rPr>
          <w:rFonts w:eastAsiaTheme="minorEastAsia"/>
          <w:b/>
          <w:lang w:val="en-US" w:eastAsia="zh-CN"/>
        </w:rPr>
        <w:t xml:space="preserve">roposal 2: </w:t>
      </w:r>
      <w:r>
        <w:rPr>
          <w:rFonts w:eastAsiaTheme="minorEastAsia"/>
          <w:b/>
          <w:lang w:val="en-US" w:eastAsia="zh-CN"/>
        </w:rPr>
        <w:t>RAN4 to c</w:t>
      </w:r>
      <w:r w:rsidRPr="00BA7084">
        <w:rPr>
          <w:rFonts w:eastAsiaTheme="minorEastAsia"/>
          <w:b/>
          <w:lang w:val="en-US" w:eastAsia="zh-CN"/>
        </w:rPr>
        <w:t>onsider multiple sets of GNSS accuracies as assumptions for</w:t>
      </w:r>
      <w:r>
        <w:rPr>
          <w:rFonts w:eastAsiaTheme="minorEastAsia"/>
          <w:b/>
          <w:lang w:val="en-US" w:eastAsia="zh-CN"/>
        </w:rPr>
        <w:t xml:space="preserve"> defining</w:t>
      </w:r>
      <w:r w:rsidRPr="00BA7084">
        <w:rPr>
          <w:rFonts w:eastAsiaTheme="minorEastAsia"/>
          <w:b/>
          <w:lang w:val="en-US" w:eastAsia="zh-CN"/>
        </w:rPr>
        <w:t xml:space="preserve"> RRM requirements.</w:t>
      </w:r>
      <w:r>
        <w:rPr>
          <w:rFonts w:eastAsiaTheme="minorEastAsia"/>
          <w:b/>
          <w:lang w:val="en-US" w:eastAsia="zh-CN"/>
        </w:rPr>
        <w:t xml:space="preserve"> At least the following two sets are considered</w:t>
      </w:r>
    </w:p>
    <w:p w:rsidR="00877B2E" w:rsidRDefault="00877B2E" w:rsidP="00877B2E">
      <w:pPr>
        <w:pStyle w:val="af8"/>
        <w:numPr>
          <w:ilvl w:val="0"/>
          <w:numId w:val="19"/>
        </w:numPr>
        <w:spacing w:before="120" w:after="120"/>
        <w:rPr>
          <w:rFonts w:eastAsiaTheme="minorEastAsia"/>
          <w:b/>
          <w:lang w:eastAsia="zh-CN"/>
        </w:rPr>
      </w:pPr>
      <w:r>
        <w:rPr>
          <w:rFonts w:eastAsiaTheme="minorEastAsia"/>
          <w:b/>
          <w:lang w:eastAsia="zh-CN"/>
        </w:rPr>
        <w:t xml:space="preserve">Set#1: accuracy 15m, based on conditions in </w:t>
      </w:r>
      <w:r w:rsidRPr="00BA7084">
        <w:rPr>
          <w:rFonts w:eastAsiaTheme="minorEastAsia"/>
          <w:b/>
          <w:lang w:eastAsia="zh-CN"/>
        </w:rPr>
        <w:t>clause 6.2 of 38.171</w:t>
      </w:r>
    </w:p>
    <w:p w:rsidR="00877B2E" w:rsidRDefault="00877B2E" w:rsidP="00877B2E">
      <w:pPr>
        <w:pStyle w:val="af8"/>
        <w:numPr>
          <w:ilvl w:val="0"/>
          <w:numId w:val="19"/>
        </w:numPr>
        <w:spacing w:before="120" w:after="120"/>
        <w:rPr>
          <w:rFonts w:eastAsiaTheme="minorEastAsia"/>
          <w:b/>
          <w:lang w:eastAsia="zh-CN"/>
        </w:rPr>
      </w:pPr>
      <w:r>
        <w:rPr>
          <w:rFonts w:eastAsiaTheme="minorEastAsia"/>
          <w:b/>
          <w:lang w:eastAsia="zh-CN"/>
        </w:rPr>
        <w:t xml:space="preserve">Set#2: accuracy 100m, based on conditions in </w:t>
      </w:r>
      <w:r w:rsidRPr="00BA7084">
        <w:rPr>
          <w:rFonts w:eastAsiaTheme="minorEastAsia"/>
          <w:b/>
          <w:lang w:eastAsia="zh-CN"/>
        </w:rPr>
        <w:t>clause 6.</w:t>
      </w:r>
      <w:r>
        <w:rPr>
          <w:rFonts w:eastAsiaTheme="minorEastAsia"/>
          <w:b/>
          <w:lang w:eastAsia="zh-CN"/>
        </w:rPr>
        <w:t>3~6.5</w:t>
      </w:r>
      <w:r w:rsidRPr="00BA7084">
        <w:rPr>
          <w:rFonts w:eastAsiaTheme="minorEastAsia"/>
          <w:b/>
          <w:lang w:eastAsia="zh-CN"/>
        </w:rPr>
        <w:t xml:space="preserve"> of 38.171</w:t>
      </w:r>
    </w:p>
    <w:p w:rsidR="00877B2E" w:rsidRPr="00B20C43" w:rsidRDefault="00877B2E" w:rsidP="00877B2E">
      <w:pPr>
        <w:spacing w:before="120" w:after="120"/>
        <w:rPr>
          <w:rFonts w:eastAsiaTheme="minorEastAsia"/>
          <w:b/>
          <w:lang w:val="en-US" w:eastAsia="zh-CN"/>
        </w:rPr>
      </w:pPr>
      <w:r w:rsidRPr="00B20C43">
        <w:rPr>
          <w:rFonts w:eastAsiaTheme="minorEastAsia"/>
          <w:b/>
          <w:lang w:val="en-US" w:eastAsia="zh-CN"/>
        </w:rPr>
        <w:t xml:space="preserve">Proposal 3: RAN4 to consider using different GNSS accuracy assumptions for different RRM requirements. </w:t>
      </w:r>
    </w:p>
    <w:p w:rsidR="00877B2E" w:rsidRPr="00877B2E" w:rsidRDefault="00877B2E" w:rsidP="00C3788F">
      <w:pPr>
        <w:spacing w:before="120" w:after="120"/>
        <w:rPr>
          <w:rFonts w:eastAsiaTheme="minorEastAsia"/>
          <w:b/>
          <w:lang w:eastAsia="zh-CN"/>
        </w:rPr>
      </w:pPr>
      <w:r w:rsidRPr="00877B2E">
        <w:rPr>
          <w:rFonts w:eastAsiaTheme="minorEastAsia" w:hint="eastAsia"/>
          <w:b/>
          <w:lang w:eastAsia="zh-CN"/>
        </w:rPr>
        <w:t>P</w:t>
      </w:r>
      <w:r w:rsidRPr="00877B2E">
        <w:rPr>
          <w:rFonts w:eastAsiaTheme="minorEastAsia"/>
          <w:b/>
          <w:lang w:eastAsia="zh-CN"/>
        </w:rPr>
        <w:t>roposal 4: RAN4 to further discuss the need to define assumptions on delay or frequency of GNSS fix for defining RRM requirements</w:t>
      </w:r>
      <w:r>
        <w:rPr>
          <w:rFonts w:eastAsiaTheme="minorEastAsia"/>
          <w:b/>
          <w:lang w:eastAsia="zh-CN"/>
        </w:rPr>
        <w:t>.</w:t>
      </w:r>
    </w:p>
    <w:p w:rsidR="00C0754F" w:rsidRDefault="00C0754F" w:rsidP="00C0754F">
      <w:pPr>
        <w:pStyle w:val="1"/>
        <w:jc w:val="both"/>
        <w:rPr>
          <w:lang w:val="en-US"/>
        </w:rPr>
      </w:pPr>
      <w:r w:rsidRPr="00C0754F">
        <w:rPr>
          <w:lang w:val="en-US"/>
        </w:rPr>
        <w:lastRenderedPageBreak/>
        <w:t>Reference</w:t>
      </w:r>
    </w:p>
    <w:p w:rsidR="00B8592A" w:rsidRPr="00D33817" w:rsidRDefault="00D56BD6" w:rsidP="00D33817">
      <w:pPr>
        <w:numPr>
          <w:ilvl w:val="0"/>
          <w:numId w:val="5"/>
        </w:numPr>
        <w:spacing w:before="120" w:after="120"/>
        <w:rPr>
          <w:rFonts w:eastAsia="宋体"/>
          <w:lang w:val="en-US" w:eastAsia="zh-CN"/>
        </w:rPr>
      </w:pPr>
      <w:r w:rsidRPr="00D56BD6">
        <w:rPr>
          <w:rFonts w:eastAsia="宋体"/>
          <w:lang w:eastAsia="zh-CN"/>
        </w:rPr>
        <w:t>R</w:t>
      </w:r>
      <w:r w:rsidR="00D33817">
        <w:rPr>
          <w:rFonts w:eastAsia="宋体"/>
          <w:lang w:eastAsia="zh-CN"/>
        </w:rPr>
        <w:t>4</w:t>
      </w:r>
      <w:r w:rsidRPr="00D56BD6">
        <w:rPr>
          <w:rFonts w:eastAsia="宋体"/>
          <w:lang w:eastAsia="zh-CN"/>
        </w:rPr>
        <w:t>-210</w:t>
      </w:r>
      <w:r w:rsidR="00D33817">
        <w:rPr>
          <w:rFonts w:eastAsia="宋体"/>
          <w:lang w:eastAsia="zh-CN"/>
        </w:rPr>
        <w:t>5795</w:t>
      </w:r>
      <w:r w:rsidR="00980473">
        <w:rPr>
          <w:rFonts w:eastAsia="宋体"/>
          <w:lang w:eastAsia="zh-CN"/>
        </w:rPr>
        <w:t xml:space="preserve">, </w:t>
      </w:r>
      <w:r w:rsidR="00D33817" w:rsidRPr="00D33817">
        <w:rPr>
          <w:rFonts w:eastAsia="宋体"/>
          <w:lang w:val="en-US" w:eastAsia="zh-CN"/>
        </w:rPr>
        <w:t>WF on NR NTN RRM general and measurement requirements</w:t>
      </w:r>
      <w:r w:rsidR="00D33817">
        <w:rPr>
          <w:rFonts w:eastAsia="宋体"/>
          <w:lang w:val="en-US" w:eastAsia="zh-CN"/>
        </w:rPr>
        <w:t>,</w:t>
      </w:r>
      <w:r w:rsidRPr="00D56BD6">
        <w:rPr>
          <w:rFonts w:eastAsia="宋体"/>
          <w:lang w:val="en-US" w:eastAsia="zh-CN"/>
        </w:rPr>
        <w:t xml:space="preserve"> </w:t>
      </w:r>
      <w:proofErr w:type="spellStart"/>
      <w:r w:rsidR="00D33817" w:rsidRPr="00D33817">
        <w:rPr>
          <w:rFonts w:eastAsia="宋体"/>
          <w:lang w:val="en-US" w:eastAsia="zh-CN"/>
        </w:rPr>
        <w:t>Fraunhofer</w:t>
      </w:r>
      <w:proofErr w:type="spellEnd"/>
      <w:r w:rsidR="00D33817" w:rsidRPr="00D33817">
        <w:rPr>
          <w:rFonts w:eastAsia="宋体"/>
          <w:lang w:val="en-US" w:eastAsia="zh-CN"/>
        </w:rPr>
        <w:t xml:space="preserve"> HHI</w:t>
      </w:r>
    </w:p>
    <w:sectPr w:rsidR="00B8592A" w:rsidRPr="00D3381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D6A" w:rsidRDefault="00A67D6A">
      <w:pPr>
        <w:spacing w:before="120" w:after="120"/>
      </w:pPr>
      <w:r>
        <w:separator/>
      </w:r>
    </w:p>
  </w:endnote>
  <w:endnote w:type="continuationSeparator" w:id="0">
    <w:p w:rsidR="00A67D6A" w:rsidRDefault="00A67D6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C43" w:rsidRDefault="00B20C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20C43" w:rsidRDefault="00B20C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C43" w:rsidRDefault="00B20C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B17A3">
      <w:rPr>
        <w:rStyle w:val="af1"/>
      </w:rPr>
      <w:t>2</w:t>
    </w:r>
    <w:r>
      <w:rPr>
        <w:rStyle w:val="af1"/>
      </w:rPr>
      <w:fldChar w:fldCharType="end"/>
    </w:r>
  </w:p>
  <w:p w:rsidR="00B20C43" w:rsidRDefault="00B20C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D6A" w:rsidRDefault="00A67D6A">
      <w:pPr>
        <w:spacing w:before="120" w:after="120"/>
      </w:pPr>
      <w:r>
        <w:separator/>
      </w:r>
    </w:p>
  </w:footnote>
  <w:footnote w:type="continuationSeparator" w:id="0">
    <w:p w:rsidR="00A67D6A" w:rsidRDefault="00A67D6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12FD4"/>
    <w:multiLevelType w:val="hybridMultilevel"/>
    <w:tmpl w:val="330E0A0C"/>
    <w:lvl w:ilvl="0" w:tplc="D9288312">
      <w:start w:val="1"/>
      <w:numFmt w:val="bullet"/>
      <w:lvlText w:val="•"/>
      <w:lvlJc w:val="left"/>
      <w:pPr>
        <w:tabs>
          <w:tab w:val="num" w:pos="720"/>
        </w:tabs>
        <w:ind w:left="720" w:hanging="360"/>
      </w:pPr>
      <w:rPr>
        <w:rFonts w:ascii="Arial" w:hAnsi="Arial" w:hint="default"/>
      </w:rPr>
    </w:lvl>
    <w:lvl w:ilvl="1" w:tplc="B7A6E18A">
      <w:start w:val="1"/>
      <w:numFmt w:val="bullet"/>
      <w:lvlText w:val="•"/>
      <w:lvlJc w:val="left"/>
      <w:pPr>
        <w:tabs>
          <w:tab w:val="num" w:pos="1440"/>
        </w:tabs>
        <w:ind w:left="1440" w:hanging="360"/>
      </w:pPr>
      <w:rPr>
        <w:rFonts w:ascii="Arial" w:hAnsi="Arial" w:hint="default"/>
      </w:rPr>
    </w:lvl>
    <w:lvl w:ilvl="2" w:tplc="0C9E68CA">
      <w:numFmt w:val="bullet"/>
      <w:lvlText w:val="•"/>
      <w:lvlJc w:val="left"/>
      <w:pPr>
        <w:tabs>
          <w:tab w:val="num" w:pos="2160"/>
        </w:tabs>
        <w:ind w:left="2160" w:hanging="360"/>
      </w:pPr>
      <w:rPr>
        <w:rFonts w:ascii="Arial" w:hAnsi="Arial" w:hint="default"/>
      </w:rPr>
    </w:lvl>
    <w:lvl w:ilvl="3" w:tplc="86E4457E">
      <w:numFmt w:val="bullet"/>
      <w:lvlText w:val="•"/>
      <w:lvlJc w:val="left"/>
      <w:pPr>
        <w:tabs>
          <w:tab w:val="num" w:pos="2880"/>
        </w:tabs>
        <w:ind w:left="2880" w:hanging="360"/>
      </w:pPr>
      <w:rPr>
        <w:rFonts w:ascii="Arial" w:hAnsi="Arial" w:hint="default"/>
      </w:rPr>
    </w:lvl>
    <w:lvl w:ilvl="4" w:tplc="58A87CA2" w:tentative="1">
      <w:start w:val="1"/>
      <w:numFmt w:val="bullet"/>
      <w:lvlText w:val="•"/>
      <w:lvlJc w:val="left"/>
      <w:pPr>
        <w:tabs>
          <w:tab w:val="num" w:pos="3600"/>
        </w:tabs>
        <w:ind w:left="3600" w:hanging="360"/>
      </w:pPr>
      <w:rPr>
        <w:rFonts w:ascii="Arial" w:hAnsi="Arial" w:hint="default"/>
      </w:rPr>
    </w:lvl>
    <w:lvl w:ilvl="5" w:tplc="B2E6D27E" w:tentative="1">
      <w:start w:val="1"/>
      <w:numFmt w:val="bullet"/>
      <w:lvlText w:val="•"/>
      <w:lvlJc w:val="left"/>
      <w:pPr>
        <w:tabs>
          <w:tab w:val="num" w:pos="4320"/>
        </w:tabs>
        <w:ind w:left="4320" w:hanging="360"/>
      </w:pPr>
      <w:rPr>
        <w:rFonts w:ascii="Arial" w:hAnsi="Arial" w:hint="default"/>
      </w:rPr>
    </w:lvl>
    <w:lvl w:ilvl="6" w:tplc="DD0CD310" w:tentative="1">
      <w:start w:val="1"/>
      <w:numFmt w:val="bullet"/>
      <w:lvlText w:val="•"/>
      <w:lvlJc w:val="left"/>
      <w:pPr>
        <w:tabs>
          <w:tab w:val="num" w:pos="5040"/>
        </w:tabs>
        <w:ind w:left="5040" w:hanging="360"/>
      </w:pPr>
      <w:rPr>
        <w:rFonts w:ascii="Arial" w:hAnsi="Arial" w:hint="default"/>
      </w:rPr>
    </w:lvl>
    <w:lvl w:ilvl="7" w:tplc="87962C2E" w:tentative="1">
      <w:start w:val="1"/>
      <w:numFmt w:val="bullet"/>
      <w:lvlText w:val="•"/>
      <w:lvlJc w:val="left"/>
      <w:pPr>
        <w:tabs>
          <w:tab w:val="num" w:pos="5760"/>
        </w:tabs>
        <w:ind w:left="5760" w:hanging="360"/>
      </w:pPr>
      <w:rPr>
        <w:rFonts w:ascii="Arial" w:hAnsi="Arial" w:hint="default"/>
      </w:rPr>
    </w:lvl>
    <w:lvl w:ilvl="8" w:tplc="436869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FA3772"/>
    <w:multiLevelType w:val="hybridMultilevel"/>
    <w:tmpl w:val="E09C3B42"/>
    <w:lvl w:ilvl="0" w:tplc="4FC6BE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9034C"/>
    <w:multiLevelType w:val="hybridMultilevel"/>
    <w:tmpl w:val="7B8C0FFA"/>
    <w:lvl w:ilvl="0" w:tplc="AA46D358">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0D51"/>
    <w:multiLevelType w:val="hybridMultilevel"/>
    <w:tmpl w:val="FBA6AFD2"/>
    <w:lvl w:ilvl="0" w:tplc="B2AA9F84">
      <w:start w:val="1"/>
      <w:numFmt w:val="bullet"/>
      <w:lvlText w:val="•"/>
      <w:lvlJc w:val="left"/>
      <w:pPr>
        <w:tabs>
          <w:tab w:val="num" w:pos="720"/>
        </w:tabs>
        <w:ind w:left="720" w:hanging="360"/>
      </w:pPr>
      <w:rPr>
        <w:rFonts w:ascii="Arial" w:hAnsi="Arial" w:hint="default"/>
      </w:rPr>
    </w:lvl>
    <w:lvl w:ilvl="1" w:tplc="27D6957A">
      <w:start w:val="1"/>
      <w:numFmt w:val="bullet"/>
      <w:lvlText w:val="•"/>
      <w:lvlJc w:val="left"/>
      <w:pPr>
        <w:tabs>
          <w:tab w:val="num" w:pos="1440"/>
        </w:tabs>
        <w:ind w:left="1440" w:hanging="360"/>
      </w:pPr>
      <w:rPr>
        <w:rFonts w:ascii="Arial" w:hAnsi="Arial" w:hint="default"/>
      </w:rPr>
    </w:lvl>
    <w:lvl w:ilvl="2" w:tplc="E3A4BCA4">
      <w:numFmt w:val="bullet"/>
      <w:lvlText w:val="•"/>
      <w:lvlJc w:val="left"/>
      <w:pPr>
        <w:tabs>
          <w:tab w:val="num" w:pos="2160"/>
        </w:tabs>
        <w:ind w:left="2160" w:hanging="360"/>
      </w:pPr>
      <w:rPr>
        <w:rFonts w:ascii="Arial" w:hAnsi="Arial" w:hint="default"/>
      </w:rPr>
    </w:lvl>
    <w:lvl w:ilvl="3" w:tplc="839EE5B6" w:tentative="1">
      <w:start w:val="1"/>
      <w:numFmt w:val="bullet"/>
      <w:lvlText w:val="•"/>
      <w:lvlJc w:val="left"/>
      <w:pPr>
        <w:tabs>
          <w:tab w:val="num" w:pos="2880"/>
        </w:tabs>
        <w:ind w:left="2880" w:hanging="360"/>
      </w:pPr>
      <w:rPr>
        <w:rFonts w:ascii="Arial" w:hAnsi="Arial" w:hint="default"/>
      </w:rPr>
    </w:lvl>
    <w:lvl w:ilvl="4" w:tplc="1FE85640" w:tentative="1">
      <w:start w:val="1"/>
      <w:numFmt w:val="bullet"/>
      <w:lvlText w:val="•"/>
      <w:lvlJc w:val="left"/>
      <w:pPr>
        <w:tabs>
          <w:tab w:val="num" w:pos="3600"/>
        </w:tabs>
        <w:ind w:left="3600" w:hanging="360"/>
      </w:pPr>
      <w:rPr>
        <w:rFonts w:ascii="Arial" w:hAnsi="Arial" w:hint="default"/>
      </w:rPr>
    </w:lvl>
    <w:lvl w:ilvl="5" w:tplc="407AD752" w:tentative="1">
      <w:start w:val="1"/>
      <w:numFmt w:val="bullet"/>
      <w:lvlText w:val="•"/>
      <w:lvlJc w:val="left"/>
      <w:pPr>
        <w:tabs>
          <w:tab w:val="num" w:pos="4320"/>
        </w:tabs>
        <w:ind w:left="4320" w:hanging="360"/>
      </w:pPr>
      <w:rPr>
        <w:rFonts w:ascii="Arial" w:hAnsi="Arial" w:hint="default"/>
      </w:rPr>
    </w:lvl>
    <w:lvl w:ilvl="6" w:tplc="1A34997C" w:tentative="1">
      <w:start w:val="1"/>
      <w:numFmt w:val="bullet"/>
      <w:lvlText w:val="•"/>
      <w:lvlJc w:val="left"/>
      <w:pPr>
        <w:tabs>
          <w:tab w:val="num" w:pos="5040"/>
        </w:tabs>
        <w:ind w:left="5040" w:hanging="360"/>
      </w:pPr>
      <w:rPr>
        <w:rFonts w:ascii="Arial" w:hAnsi="Arial" w:hint="default"/>
      </w:rPr>
    </w:lvl>
    <w:lvl w:ilvl="7" w:tplc="B0EA75CA" w:tentative="1">
      <w:start w:val="1"/>
      <w:numFmt w:val="bullet"/>
      <w:lvlText w:val="•"/>
      <w:lvlJc w:val="left"/>
      <w:pPr>
        <w:tabs>
          <w:tab w:val="num" w:pos="5760"/>
        </w:tabs>
        <w:ind w:left="5760" w:hanging="360"/>
      </w:pPr>
      <w:rPr>
        <w:rFonts w:ascii="Arial" w:hAnsi="Arial" w:hint="default"/>
      </w:rPr>
    </w:lvl>
    <w:lvl w:ilvl="8" w:tplc="21F06C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85D6908"/>
    <w:multiLevelType w:val="hybridMultilevel"/>
    <w:tmpl w:val="401ABB70"/>
    <w:lvl w:ilvl="0" w:tplc="2C60A558">
      <w:start w:val="1"/>
      <w:numFmt w:val="bullet"/>
      <w:lvlText w:val="•"/>
      <w:lvlJc w:val="left"/>
      <w:pPr>
        <w:tabs>
          <w:tab w:val="num" w:pos="720"/>
        </w:tabs>
        <w:ind w:left="720" w:hanging="360"/>
      </w:pPr>
      <w:rPr>
        <w:rFonts w:ascii="Arial" w:hAnsi="Arial" w:hint="default"/>
      </w:rPr>
    </w:lvl>
    <w:lvl w:ilvl="1" w:tplc="BA804674">
      <w:start w:val="1"/>
      <w:numFmt w:val="bullet"/>
      <w:lvlText w:val="•"/>
      <w:lvlJc w:val="left"/>
      <w:pPr>
        <w:tabs>
          <w:tab w:val="num" w:pos="1440"/>
        </w:tabs>
        <w:ind w:left="1440" w:hanging="360"/>
      </w:pPr>
      <w:rPr>
        <w:rFonts w:ascii="Arial" w:hAnsi="Arial" w:hint="default"/>
      </w:rPr>
    </w:lvl>
    <w:lvl w:ilvl="2" w:tplc="45764F8A">
      <w:numFmt w:val="bullet"/>
      <w:lvlText w:val="•"/>
      <w:lvlJc w:val="left"/>
      <w:pPr>
        <w:tabs>
          <w:tab w:val="num" w:pos="2160"/>
        </w:tabs>
        <w:ind w:left="2160" w:hanging="360"/>
      </w:pPr>
      <w:rPr>
        <w:rFonts w:ascii="Arial" w:hAnsi="Arial" w:hint="default"/>
      </w:rPr>
    </w:lvl>
    <w:lvl w:ilvl="3" w:tplc="B19A126E" w:tentative="1">
      <w:start w:val="1"/>
      <w:numFmt w:val="bullet"/>
      <w:lvlText w:val="•"/>
      <w:lvlJc w:val="left"/>
      <w:pPr>
        <w:tabs>
          <w:tab w:val="num" w:pos="2880"/>
        </w:tabs>
        <w:ind w:left="2880" w:hanging="360"/>
      </w:pPr>
      <w:rPr>
        <w:rFonts w:ascii="Arial" w:hAnsi="Arial" w:hint="default"/>
      </w:rPr>
    </w:lvl>
    <w:lvl w:ilvl="4" w:tplc="7D8036D6" w:tentative="1">
      <w:start w:val="1"/>
      <w:numFmt w:val="bullet"/>
      <w:lvlText w:val="•"/>
      <w:lvlJc w:val="left"/>
      <w:pPr>
        <w:tabs>
          <w:tab w:val="num" w:pos="3600"/>
        </w:tabs>
        <w:ind w:left="3600" w:hanging="360"/>
      </w:pPr>
      <w:rPr>
        <w:rFonts w:ascii="Arial" w:hAnsi="Arial" w:hint="default"/>
      </w:rPr>
    </w:lvl>
    <w:lvl w:ilvl="5" w:tplc="FD86AA8C" w:tentative="1">
      <w:start w:val="1"/>
      <w:numFmt w:val="bullet"/>
      <w:lvlText w:val="•"/>
      <w:lvlJc w:val="left"/>
      <w:pPr>
        <w:tabs>
          <w:tab w:val="num" w:pos="4320"/>
        </w:tabs>
        <w:ind w:left="4320" w:hanging="360"/>
      </w:pPr>
      <w:rPr>
        <w:rFonts w:ascii="Arial" w:hAnsi="Arial" w:hint="default"/>
      </w:rPr>
    </w:lvl>
    <w:lvl w:ilvl="6" w:tplc="4EF8D010" w:tentative="1">
      <w:start w:val="1"/>
      <w:numFmt w:val="bullet"/>
      <w:lvlText w:val="•"/>
      <w:lvlJc w:val="left"/>
      <w:pPr>
        <w:tabs>
          <w:tab w:val="num" w:pos="5040"/>
        </w:tabs>
        <w:ind w:left="5040" w:hanging="360"/>
      </w:pPr>
      <w:rPr>
        <w:rFonts w:ascii="Arial" w:hAnsi="Arial" w:hint="default"/>
      </w:rPr>
    </w:lvl>
    <w:lvl w:ilvl="7" w:tplc="9DC2BD76" w:tentative="1">
      <w:start w:val="1"/>
      <w:numFmt w:val="bullet"/>
      <w:lvlText w:val="•"/>
      <w:lvlJc w:val="left"/>
      <w:pPr>
        <w:tabs>
          <w:tab w:val="num" w:pos="5760"/>
        </w:tabs>
        <w:ind w:left="5760" w:hanging="360"/>
      </w:pPr>
      <w:rPr>
        <w:rFonts w:ascii="Arial" w:hAnsi="Arial" w:hint="default"/>
      </w:rPr>
    </w:lvl>
    <w:lvl w:ilvl="8" w:tplc="EC7E27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AAA6474"/>
    <w:multiLevelType w:val="hybridMultilevel"/>
    <w:tmpl w:val="149C26B4"/>
    <w:lvl w:ilvl="0" w:tplc="3BBE4DB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B2329B"/>
    <w:multiLevelType w:val="hybridMultilevel"/>
    <w:tmpl w:val="209C4678"/>
    <w:lvl w:ilvl="0" w:tplc="00E6CC76">
      <w:start w:val="1"/>
      <w:numFmt w:val="bullet"/>
      <w:lvlText w:val="–"/>
      <w:lvlJc w:val="left"/>
      <w:pPr>
        <w:tabs>
          <w:tab w:val="num" w:pos="720"/>
        </w:tabs>
        <w:ind w:left="720" w:hanging="360"/>
      </w:pPr>
      <w:rPr>
        <w:rFonts w:ascii="Arial" w:hAnsi="Arial" w:hint="default"/>
      </w:rPr>
    </w:lvl>
    <w:lvl w:ilvl="1" w:tplc="5DE0EA7C">
      <w:start w:val="1"/>
      <w:numFmt w:val="bullet"/>
      <w:lvlText w:val="–"/>
      <w:lvlJc w:val="left"/>
      <w:pPr>
        <w:tabs>
          <w:tab w:val="num" w:pos="1440"/>
        </w:tabs>
        <w:ind w:left="1440" w:hanging="360"/>
      </w:pPr>
      <w:rPr>
        <w:rFonts w:ascii="Arial" w:hAnsi="Arial" w:hint="default"/>
      </w:rPr>
    </w:lvl>
    <w:lvl w:ilvl="2" w:tplc="17AED3CE">
      <w:numFmt w:val="bullet"/>
      <w:lvlText w:val="•"/>
      <w:lvlJc w:val="left"/>
      <w:pPr>
        <w:tabs>
          <w:tab w:val="num" w:pos="2160"/>
        </w:tabs>
        <w:ind w:left="2160" w:hanging="360"/>
      </w:pPr>
      <w:rPr>
        <w:rFonts w:ascii="Arial" w:hAnsi="Arial" w:hint="default"/>
      </w:rPr>
    </w:lvl>
    <w:lvl w:ilvl="3" w:tplc="32CC47A2">
      <w:numFmt w:val="bullet"/>
      <w:lvlText w:val="–"/>
      <w:lvlJc w:val="left"/>
      <w:pPr>
        <w:tabs>
          <w:tab w:val="num" w:pos="2880"/>
        </w:tabs>
        <w:ind w:left="2880" w:hanging="360"/>
      </w:pPr>
      <w:rPr>
        <w:rFonts w:ascii="Arial" w:hAnsi="Arial" w:hint="default"/>
      </w:rPr>
    </w:lvl>
    <w:lvl w:ilvl="4" w:tplc="701C5F5C" w:tentative="1">
      <w:start w:val="1"/>
      <w:numFmt w:val="bullet"/>
      <w:lvlText w:val="–"/>
      <w:lvlJc w:val="left"/>
      <w:pPr>
        <w:tabs>
          <w:tab w:val="num" w:pos="3600"/>
        </w:tabs>
        <w:ind w:left="3600" w:hanging="360"/>
      </w:pPr>
      <w:rPr>
        <w:rFonts w:ascii="Arial" w:hAnsi="Arial" w:hint="default"/>
      </w:rPr>
    </w:lvl>
    <w:lvl w:ilvl="5" w:tplc="E428823C" w:tentative="1">
      <w:start w:val="1"/>
      <w:numFmt w:val="bullet"/>
      <w:lvlText w:val="–"/>
      <w:lvlJc w:val="left"/>
      <w:pPr>
        <w:tabs>
          <w:tab w:val="num" w:pos="4320"/>
        </w:tabs>
        <w:ind w:left="4320" w:hanging="360"/>
      </w:pPr>
      <w:rPr>
        <w:rFonts w:ascii="Arial" w:hAnsi="Arial" w:hint="default"/>
      </w:rPr>
    </w:lvl>
    <w:lvl w:ilvl="6" w:tplc="A694FC5A" w:tentative="1">
      <w:start w:val="1"/>
      <w:numFmt w:val="bullet"/>
      <w:lvlText w:val="–"/>
      <w:lvlJc w:val="left"/>
      <w:pPr>
        <w:tabs>
          <w:tab w:val="num" w:pos="5040"/>
        </w:tabs>
        <w:ind w:left="5040" w:hanging="360"/>
      </w:pPr>
      <w:rPr>
        <w:rFonts w:ascii="Arial" w:hAnsi="Arial" w:hint="default"/>
      </w:rPr>
    </w:lvl>
    <w:lvl w:ilvl="7" w:tplc="92820562" w:tentative="1">
      <w:start w:val="1"/>
      <w:numFmt w:val="bullet"/>
      <w:lvlText w:val="–"/>
      <w:lvlJc w:val="left"/>
      <w:pPr>
        <w:tabs>
          <w:tab w:val="num" w:pos="5760"/>
        </w:tabs>
        <w:ind w:left="5760" w:hanging="360"/>
      </w:pPr>
      <w:rPr>
        <w:rFonts w:ascii="Arial" w:hAnsi="Arial" w:hint="default"/>
      </w:rPr>
    </w:lvl>
    <w:lvl w:ilvl="8" w:tplc="FC4EFF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8"/>
  </w:num>
  <w:num w:numId="3">
    <w:abstractNumId w:val="20"/>
  </w:num>
  <w:num w:numId="4">
    <w:abstractNumId w:val="6"/>
  </w:num>
  <w:num w:numId="5">
    <w:abstractNumId w:val="8"/>
  </w:num>
  <w:num w:numId="6">
    <w:abstractNumId w:val="16"/>
  </w:num>
  <w:num w:numId="7">
    <w:abstractNumId w:val="12"/>
  </w:num>
  <w:num w:numId="8">
    <w:abstractNumId w:val="21"/>
    <w:lvlOverride w:ilvl="0">
      <w:startOverride w:val="1"/>
    </w:lvlOverride>
  </w:num>
  <w:num w:numId="9">
    <w:abstractNumId w:val="15"/>
  </w:num>
  <w:num w:numId="10">
    <w:abstractNumId w:val="5"/>
  </w:num>
  <w:num w:numId="11">
    <w:abstractNumId w:val="3"/>
  </w:num>
  <w:num w:numId="12">
    <w:abstractNumId w:val="11"/>
  </w:num>
  <w:num w:numId="13">
    <w:abstractNumId w:val="14"/>
  </w:num>
  <w:num w:numId="14">
    <w:abstractNumId w:val="19"/>
  </w:num>
  <w:num w:numId="15">
    <w:abstractNumId w:val="17"/>
  </w:num>
  <w:num w:numId="16">
    <w:abstractNumId w:val="0"/>
  </w:num>
  <w:num w:numId="17">
    <w:abstractNumId w:val="2"/>
  </w:num>
  <w:num w:numId="18">
    <w:abstractNumId w:val="13"/>
  </w:num>
  <w:num w:numId="19">
    <w:abstractNumId w:val="4"/>
  </w:num>
  <w:num w:numId="20">
    <w:abstractNumId w:val="1"/>
  </w:num>
  <w:num w:numId="21">
    <w:abstractNumId w:val="7"/>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67B99"/>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C26"/>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5A"/>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C5D"/>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B39"/>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1C0"/>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5EC9"/>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1A"/>
    <w:rsid w:val="00261538"/>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A03"/>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B6F"/>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0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062"/>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2D"/>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A7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BF4"/>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1E31"/>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254"/>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465"/>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5BFA"/>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A3"/>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6C"/>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B2E"/>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961"/>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0C4"/>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AEC"/>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31"/>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C97"/>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6A"/>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0FC"/>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83B"/>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3"/>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4B5"/>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92A"/>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73"/>
    <w:rsid w:val="00BA5BCC"/>
    <w:rsid w:val="00BA606E"/>
    <w:rsid w:val="00BA6295"/>
    <w:rsid w:val="00BA687D"/>
    <w:rsid w:val="00BA6C4B"/>
    <w:rsid w:val="00BA6CF5"/>
    <w:rsid w:val="00BA6D4B"/>
    <w:rsid w:val="00BA6EF3"/>
    <w:rsid w:val="00BA7084"/>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B85"/>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381"/>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75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679"/>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898"/>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258"/>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93"/>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817"/>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BD6"/>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AE3"/>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0A"/>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3FB6"/>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8AD"/>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27D"/>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634"/>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5F01"/>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53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578442174">
          <w:marLeft w:val="360"/>
          <w:marRight w:val="0"/>
          <w:marTop w:val="200"/>
          <w:marBottom w:val="0"/>
          <w:divBdr>
            <w:top w:val="none" w:sz="0" w:space="0" w:color="auto"/>
            <w:left w:val="none" w:sz="0" w:space="0" w:color="auto"/>
            <w:bottom w:val="none" w:sz="0" w:space="0" w:color="auto"/>
            <w:right w:val="none" w:sz="0" w:space="0" w:color="auto"/>
          </w:divBdr>
        </w:div>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20225269">
      <w:bodyDiv w:val="1"/>
      <w:marLeft w:val="0"/>
      <w:marRight w:val="0"/>
      <w:marTop w:val="0"/>
      <w:marBottom w:val="0"/>
      <w:divBdr>
        <w:top w:val="none" w:sz="0" w:space="0" w:color="auto"/>
        <w:left w:val="none" w:sz="0" w:space="0" w:color="auto"/>
        <w:bottom w:val="none" w:sz="0" w:space="0" w:color="auto"/>
        <w:right w:val="none" w:sz="0" w:space="0" w:color="auto"/>
      </w:divBdr>
      <w:divsChild>
        <w:div w:id="1789739019">
          <w:marLeft w:val="1080"/>
          <w:marRight w:val="0"/>
          <w:marTop w:val="100"/>
          <w:marBottom w:val="0"/>
          <w:divBdr>
            <w:top w:val="none" w:sz="0" w:space="0" w:color="auto"/>
            <w:left w:val="none" w:sz="0" w:space="0" w:color="auto"/>
            <w:bottom w:val="none" w:sz="0" w:space="0" w:color="auto"/>
            <w:right w:val="none" w:sz="0" w:space="0" w:color="auto"/>
          </w:divBdr>
        </w:div>
        <w:div w:id="1576741935">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8287831">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06407968">
      <w:bodyDiv w:val="1"/>
      <w:marLeft w:val="0"/>
      <w:marRight w:val="0"/>
      <w:marTop w:val="0"/>
      <w:marBottom w:val="0"/>
      <w:divBdr>
        <w:top w:val="none" w:sz="0" w:space="0" w:color="auto"/>
        <w:left w:val="none" w:sz="0" w:space="0" w:color="auto"/>
        <w:bottom w:val="none" w:sz="0" w:space="0" w:color="auto"/>
        <w:right w:val="none" w:sz="0" w:space="0" w:color="auto"/>
      </w:divBdr>
      <w:divsChild>
        <w:div w:id="1664773224">
          <w:marLeft w:val="1080"/>
          <w:marRight w:val="0"/>
          <w:marTop w:val="100"/>
          <w:marBottom w:val="0"/>
          <w:divBdr>
            <w:top w:val="none" w:sz="0" w:space="0" w:color="auto"/>
            <w:left w:val="none" w:sz="0" w:space="0" w:color="auto"/>
            <w:bottom w:val="none" w:sz="0" w:space="0" w:color="auto"/>
            <w:right w:val="none" w:sz="0" w:space="0" w:color="auto"/>
          </w:divBdr>
        </w:div>
        <w:div w:id="1111976254">
          <w:marLeft w:val="1800"/>
          <w:marRight w:val="0"/>
          <w:marTop w:val="100"/>
          <w:marBottom w:val="0"/>
          <w:divBdr>
            <w:top w:val="none" w:sz="0" w:space="0" w:color="auto"/>
            <w:left w:val="none" w:sz="0" w:space="0" w:color="auto"/>
            <w:bottom w:val="none" w:sz="0" w:space="0" w:color="auto"/>
            <w:right w:val="none" w:sz="0" w:space="0" w:color="auto"/>
          </w:divBdr>
        </w:div>
        <w:div w:id="483933651">
          <w:marLeft w:val="1800"/>
          <w:marRight w:val="0"/>
          <w:marTop w:val="100"/>
          <w:marBottom w:val="0"/>
          <w:divBdr>
            <w:top w:val="none" w:sz="0" w:space="0" w:color="auto"/>
            <w:left w:val="none" w:sz="0" w:space="0" w:color="auto"/>
            <w:bottom w:val="none" w:sz="0" w:space="0" w:color="auto"/>
            <w:right w:val="none" w:sz="0" w:space="0" w:color="auto"/>
          </w:divBdr>
        </w:div>
        <w:div w:id="568075739">
          <w:marLeft w:val="1800"/>
          <w:marRight w:val="0"/>
          <w:marTop w:val="100"/>
          <w:marBottom w:val="0"/>
          <w:divBdr>
            <w:top w:val="none" w:sz="0" w:space="0" w:color="auto"/>
            <w:left w:val="none" w:sz="0" w:space="0" w:color="auto"/>
            <w:bottom w:val="none" w:sz="0" w:space="0" w:color="auto"/>
            <w:right w:val="none" w:sz="0" w:space="0" w:color="auto"/>
          </w:divBdr>
        </w:div>
      </w:divsChild>
    </w:div>
    <w:div w:id="1216356693">
      <w:bodyDiv w:val="1"/>
      <w:marLeft w:val="0"/>
      <w:marRight w:val="0"/>
      <w:marTop w:val="0"/>
      <w:marBottom w:val="0"/>
      <w:divBdr>
        <w:top w:val="none" w:sz="0" w:space="0" w:color="auto"/>
        <w:left w:val="none" w:sz="0" w:space="0" w:color="auto"/>
        <w:bottom w:val="none" w:sz="0" w:space="0" w:color="auto"/>
        <w:right w:val="none" w:sz="0" w:space="0" w:color="auto"/>
      </w:divBdr>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6135328">
      <w:bodyDiv w:val="1"/>
      <w:marLeft w:val="0"/>
      <w:marRight w:val="0"/>
      <w:marTop w:val="0"/>
      <w:marBottom w:val="0"/>
      <w:divBdr>
        <w:top w:val="none" w:sz="0" w:space="0" w:color="auto"/>
        <w:left w:val="none" w:sz="0" w:space="0" w:color="auto"/>
        <w:bottom w:val="none" w:sz="0" w:space="0" w:color="auto"/>
        <w:right w:val="none" w:sz="0" w:space="0" w:color="auto"/>
      </w:divBdr>
      <w:divsChild>
        <w:div w:id="281888560">
          <w:marLeft w:val="1166"/>
          <w:marRight w:val="0"/>
          <w:marTop w:val="96"/>
          <w:marBottom w:val="0"/>
          <w:divBdr>
            <w:top w:val="none" w:sz="0" w:space="0" w:color="auto"/>
            <w:left w:val="none" w:sz="0" w:space="0" w:color="auto"/>
            <w:bottom w:val="none" w:sz="0" w:space="0" w:color="auto"/>
            <w:right w:val="none" w:sz="0" w:space="0" w:color="auto"/>
          </w:divBdr>
        </w:div>
        <w:div w:id="709381340">
          <w:marLeft w:val="1800"/>
          <w:marRight w:val="0"/>
          <w:marTop w:val="86"/>
          <w:marBottom w:val="0"/>
          <w:divBdr>
            <w:top w:val="none" w:sz="0" w:space="0" w:color="auto"/>
            <w:left w:val="none" w:sz="0" w:space="0" w:color="auto"/>
            <w:bottom w:val="none" w:sz="0" w:space="0" w:color="auto"/>
            <w:right w:val="none" w:sz="0" w:space="0" w:color="auto"/>
          </w:divBdr>
        </w:div>
        <w:div w:id="1549996773">
          <w:marLeft w:val="2520"/>
          <w:marRight w:val="0"/>
          <w:marTop w:val="77"/>
          <w:marBottom w:val="0"/>
          <w:divBdr>
            <w:top w:val="none" w:sz="0" w:space="0" w:color="auto"/>
            <w:left w:val="none" w:sz="0" w:space="0" w:color="auto"/>
            <w:bottom w:val="none" w:sz="0" w:space="0" w:color="auto"/>
            <w:right w:val="none" w:sz="0" w:space="0" w:color="auto"/>
          </w:divBdr>
        </w:div>
        <w:div w:id="248737076">
          <w:marLeft w:val="1800"/>
          <w:marRight w:val="0"/>
          <w:marTop w:val="86"/>
          <w:marBottom w:val="0"/>
          <w:divBdr>
            <w:top w:val="none" w:sz="0" w:space="0" w:color="auto"/>
            <w:left w:val="none" w:sz="0" w:space="0" w:color="auto"/>
            <w:bottom w:val="none" w:sz="0" w:space="0" w:color="auto"/>
            <w:right w:val="none" w:sz="0" w:space="0" w:color="auto"/>
          </w:divBdr>
        </w:div>
        <w:div w:id="1495801146">
          <w:marLeft w:val="2520"/>
          <w:marRight w:val="0"/>
          <w:marTop w:val="77"/>
          <w:marBottom w:val="0"/>
          <w:divBdr>
            <w:top w:val="none" w:sz="0" w:space="0" w:color="auto"/>
            <w:left w:val="none" w:sz="0" w:space="0" w:color="auto"/>
            <w:bottom w:val="none" w:sz="0" w:space="0" w:color="auto"/>
            <w:right w:val="none" w:sz="0" w:space="0" w:color="auto"/>
          </w:divBdr>
        </w:div>
        <w:div w:id="805242302">
          <w:marLeft w:val="2520"/>
          <w:marRight w:val="0"/>
          <w:marTop w:val="77"/>
          <w:marBottom w:val="0"/>
          <w:divBdr>
            <w:top w:val="none" w:sz="0" w:space="0" w:color="auto"/>
            <w:left w:val="none" w:sz="0" w:space="0" w:color="auto"/>
            <w:bottom w:val="none" w:sz="0" w:space="0" w:color="auto"/>
            <w:right w:val="none" w:sz="0" w:space="0" w:color="auto"/>
          </w:divBdr>
        </w:div>
        <w:div w:id="211771424">
          <w:marLeft w:val="2520"/>
          <w:marRight w:val="0"/>
          <w:marTop w:val="7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7434839">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87148026">
          <w:marLeft w:val="547"/>
          <w:marRight w:val="0"/>
          <w:marTop w:val="96"/>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133715806">
          <w:marLeft w:val="1800"/>
          <w:marRight w:val="0"/>
          <w:marTop w:val="72"/>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10537963">
      <w:bodyDiv w:val="1"/>
      <w:marLeft w:val="0"/>
      <w:marRight w:val="0"/>
      <w:marTop w:val="0"/>
      <w:marBottom w:val="0"/>
      <w:divBdr>
        <w:top w:val="none" w:sz="0" w:space="0" w:color="auto"/>
        <w:left w:val="none" w:sz="0" w:space="0" w:color="auto"/>
        <w:bottom w:val="none" w:sz="0" w:space="0" w:color="auto"/>
        <w:right w:val="none" w:sz="0" w:space="0" w:color="auto"/>
      </w:divBdr>
      <w:divsChild>
        <w:div w:id="712114648">
          <w:marLeft w:val="1080"/>
          <w:marRight w:val="0"/>
          <w:marTop w:val="100"/>
          <w:marBottom w:val="0"/>
          <w:divBdr>
            <w:top w:val="none" w:sz="0" w:space="0" w:color="auto"/>
            <w:left w:val="none" w:sz="0" w:space="0" w:color="auto"/>
            <w:bottom w:val="none" w:sz="0" w:space="0" w:color="auto"/>
            <w:right w:val="none" w:sz="0" w:space="0" w:color="auto"/>
          </w:divBdr>
        </w:div>
        <w:div w:id="1678578282">
          <w:marLeft w:val="1800"/>
          <w:marRight w:val="0"/>
          <w:marTop w:val="100"/>
          <w:marBottom w:val="0"/>
          <w:divBdr>
            <w:top w:val="none" w:sz="0" w:space="0" w:color="auto"/>
            <w:left w:val="none" w:sz="0" w:space="0" w:color="auto"/>
            <w:bottom w:val="none" w:sz="0" w:space="0" w:color="auto"/>
            <w:right w:val="none" w:sz="0" w:space="0" w:color="auto"/>
          </w:divBdr>
        </w:div>
        <w:div w:id="310981454">
          <w:marLeft w:val="1800"/>
          <w:marRight w:val="0"/>
          <w:marTop w:val="100"/>
          <w:marBottom w:val="0"/>
          <w:divBdr>
            <w:top w:val="none" w:sz="0" w:space="0" w:color="auto"/>
            <w:left w:val="none" w:sz="0" w:space="0" w:color="auto"/>
            <w:bottom w:val="none" w:sz="0" w:space="0" w:color="auto"/>
            <w:right w:val="none" w:sz="0" w:space="0" w:color="auto"/>
          </w:divBdr>
        </w:div>
        <w:div w:id="1248419906">
          <w:marLeft w:val="1800"/>
          <w:marRight w:val="0"/>
          <w:marTop w:val="1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084231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4216882">
      <w:bodyDiv w:val="1"/>
      <w:marLeft w:val="0"/>
      <w:marRight w:val="0"/>
      <w:marTop w:val="0"/>
      <w:marBottom w:val="0"/>
      <w:divBdr>
        <w:top w:val="none" w:sz="0" w:space="0" w:color="auto"/>
        <w:left w:val="none" w:sz="0" w:space="0" w:color="auto"/>
        <w:bottom w:val="none" w:sz="0" w:space="0" w:color="auto"/>
        <w:right w:val="none" w:sz="0" w:space="0" w:color="auto"/>
      </w:divBdr>
      <w:divsChild>
        <w:div w:id="1631088386">
          <w:marLeft w:val="1080"/>
          <w:marRight w:val="0"/>
          <w:marTop w:val="100"/>
          <w:marBottom w:val="0"/>
          <w:divBdr>
            <w:top w:val="none" w:sz="0" w:space="0" w:color="auto"/>
            <w:left w:val="none" w:sz="0" w:space="0" w:color="auto"/>
            <w:bottom w:val="none" w:sz="0" w:space="0" w:color="auto"/>
            <w:right w:val="none" w:sz="0" w:space="0" w:color="auto"/>
          </w:divBdr>
        </w:div>
        <w:div w:id="636452162">
          <w:marLeft w:val="1800"/>
          <w:marRight w:val="0"/>
          <w:marTop w:val="100"/>
          <w:marBottom w:val="0"/>
          <w:divBdr>
            <w:top w:val="none" w:sz="0" w:space="0" w:color="auto"/>
            <w:left w:val="none" w:sz="0" w:space="0" w:color="auto"/>
            <w:bottom w:val="none" w:sz="0" w:space="0" w:color="auto"/>
            <w:right w:val="none" w:sz="0" w:space="0" w:color="auto"/>
          </w:divBdr>
        </w:div>
        <w:div w:id="1797487238">
          <w:marLeft w:val="2520"/>
          <w:marRight w:val="0"/>
          <w:marTop w:val="100"/>
          <w:marBottom w:val="0"/>
          <w:divBdr>
            <w:top w:val="none" w:sz="0" w:space="0" w:color="auto"/>
            <w:left w:val="none" w:sz="0" w:space="0" w:color="auto"/>
            <w:bottom w:val="none" w:sz="0" w:space="0" w:color="auto"/>
            <w:right w:val="none" w:sz="0" w:space="0" w:color="auto"/>
          </w:divBdr>
        </w:div>
        <w:div w:id="652414596">
          <w:marLeft w:val="2520"/>
          <w:marRight w:val="0"/>
          <w:marTop w:val="100"/>
          <w:marBottom w:val="0"/>
          <w:divBdr>
            <w:top w:val="none" w:sz="0" w:space="0" w:color="auto"/>
            <w:left w:val="none" w:sz="0" w:space="0" w:color="auto"/>
            <w:bottom w:val="none" w:sz="0" w:space="0" w:color="auto"/>
            <w:right w:val="none" w:sz="0" w:space="0" w:color="auto"/>
          </w:divBdr>
        </w:div>
      </w:divsChild>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157804D-2606-49DD-89E9-DF9DD57A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22128</TotalTime>
  <Pages>4</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87</cp:revision>
  <cp:lastPrinted>2009-04-22T06:01:00Z</cp:lastPrinted>
  <dcterms:created xsi:type="dcterms:W3CDTF">2020-07-07T06:33:00Z</dcterms:created>
  <dcterms:modified xsi:type="dcterms:W3CDTF">2021-05-11T14:51:00Z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