
<file path=[Content_Types].xml><?xml version="1.0" encoding="utf-8"?>
<Types xmlns="http://schemas.openxmlformats.org/package/2006/content-types">
  <Default Extension="xml" ContentType="application/xml"/>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9-e</w:t>
      </w:r>
      <w:r>
        <w:rPr>
          <w:rFonts w:hint="eastAsia" w:ascii="Arial" w:hAnsi="Arial" w:cs="Arial"/>
          <w:b/>
          <w:sz w:val="24"/>
          <w:szCs w:val="24"/>
        </w:rPr>
        <w:t xml:space="preserve">                               R4-2110601</w:t>
      </w:r>
      <w:bookmarkStart w:id="7" w:name="_GoBack"/>
      <w:bookmarkEnd w:id="7"/>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15</w:t>
      </w:r>
      <w:r>
        <w:rPr>
          <w:rFonts w:hint="eastAsia" w:ascii="Arial" w:hAnsi="Arial" w:cs="Arial"/>
          <w:b/>
          <w:sz w:val="24"/>
          <w:szCs w:val="24"/>
        </w:rPr>
        <w:t>.</w:t>
      </w:r>
      <w:r>
        <w:rPr>
          <w:rFonts w:hint="eastAsia" w:ascii="Arial" w:hAnsi="Arial" w:cs="Arial"/>
          <w:b/>
          <w:sz w:val="24"/>
          <w:szCs w:val="24"/>
          <w:lang w:val="en-US" w:eastAsia="zh-CN"/>
        </w:rPr>
        <w:t>5.1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BS Tx requirements for 60GHz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rPr>
      </w:pPr>
      <w:r>
        <w:rPr>
          <w:rFonts w:hint="eastAsia"/>
          <w:kern w:val="0"/>
          <w:sz w:val="20"/>
          <w:szCs w:val="20"/>
          <w:lang w:val="en-US" w:eastAsia="zh-CN"/>
        </w:rPr>
        <w:t>In the previous RAN4 meetings, there were some initial discussions on BS Tx requirements for 60GHz and some high level agreement has been reached in WF [1]. In this contribution, we want to share some further considerations on each Tx requirements.</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4"/>
      <w:bookmarkStart w:id="2" w:name="OLE_LINK10"/>
      <w:bookmarkStart w:id="3" w:name="OLE_LINK20"/>
      <w:bookmarkStart w:id="4" w:name="OLE_LINK13"/>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default" w:ascii="Arial" w:hAnsi="Arial" w:cs="Arial"/>
          <w:kern w:val="0"/>
          <w:sz w:val="24"/>
          <w:szCs w:val="24"/>
          <w:lang w:val="en-US" w:eastAsia="zh-CN"/>
        </w:rPr>
        <w:t>2.1</w:t>
      </w:r>
      <w:r>
        <w:rPr>
          <w:rFonts w:hint="eastAsia" w:ascii="Arial" w:hAnsi="Arial" w:cs="Arial"/>
          <w:kern w:val="0"/>
          <w:sz w:val="24"/>
          <w:szCs w:val="24"/>
          <w:lang w:val="en-US" w:eastAsia="zh-CN"/>
        </w:rPr>
        <w:t>.</w:t>
      </w:r>
      <w:r>
        <w:rPr>
          <w:rFonts w:hint="default" w:ascii="Arial" w:hAnsi="Arial" w:cs="Arial"/>
          <w:kern w:val="0"/>
          <w:sz w:val="24"/>
          <w:szCs w:val="24"/>
          <w:lang w:val="en-US" w:eastAsia="zh-CN"/>
        </w:rPr>
        <w:t xml:space="preserve"> TRP/EIRP accuracy </w:t>
      </w:r>
    </w:p>
    <w:p>
      <w:pPr>
        <w:rPr>
          <w:rFonts w:hint="default"/>
          <w:kern w:val="0"/>
          <w:sz w:val="20"/>
          <w:szCs w:val="20"/>
          <w:lang w:val="en-US" w:eastAsia="zh-CN"/>
        </w:rPr>
      </w:pPr>
      <w:r>
        <w:rPr>
          <w:rFonts w:hint="eastAsia"/>
          <w:kern w:val="0"/>
          <w:sz w:val="20"/>
          <w:szCs w:val="20"/>
          <w:lang w:val="en-US" w:eastAsia="zh-CN"/>
        </w:rPr>
        <w:t>For TRP/EIRP accuracy requirement defined for mmWave BS in Rel-15, the following factors considered already could also apply for 60GHz BS. In addition, it should be noted that TRP/EIRP accuracy requirement is already relative large compared with declared maximum TRP and EIRP. If to further relax the TRP/EIRP requirements for 60GHz BS, the reliability of declared rated TRP/EIRP might be questionable, therefore we propose to reuse the existing FR2 TRP/EIRP accuracy requirements for 60GHz BS regardless of unlicensed or unlicensed operation.</w:t>
      </w:r>
    </w:p>
    <w:p>
      <w:pPr>
        <w:ind w:leftChars="100"/>
        <w:rPr>
          <w:rFonts w:hint="eastAsia"/>
          <w:kern w:val="0"/>
          <w:sz w:val="20"/>
          <w:szCs w:val="20"/>
          <w:lang w:val="en-US" w:eastAsia="zh-CN"/>
        </w:rPr>
      </w:pPr>
      <w:r>
        <w:rPr>
          <w:rFonts w:hint="eastAsia"/>
          <w:kern w:val="0"/>
          <w:sz w:val="20"/>
          <w:szCs w:val="20"/>
          <w:lang w:val="en-US" w:eastAsia="zh-CN"/>
        </w:rPr>
        <w:t>1) transceiver unit accuracy;</w:t>
      </w:r>
    </w:p>
    <w:p>
      <w:pPr>
        <w:ind w:leftChars="100"/>
        <w:rPr>
          <w:rFonts w:hint="eastAsia"/>
          <w:kern w:val="0"/>
          <w:sz w:val="20"/>
          <w:szCs w:val="20"/>
          <w:lang w:val="en-US" w:eastAsia="zh-CN"/>
        </w:rPr>
      </w:pPr>
      <w:r>
        <w:rPr>
          <w:rFonts w:hint="eastAsia"/>
          <w:kern w:val="0"/>
          <w:sz w:val="20"/>
          <w:szCs w:val="20"/>
          <w:lang w:val="en-US" w:eastAsia="zh-CN"/>
        </w:rPr>
        <w:t xml:space="preserve">2) phase shift accuracy among transceiver units; </w:t>
      </w:r>
    </w:p>
    <w:p>
      <w:pPr>
        <w:ind w:leftChars="100"/>
        <w:rPr>
          <w:rFonts w:hint="eastAsia"/>
          <w:kern w:val="0"/>
          <w:sz w:val="20"/>
          <w:szCs w:val="20"/>
          <w:lang w:val="en-US" w:eastAsia="zh-CN"/>
        </w:rPr>
      </w:pPr>
      <w:r>
        <w:rPr>
          <w:rFonts w:hint="eastAsia"/>
          <w:kern w:val="0"/>
          <w:sz w:val="20"/>
          <w:szCs w:val="20"/>
          <w:lang w:val="en-US" w:eastAsia="zh-CN"/>
        </w:rPr>
        <w:t xml:space="preserve">3) phase shifter accuracy within analog phase shifters; </w:t>
      </w:r>
    </w:p>
    <w:p>
      <w:pPr>
        <w:ind w:leftChars="100"/>
        <w:rPr>
          <w:rFonts w:hint="default"/>
          <w:kern w:val="0"/>
          <w:sz w:val="20"/>
          <w:szCs w:val="20"/>
          <w:lang w:val="en-US" w:eastAsia="zh-CN"/>
        </w:rPr>
      </w:pPr>
      <w:r>
        <w:rPr>
          <w:rFonts w:hint="eastAsia"/>
          <w:kern w:val="0"/>
          <w:sz w:val="20"/>
          <w:szCs w:val="20"/>
          <w:lang w:val="en-US" w:eastAsia="zh-CN"/>
        </w:rPr>
        <w:t>4) sub-array gain accuracy, mismatch errors and insertion loss variations.</w:t>
      </w:r>
    </w:p>
    <w:p>
      <w:pPr>
        <w:rPr>
          <w:rFonts w:hint="default"/>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 xml:space="preserve"> to reuse the existing FR2 TRP/EIRP accuracy requirements for 60GHz BS regardless of unlicensed or unlicensed operation.</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kern w:val="0"/>
          <w:sz w:val="24"/>
          <w:szCs w:val="24"/>
          <w:lang w:val="en-US" w:eastAsia="zh-CN"/>
        </w:rPr>
      </w:pPr>
      <w:r>
        <w:rPr>
          <w:rFonts w:hint="eastAsia" w:ascii="Arial" w:hAnsi="Arial" w:cs="Arial"/>
          <w:kern w:val="0"/>
          <w:sz w:val="24"/>
          <w:szCs w:val="24"/>
          <w:lang w:val="en-US" w:eastAsia="zh-CN"/>
        </w:rPr>
        <w:t>2.2. ON-OFF mask</w:t>
      </w:r>
    </w:p>
    <w:p>
      <w:pPr>
        <w:rPr>
          <w:rFonts w:hint="eastAsia" w:eastAsia="宋体"/>
          <w:kern w:val="0"/>
          <w:sz w:val="20"/>
          <w:szCs w:val="20"/>
          <w:lang w:val="en-US" w:eastAsia="zh-CN"/>
        </w:rPr>
      </w:pPr>
      <w:r>
        <w:rPr>
          <w:rFonts w:hint="eastAsia" w:eastAsia="宋体"/>
          <w:kern w:val="0"/>
          <w:sz w:val="20"/>
          <w:szCs w:val="20"/>
          <w:lang w:val="en-US" w:eastAsia="zh-CN"/>
        </w:rPr>
        <w:t>For ON-OFF/OFF-ON transition period, there were some concerns during 60GHz SI phase on its high overhead especially for 480kHz and 960kHz and some further improvement are encouraged to be investigated.</w:t>
      </w:r>
    </w:p>
    <w:p>
      <w:pPr>
        <w:pBdr>
          <w:top w:val="none" w:color="auto" w:sz="0" w:space="0"/>
          <w:left w:val="none" w:color="auto" w:sz="0" w:space="0"/>
          <w:bottom w:val="none" w:color="auto" w:sz="0" w:space="0"/>
          <w:right w:val="none" w:color="auto" w:sz="0" w:space="0"/>
          <w:between w:val="none" w:color="auto" w:sz="0" w:space="0"/>
        </w:pBdr>
        <w:rPr>
          <w:rFonts w:hint="eastAsia" w:eastAsia="宋体"/>
          <w:kern w:val="0"/>
          <w:sz w:val="20"/>
          <w:szCs w:val="20"/>
          <w:lang w:val="en-US" w:eastAsia="zh-CN"/>
        </w:rPr>
      </w:pPr>
      <w:r>
        <w:rPr>
          <w:rFonts w:hint="eastAsia" w:eastAsia="宋体"/>
          <w:kern w:val="0"/>
          <w:sz w:val="20"/>
          <w:szCs w:val="20"/>
          <w:lang w:val="en-US" w:eastAsia="zh-CN"/>
        </w:rPr>
        <w:t xml:space="preserve">From the hardware feasibility perspective, with the increasing operation frequency for 60GHz, then settling time for PLL might be shorter compared with that of existing FR2. In addition, ramping up time and ramping down time of PA is highly related with the supported output power or electric current within the PA, if the output power for 60GHz is on the same level of  that for 45GHz and 28GHz and same PA </w:t>
      </w:r>
      <w:r>
        <w:rPr>
          <w:rFonts w:hint="default" w:eastAsia="宋体"/>
          <w:kern w:val="0"/>
          <w:sz w:val="20"/>
          <w:szCs w:val="20"/>
          <w:lang w:val="en-US" w:eastAsia="zh-CN"/>
        </w:rPr>
        <w:t>manufacturin</w:t>
      </w:r>
      <w:r>
        <w:rPr>
          <w:rFonts w:hint="eastAsia" w:eastAsia="宋体"/>
          <w:kern w:val="0"/>
          <w:sz w:val="20"/>
          <w:szCs w:val="20"/>
          <w:lang w:val="en-US" w:eastAsia="zh-CN"/>
        </w:rPr>
        <w:t xml:space="preserve">g material (e.g. GaAs, Si), then similar ramping up time and ramping down time could be expected for 60GHz as the existing FR2. </w:t>
      </w:r>
    </w:p>
    <w:p>
      <w:pPr>
        <w:pStyle w:val="17"/>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b w:val="0"/>
          <w:sz w:val="20"/>
          <w:szCs w:val="20"/>
          <w:highlight w:val="none"/>
          <w:lang w:val="en-US" w:eastAsia="zh-CN" w:bidi="ar-SA"/>
        </w:rPr>
      </w:pPr>
    </w:p>
    <w:p>
      <w:pPr>
        <w:pStyle w:val="17"/>
        <w:pBdr>
          <w:top w:val="none" w:color="auto" w:sz="0" w:space="0"/>
          <w:left w:val="none" w:color="auto" w:sz="0" w:space="0"/>
          <w:bottom w:val="none" w:color="auto" w:sz="0" w:space="0"/>
          <w:right w:val="none" w:color="auto" w:sz="0" w:space="0"/>
          <w:between w:val="none" w:color="auto" w:sz="0" w:space="0"/>
        </w:pBdr>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Observation </w:t>
      </w:r>
      <w:r>
        <w:rPr>
          <w:rFonts w:hint="eastAsia" w:eastAsia="宋体" w:cs="Times New Roman"/>
          <w:b/>
          <w:bCs/>
          <w:kern w:val="0"/>
          <w:sz w:val="20"/>
          <w:szCs w:val="20"/>
          <w:lang w:val="en-US" w:eastAsia="zh-CN" w:bidi="ar-SA"/>
        </w:rPr>
        <w:t>1</w:t>
      </w:r>
      <w:r>
        <w:rPr>
          <w:rFonts w:hint="eastAsia" w:ascii="Times New Roman" w:hAnsi="Times New Roman" w:eastAsia="宋体" w:cs="Times New Roman"/>
          <w:b/>
          <w:bCs/>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if the output power for 60GHz is on the same level of that for the existing FR2 and same PA </w:t>
      </w:r>
      <w:r>
        <w:rPr>
          <w:rFonts w:hint="default" w:ascii="Times New Roman" w:hAnsi="Times New Roman" w:eastAsia="宋体" w:cs="Times New Roman"/>
          <w:kern w:val="0"/>
          <w:sz w:val="20"/>
          <w:szCs w:val="20"/>
          <w:lang w:val="en-US" w:eastAsia="zh-CN" w:bidi="ar-SA"/>
        </w:rPr>
        <w:t>manufacturin</w:t>
      </w:r>
      <w:r>
        <w:rPr>
          <w:rFonts w:hint="eastAsia" w:ascii="Times New Roman" w:hAnsi="Times New Roman" w:eastAsia="宋体" w:cs="Times New Roman"/>
          <w:kern w:val="0"/>
          <w:sz w:val="20"/>
          <w:szCs w:val="20"/>
          <w:lang w:val="en-US" w:eastAsia="zh-CN" w:bidi="ar-SA"/>
        </w:rPr>
        <w:t xml:space="preserve">g material (e.g. GaAs, Si), then similar ramping up time and ramping down time could be expected for 60GHz. </w:t>
      </w:r>
    </w:p>
    <w:p>
      <w:pPr>
        <w:pStyle w:val="17"/>
        <w:pBdr>
          <w:top w:val="none" w:color="auto" w:sz="0" w:space="0"/>
          <w:left w:val="none" w:color="auto" w:sz="0" w:space="0"/>
          <w:bottom w:val="none" w:color="auto" w:sz="0" w:space="0"/>
          <w:right w:val="none" w:color="auto" w:sz="0" w:space="0"/>
          <w:between w:val="none" w:color="auto" w:sz="0" w:space="0"/>
        </w:pBdr>
        <w:jc w:val="left"/>
        <w:rPr>
          <w:rFonts w:hint="eastAsia" w:ascii="Times New Roman" w:hAnsi="Times New Roman" w:eastAsia="宋体" w:cs="Times New Roman"/>
          <w:kern w:val="0"/>
          <w:sz w:val="20"/>
          <w:szCs w:val="20"/>
          <w:lang w:val="en-US" w:eastAsia="zh-CN" w:bidi="ar-SA"/>
        </w:rPr>
      </w:pPr>
    </w:p>
    <w:p>
      <w:pPr>
        <w:rPr>
          <w:rFonts w:hint="default" w:eastAsia="宋体"/>
          <w:kern w:val="0"/>
          <w:sz w:val="20"/>
          <w:szCs w:val="20"/>
          <w:lang w:val="en-US" w:eastAsia="zh-CN"/>
        </w:rPr>
      </w:pPr>
      <w:r>
        <w:rPr>
          <w:rFonts w:hint="eastAsia" w:eastAsia="宋体"/>
          <w:kern w:val="0"/>
          <w:sz w:val="20"/>
          <w:szCs w:val="20"/>
          <w:lang w:val="en-US" w:eastAsia="zh-CN"/>
        </w:rPr>
        <w:t>In addition, the analysis on the GP overhead with the following TDD periodicity assumption is shown in Table 1 and Table 2. It could be found that GP overhead might be too high if the same ON-OFF transition time for the existing FR2 with the proposed TDD periodicity was reused for 60GHz. Alternatives to reduce the GP overhead could be either extend the TDD periodicity for 480kHz and 960kHz if to reduce ON-OFF transition time from BS and UE side to shorten the GP time is not feasible considering the hardware limitation.</w:t>
      </w:r>
    </w:p>
    <w:p>
      <w:pPr>
        <w:rPr>
          <w:rFonts w:hint="default" w:eastAsia="宋体"/>
          <w:kern w:val="0"/>
          <w:sz w:val="20"/>
          <w:szCs w:val="20"/>
          <w:lang w:val="en-US" w:eastAsia="zh-CN"/>
        </w:rPr>
      </w:pPr>
      <w:r>
        <w:rPr>
          <w:rFonts w:hint="eastAsia" w:eastAsia="宋体"/>
          <w:b/>
          <w:bCs/>
          <w:kern w:val="0"/>
          <w:sz w:val="20"/>
          <w:szCs w:val="20"/>
          <w:lang w:val="en-US" w:eastAsia="zh-CN"/>
        </w:rPr>
        <w:t>Observation 2</w:t>
      </w:r>
      <w:r>
        <w:rPr>
          <w:rFonts w:hint="eastAsia" w:eastAsia="宋体"/>
          <w:kern w:val="0"/>
          <w:sz w:val="20"/>
          <w:szCs w:val="20"/>
          <w:lang w:val="en-US" w:eastAsia="zh-CN"/>
        </w:rPr>
        <w:t xml:space="preserve">: to reduce the GP overhead for 480kHz and 960kHz of 60GHz, alternatives could be extend the TDD periodicity. </w:t>
      </w:r>
    </w:p>
    <w:p>
      <w:pPr>
        <w:pStyle w:val="11"/>
        <w:jc w:val="center"/>
        <w:rPr>
          <w:rFonts w:hint="eastAsia" w:eastAsia="宋体"/>
          <w:b/>
          <w:bCs/>
          <w:lang w:eastAsia="zh-CN"/>
        </w:rPr>
      </w:pPr>
      <w:bookmarkStart w:id="5" w:name="_Ref485032108"/>
      <w:r>
        <w:rPr>
          <w:rFonts w:hint="default" w:ascii="Times New Roman" w:hAnsi="Times New Roman" w:cs="Times New Roman"/>
          <w:b/>
          <w:bCs/>
        </w:rPr>
        <w:t xml:space="preserve">Table </w:t>
      </w:r>
      <w:r>
        <w:rPr>
          <w:rFonts w:hint="default" w:ascii="Times New Roman" w:hAnsi="Times New Roman" w:cs="Times New Roman"/>
          <w:b/>
          <w:bCs/>
        </w:rPr>
        <w:fldChar w:fldCharType="begin"/>
      </w:r>
      <w:r>
        <w:rPr>
          <w:rFonts w:hint="default" w:ascii="Times New Roman" w:hAnsi="Times New Roman" w:cs="Times New Roman"/>
          <w:b/>
          <w:bCs/>
        </w:rPr>
        <w:instrText xml:space="preserve"> SEQ Table \* ARABIC </w:instrText>
      </w:r>
      <w:r>
        <w:rPr>
          <w:rFonts w:hint="default" w:ascii="Times New Roman" w:hAnsi="Times New Roman" w:cs="Times New Roman"/>
          <w:b/>
          <w:bCs/>
        </w:rPr>
        <w:fldChar w:fldCharType="separate"/>
      </w:r>
      <w:r>
        <w:rPr>
          <w:rFonts w:hint="default" w:ascii="Times New Roman" w:hAnsi="Times New Roman" w:cs="Times New Roman"/>
          <w:b/>
          <w:bCs/>
        </w:rPr>
        <w:t>1</w:t>
      </w:r>
      <w:r>
        <w:rPr>
          <w:rFonts w:hint="default" w:ascii="Times New Roman" w:hAnsi="Times New Roman" w:cs="Times New Roman"/>
          <w:b/>
          <w:bCs/>
        </w:rPr>
        <w:fldChar w:fldCharType="end"/>
      </w:r>
      <w:bookmarkEnd w:id="5"/>
      <w:r>
        <w:rPr>
          <w:rFonts w:hint="eastAsia" w:ascii="Times New Roman" w:hAnsi="Times New Roman" w:cs="Times New Roman"/>
          <w:b/>
          <w:bCs/>
          <w:lang w:val="en-US" w:eastAsia="zh-CN"/>
        </w:rPr>
        <w:t>.</w:t>
      </w:r>
      <w:r>
        <w:rPr>
          <w:rFonts w:hint="default" w:ascii="Times New Roman" w:hAnsi="Times New Roman" w:eastAsia="宋体" w:cs="Times New Roman"/>
          <w:b/>
          <w:bCs/>
          <w:lang w:eastAsia="zh-CN"/>
        </w:rPr>
        <w:t xml:space="preserve"> </w:t>
      </w:r>
      <w:r>
        <w:rPr>
          <w:rFonts w:hint="default" w:ascii="Times New Roman" w:hAnsi="Times New Roman" w:eastAsia="宋体" w:cs="Times New Roman"/>
          <w:b/>
          <w:bCs/>
          <w:lang w:val="en-US" w:eastAsia="zh-CN"/>
        </w:rPr>
        <w:t>cell coverage analysis</w:t>
      </w:r>
      <w:r>
        <w:rPr>
          <w:rFonts w:hint="eastAsia" w:eastAsia="宋体"/>
          <w:b/>
          <w:bCs/>
          <w:lang w:val="en-US" w:eastAsia="zh-CN"/>
        </w:rPr>
        <w:t xml:space="preserve"> </w:t>
      </w:r>
    </w:p>
    <w:tbl>
      <w:tblPr>
        <w:tblStyle w:val="21"/>
        <w:tblW w:w="72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565"/>
        <w:gridCol w:w="1080"/>
        <w:gridCol w:w="1080"/>
        <w:gridCol w:w="1245"/>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256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Frequency range</w:t>
            </w:r>
          </w:p>
        </w:tc>
        <w:tc>
          <w:tcPr>
            <w:tcW w:w="216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Existing FR2</w:t>
            </w:r>
          </w:p>
        </w:tc>
        <w:tc>
          <w:tcPr>
            <w:tcW w:w="249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Numerology (kHz)</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120</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480</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(symbol)</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8</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Sync error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OFF-ON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UE OFF-ON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Tcell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Cell coverage (m)</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399.99</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399.99</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399.96</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Periodicity of TDD (ms)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0.25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0.0625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0.03125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GP overhead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3.58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7.12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 xml:space="preserve">26.67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 xml:space="preserve">53.33 </w:t>
            </w:r>
          </w:p>
        </w:tc>
      </w:tr>
    </w:tbl>
    <w:p>
      <w:pPr>
        <w:rPr>
          <w:rFonts w:hint="eastAsia" w:eastAsia="宋体"/>
          <w:lang w:eastAsia="zh-CN"/>
        </w:rPr>
      </w:pPr>
    </w:p>
    <w:p>
      <w:pPr>
        <w:pStyle w:val="11"/>
        <w:jc w:val="center"/>
        <w:rPr>
          <w:rFonts w:hint="default" w:ascii="Times New Roman" w:hAnsi="Times New Roman" w:eastAsia="宋体" w:cs="Times New Roman"/>
          <w:b/>
          <w:bCs/>
          <w:lang w:val="en-US" w:eastAsia="zh-CN"/>
        </w:rPr>
      </w:pPr>
      <w:bookmarkStart w:id="6" w:name="_Ref485032115"/>
      <w:r>
        <w:rPr>
          <w:rFonts w:hint="default" w:ascii="Times New Roman" w:hAnsi="Times New Roman" w:cs="Times New Roman"/>
          <w:b/>
          <w:bCs/>
        </w:rPr>
        <w:t xml:space="preserve">Table </w:t>
      </w:r>
      <w:r>
        <w:rPr>
          <w:rFonts w:hint="default" w:ascii="Times New Roman" w:hAnsi="Times New Roman" w:cs="Times New Roman"/>
          <w:b/>
          <w:bCs/>
        </w:rPr>
        <w:fldChar w:fldCharType="begin"/>
      </w:r>
      <w:r>
        <w:rPr>
          <w:rFonts w:hint="default" w:ascii="Times New Roman" w:hAnsi="Times New Roman" w:cs="Times New Roman"/>
          <w:b/>
          <w:bCs/>
        </w:rPr>
        <w:instrText xml:space="preserve"> SEQ Table \* ARABIC </w:instrText>
      </w:r>
      <w:r>
        <w:rPr>
          <w:rFonts w:hint="default" w:ascii="Times New Roman" w:hAnsi="Times New Roman" w:cs="Times New Roman"/>
          <w:b/>
          <w:bCs/>
        </w:rPr>
        <w:fldChar w:fldCharType="separate"/>
      </w:r>
      <w:r>
        <w:rPr>
          <w:rFonts w:hint="default" w:ascii="Times New Roman" w:hAnsi="Times New Roman" w:cs="Times New Roman"/>
          <w:b/>
          <w:bCs/>
        </w:rPr>
        <w:t>2</w:t>
      </w:r>
      <w:r>
        <w:rPr>
          <w:rFonts w:hint="default" w:ascii="Times New Roman" w:hAnsi="Times New Roman" w:cs="Times New Roman"/>
          <w:b/>
          <w:bCs/>
        </w:rPr>
        <w:fldChar w:fldCharType="end"/>
      </w:r>
      <w:bookmarkEnd w:id="6"/>
      <w:r>
        <w:rPr>
          <w:rFonts w:hint="eastAsia" w:ascii="Times New Roman" w:hAnsi="Times New Roman" w:cs="Times New Roman"/>
          <w:b/>
          <w:bCs/>
          <w:lang w:val="en-US" w:eastAsia="zh-CN"/>
        </w:rPr>
        <w:t>.</w:t>
      </w:r>
      <w:r>
        <w:rPr>
          <w:rFonts w:hint="default" w:ascii="Times New Roman" w:hAnsi="Times New Roman" w:eastAsia="宋体" w:cs="Times New Roman"/>
          <w:b/>
          <w:bCs/>
          <w:lang w:eastAsia="zh-CN"/>
        </w:rPr>
        <w:t xml:space="preserve"> </w:t>
      </w:r>
      <w:r>
        <w:rPr>
          <w:rFonts w:hint="default" w:ascii="Times New Roman" w:hAnsi="Times New Roman" w:eastAsia="宋体" w:cs="Times New Roman"/>
          <w:b/>
          <w:bCs/>
          <w:lang w:val="en-US" w:eastAsia="zh-CN"/>
        </w:rPr>
        <w:t xml:space="preserve">BS to BS distance without interference </w:t>
      </w:r>
    </w:p>
    <w:tbl>
      <w:tblPr>
        <w:tblStyle w:val="21"/>
        <w:tblW w:w="67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431"/>
        <w:gridCol w:w="1079"/>
        <w:gridCol w:w="1079"/>
        <w:gridCol w:w="1079"/>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jc w:val="center"/>
        </w:trPr>
        <w:tc>
          <w:tcPr>
            <w:tcW w:w="243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Frequency range</w:t>
            </w:r>
          </w:p>
        </w:tc>
        <w:tc>
          <w:tcPr>
            <w:tcW w:w="2158"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Existing FR2</w:t>
            </w:r>
          </w:p>
        </w:tc>
        <w:tc>
          <w:tcPr>
            <w:tcW w:w="2159"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Numerology (kHz)</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480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(symbol)</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Sync error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ON-OFF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OFF-ON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Tbs-bs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4.67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4.67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Two BSs distance (m)</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1401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1401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1399.92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1399.68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Periodicity of TDD (ms)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0.5</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0.25</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0.0625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0.03125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GP overhead (%)</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3.334</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6.668</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 xml:space="preserve">26.67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 xml:space="preserve">53.33 </w:t>
            </w:r>
          </w:p>
        </w:tc>
      </w:tr>
    </w:tbl>
    <w:p>
      <w:pPr>
        <w:pStyle w:val="17"/>
        <w:pBdr>
          <w:top w:val="none" w:color="auto" w:sz="0" w:space="0"/>
          <w:left w:val="none" w:color="auto" w:sz="0" w:space="0"/>
          <w:bottom w:val="none" w:color="auto" w:sz="0" w:space="0"/>
          <w:right w:val="none" w:color="auto" w:sz="0" w:space="0"/>
          <w:between w:val="none" w:color="auto" w:sz="0" w:space="0"/>
        </w:pBdr>
        <w:jc w:val="left"/>
        <w:rPr>
          <w:rFonts w:hint="default" w:ascii="Times New Roman" w:hAnsi="Times New Roman" w:eastAsia="宋体" w:cs="Times New Roman"/>
          <w:kern w:val="0"/>
          <w:sz w:val="20"/>
          <w:szCs w:val="20"/>
          <w:lang w:val="en-US" w:eastAsia="zh-CN" w:bidi="ar-SA"/>
        </w:rPr>
      </w:pPr>
    </w:p>
    <w:p>
      <w:pPr>
        <w:rPr>
          <w:rFonts w:hint="eastAsia"/>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kern w:val="0"/>
          <w:sz w:val="24"/>
          <w:szCs w:val="24"/>
          <w:lang w:val="en-US" w:eastAsia="zh-CN"/>
        </w:rPr>
      </w:pPr>
      <w:r>
        <w:rPr>
          <w:rFonts w:hint="eastAsia" w:ascii="Arial" w:hAnsi="Arial" w:cs="Arial"/>
          <w:kern w:val="0"/>
          <w:sz w:val="24"/>
          <w:szCs w:val="24"/>
          <w:lang w:val="en-US" w:eastAsia="zh-CN"/>
        </w:rPr>
        <w:t>2.3. Tx OFF power</w:t>
      </w:r>
    </w:p>
    <w:p>
      <w:pPr>
        <w:rPr>
          <w:rFonts w:hint="eastAsia"/>
          <w:kern w:val="0"/>
          <w:sz w:val="20"/>
          <w:szCs w:val="20"/>
          <w:lang w:val="en-US" w:eastAsia="zh-CN"/>
        </w:rPr>
      </w:pPr>
    </w:p>
    <w:p>
      <w:pPr>
        <w:rPr>
          <w:rFonts w:hint="default" w:eastAsia="宋体"/>
          <w:kern w:val="0"/>
          <w:sz w:val="20"/>
          <w:szCs w:val="20"/>
          <w:lang w:val="en-US" w:eastAsia="zh-CN"/>
        </w:rPr>
      </w:pPr>
      <w:r>
        <w:rPr>
          <w:rFonts w:hint="eastAsia" w:eastAsia="宋体"/>
          <w:kern w:val="0"/>
          <w:sz w:val="20"/>
          <w:szCs w:val="20"/>
          <w:lang w:val="en-US" w:eastAsia="zh-CN"/>
        </w:rPr>
        <w:t xml:space="preserve">For Tx OFF power of 60GHz, if to follow the legacy approach as following adopted to derive FR2 BS TX OFF power, then -36dBm/MHz defined in Rel-15 could be reused since assumed typical deployment with ISD 100m between adjacent sites should be enough for 60GHz BS deployment and relative larger pathloss expected for 60GHz could also alleviate the performance impacts on victim BS. </w:t>
      </w:r>
    </w:p>
    <w:p>
      <w:pPr>
        <w:jc w:val="center"/>
        <w:rPr>
          <w:rFonts w:hint="default" w:eastAsia="宋体"/>
          <w:kern w:val="0"/>
          <w:sz w:val="20"/>
          <w:szCs w:val="20"/>
          <w:lang w:val="en-US" w:eastAsia="zh-CN"/>
        </w:rPr>
      </w:pPr>
      <w:r>
        <w:rPr>
          <w:rFonts w:hint="eastAsia" w:eastAsia="宋体"/>
          <w:kern w:val="0"/>
          <w:sz w:val="20"/>
          <w:szCs w:val="20"/>
          <w:lang w:val="en-US" w:eastAsia="zh-CN"/>
        </w:rPr>
        <w:t>TRP</w:t>
      </w:r>
      <w:r>
        <w:rPr>
          <w:rFonts w:hint="eastAsia" w:eastAsia="宋体"/>
          <w:kern w:val="0"/>
          <w:sz w:val="20"/>
          <w:szCs w:val="20"/>
          <w:vertAlign w:val="subscript"/>
          <w:lang w:val="en-US" w:eastAsia="zh-CN"/>
        </w:rPr>
        <w:t>off</w:t>
      </w:r>
      <w:r>
        <w:rPr>
          <w:rFonts w:hint="eastAsia" w:eastAsia="宋体"/>
          <w:kern w:val="0"/>
          <w:sz w:val="20"/>
          <w:szCs w:val="20"/>
          <w:lang w:val="en-US" w:eastAsia="zh-CN"/>
        </w:rPr>
        <w:t>=-174+10*log10(B)+NF-M-10*log10(N)+Lp-G</w:t>
      </w:r>
      <w:r>
        <w:rPr>
          <w:rFonts w:hint="eastAsia" w:eastAsia="宋体"/>
          <w:kern w:val="0"/>
          <w:sz w:val="20"/>
          <w:szCs w:val="20"/>
          <w:vertAlign w:val="subscript"/>
          <w:lang w:val="en-US" w:eastAsia="zh-CN"/>
        </w:rPr>
        <w:t>ERX</w:t>
      </w:r>
    </w:p>
    <w:p>
      <w:pPr>
        <w:rPr>
          <w:rFonts w:hint="default" w:eastAsia="宋体"/>
          <w:kern w:val="0"/>
          <w:sz w:val="20"/>
          <w:szCs w:val="20"/>
          <w:lang w:val="en-US" w:eastAsia="zh-CN"/>
        </w:rPr>
      </w:pPr>
      <w:r>
        <w:rPr>
          <w:rFonts w:hint="eastAsia"/>
          <w:b/>
          <w:bCs/>
          <w:kern w:val="0"/>
          <w:sz w:val="20"/>
          <w:szCs w:val="20"/>
          <w:lang w:val="en-US" w:eastAsia="zh-CN"/>
        </w:rPr>
        <w:t>Proposal 2:</w:t>
      </w:r>
      <w:r>
        <w:rPr>
          <w:rFonts w:hint="eastAsia"/>
          <w:kern w:val="0"/>
          <w:sz w:val="20"/>
          <w:szCs w:val="20"/>
          <w:lang w:val="en-US" w:eastAsia="zh-CN"/>
        </w:rPr>
        <w:t xml:space="preserve"> to reuse -36dBm/MHz for 60GHz BS regardless of licensed operation or unlicensed operation.</w:t>
      </w:r>
    </w:p>
    <w:p>
      <w:pPr>
        <w:rPr>
          <w:rFonts w:hint="eastAsia" w:eastAsia="宋体"/>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kern w:val="0"/>
          <w:sz w:val="24"/>
          <w:szCs w:val="24"/>
          <w:lang w:val="en-US" w:eastAsia="zh-CN"/>
        </w:rPr>
      </w:pPr>
      <w:r>
        <w:rPr>
          <w:rFonts w:hint="eastAsia" w:ascii="Arial" w:hAnsi="Arial" w:cs="Arial"/>
          <w:kern w:val="0"/>
          <w:sz w:val="24"/>
          <w:szCs w:val="24"/>
          <w:lang w:val="en-US" w:eastAsia="zh-CN"/>
        </w:rPr>
        <w:t>2.4.TAE requirements for MIMO, CA case</w:t>
      </w:r>
    </w:p>
    <w:p>
      <w:pPr>
        <w:rPr>
          <w:rFonts w:hint="default"/>
          <w:kern w:val="0"/>
          <w:sz w:val="20"/>
          <w:szCs w:val="20"/>
          <w:lang w:val="en-US" w:eastAsia="zh-CN"/>
        </w:rPr>
      </w:pPr>
      <w:r>
        <w:rPr>
          <w:rFonts w:hint="eastAsia"/>
          <w:kern w:val="0"/>
          <w:sz w:val="20"/>
          <w:szCs w:val="20"/>
          <w:lang w:val="en-US" w:eastAsia="zh-CN"/>
        </w:rPr>
        <w:t>As discussed in 60GHz SI phase, it was recognized that TAE 65ns for MIMO transmission might be not valid anymore especially considering the CP length for 960kHz SCS as shown in Table 1. TAE 65ns is almost close to CP length which would result in serious performance degradation at receiver side, therefore some initial simulation results are provided in Figure 1 and Figure 2 to show the impacts of different TAE values on downlink performance. Detailed simulation assumptions are listed in Annex 5.</w:t>
      </w:r>
    </w:p>
    <w:p>
      <w:pPr>
        <w:jc w:val="center"/>
        <w:rPr>
          <w:rFonts w:hint="default"/>
          <w:kern w:val="0"/>
          <w:sz w:val="20"/>
          <w:szCs w:val="20"/>
          <w:lang w:val="en-US" w:eastAsia="zh-CN"/>
        </w:rPr>
      </w:pPr>
      <w:r>
        <w:rPr>
          <w:rFonts w:hint="eastAsia" w:ascii="Times New Roman" w:hAnsi="Times New Roman" w:cs="Times New Roman"/>
          <w:b/>
          <w:bCs/>
          <w:sz w:val="20"/>
          <w:szCs w:val="20"/>
          <w:lang w:val="en-US" w:eastAsia="zh-CN"/>
        </w:rPr>
        <w:t>Table 1. Summary for CP and data length for different SCS</w:t>
      </w:r>
    </w:p>
    <w:tbl>
      <w:tblPr>
        <w:tblStyle w:val="21"/>
        <w:tblW w:w="74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8"/>
        <w:gridCol w:w="1652"/>
        <w:gridCol w:w="1515"/>
        <w:gridCol w:w="1738"/>
        <w:gridCol w:w="2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u</w:t>
            </w:r>
          </w:p>
        </w:tc>
        <w:tc>
          <w:tcPr>
            <w:tcW w:w="165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SCS</w:t>
            </w:r>
          </w:p>
        </w:tc>
        <w:tc>
          <w:tcPr>
            <w:tcW w:w="151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CP[ns]</w:t>
            </w:r>
          </w:p>
        </w:tc>
        <w:tc>
          <w:tcPr>
            <w:tcW w:w="173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data[ns]</w:t>
            </w:r>
          </w:p>
        </w:tc>
        <w:tc>
          <w:tcPr>
            <w:tcW w:w="207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Sampling Rate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1171.875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16666.6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1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120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585.9375</w:t>
            </w:r>
          </w:p>
        </w:tc>
        <w:tc>
          <w:tcPr>
            <w:tcW w:w="173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8333.3</w:t>
            </w:r>
          </w:p>
        </w:tc>
        <w:tc>
          <w:tcPr>
            <w:tcW w:w="207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491.52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292.96875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4166.6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983.04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480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146.484375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2083.3</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1966.08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yellow"/>
                <w:lang w:val="en-US" w:eastAsia="zh-CN"/>
              </w:rPr>
            </w:pPr>
            <w:r>
              <w:rPr>
                <w:rFonts w:hint="default" w:ascii="Times New Roman" w:hAnsi="Times New Roman" w:eastAsia="宋体" w:cs="Times New Roman"/>
                <w:i w:val="0"/>
                <w:color w:val="000000"/>
                <w:kern w:val="0"/>
                <w:sz w:val="20"/>
                <w:szCs w:val="20"/>
                <w:highlight w:val="yellow"/>
                <w:u w:val="none"/>
                <w:lang w:val="en-US" w:eastAsia="zh-CN" w:bidi="ar"/>
              </w:rPr>
              <w:t>73.2421875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yellow"/>
                <w:lang w:val="en-US" w:eastAsia="zh-CN"/>
              </w:rPr>
            </w:pPr>
            <w:r>
              <w:rPr>
                <w:rFonts w:hint="default" w:ascii="Times New Roman" w:hAnsi="Times New Roman" w:eastAsia="宋体" w:cs="Times New Roman"/>
                <w:i w:val="0"/>
                <w:color w:val="000000"/>
                <w:kern w:val="0"/>
                <w:sz w:val="20"/>
                <w:szCs w:val="20"/>
                <w:highlight w:val="yellow"/>
                <w:u w:val="none"/>
                <w:lang w:val="en-US" w:eastAsia="zh-CN" w:bidi="ar"/>
              </w:rPr>
              <w:t>1041.6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3932.16</w:t>
            </w:r>
          </w:p>
        </w:tc>
      </w:tr>
    </w:tbl>
    <w:p>
      <w:pPr>
        <w:rPr>
          <w:rFonts w:hint="eastAsia"/>
          <w:kern w:val="0"/>
          <w:sz w:val="20"/>
          <w:szCs w:val="20"/>
          <w:lang w:val="en-US" w:eastAsia="zh-CN"/>
        </w:rPr>
      </w:pPr>
    </w:p>
    <w:p>
      <w:pPr>
        <w:jc w:val="center"/>
      </w:pPr>
      <w:r>
        <w:drawing>
          <wp:inline distT="0" distB="0" distL="114300" distR="114300">
            <wp:extent cx="5343525" cy="39433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343525" cy="39433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1. the impacts of TAE on downlink link performance [960kHz]</w:t>
      </w:r>
    </w:p>
    <w:p>
      <w:pPr>
        <w:jc w:val="center"/>
        <w:rPr>
          <w:rFonts w:hint="eastAsia"/>
          <w:lang w:val="en-US" w:eastAsia="zh-CN"/>
        </w:rPr>
      </w:pPr>
      <w:r>
        <w:drawing>
          <wp:inline distT="0" distB="0" distL="114300" distR="114300">
            <wp:extent cx="5343525" cy="39433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5343525" cy="394335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2. the impacts of TAE on downlink link performance [480kHz]</w:t>
      </w:r>
    </w:p>
    <w:p>
      <w:pPr>
        <w:rPr>
          <w:rFonts w:hint="eastAsia"/>
          <w:kern w:val="0"/>
          <w:sz w:val="20"/>
          <w:szCs w:val="20"/>
          <w:lang w:val="en-US" w:eastAsia="zh-CN"/>
        </w:rPr>
      </w:pPr>
      <w:r>
        <w:rPr>
          <w:rFonts w:hint="eastAsia"/>
          <w:kern w:val="0"/>
          <w:sz w:val="20"/>
          <w:szCs w:val="20"/>
          <w:lang w:val="en-US" w:eastAsia="zh-CN"/>
        </w:rPr>
        <w:t xml:space="preserve">Based on the simulation results in Figure 1 and Figure 2, it could be easily found that 65ns TAE would cause severe performance degradation especially for 960kHz. </w:t>
      </w:r>
    </w:p>
    <w:p>
      <w:pPr>
        <w:rPr>
          <w:rFonts w:hint="default"/>
          <w:kern w:val="0"/>
          <w:sz w:val="20"/>
          <w:szCs w:val="20"/>
          <w:lang w:val="en-US" w:eastAsia="zh-CN"/>
        </w:rPr>
      </w:pPr>
      <w:r>
        <w:rPr>
          <w:rFonts w:hint="eastAsia"/>
          <w:kern w:val="0"/>
          <w:sz w:val="20"/>
          <w:szCs w:val="20"/>
          <w:lang w:val="en-US" w:eastAsia="zh-CN"/>
        </w:rPr>
        <w:t>For 960kHz SCS, the acceptable TAE requirement should be around 10-20ns for 960kHz and 10-40ns for 480kHz.</w:t>
      </w:r>
    </w:p>
    <w:p>
      <w:pPr>
        <w:rPr>
          <w:rFonts w:hint="default"/>
          <w:kern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to discuss the simulation assumptions to further evaluate acceptable TAE requirements for 60GHz 480kHz and 960kHz SCS.</w:t>
      </w:r>
    </w:p>
    <w:p>
      <w:pPr>
        <w:rPr>
          <w:rFonts w:hint="default"/>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eastAsia="宋体" w:cs="Arial"/>
          <w:kern w:val="0"/>
          <w:sz w:val="24"/>
          <w:szCs w:val="24"/>
          <w:lang w:val="en-US" w:eastAsia="zh-CN"/>
        </w:rPr>
      </w:pPr>
      <w:r>
        <w:rPr>
          <w:rFonts w:hint="eastAsia" w:ascii="Arial" w:hAnsi="Arial" w:eastAsia="宋体" w:cs="Arial"/>
          <w:kern w:val="0"/>
          <w:sz w:val="24"/>
          <w:szCs w:val="24"/>
          <w:lang w:val="en-US" w:eastAsia="zh-CN"/>
        </w:rPr>
        <w:t>2.5. Unwanted emission requirements</w:t>
      </w:r>
    </w:p>
    <w:p>
      <w:pPr>
        <w:rPr>
          <w:rFonts w:hint="default" w:eastAsia="宋体"/>
          <w:kern w:val="0"/>
          <w:sz w:val="20"/>
          <w:szCs w:val="20"/>
          <w:lang w:val="en-US" w:eastAsia="zh-CN"/>
        </w:rPr>
      </w:pPr>
      <w:r>
        <w:rPr>
          <w:rFonts w:hint="eastAsia" w:eastAsia="宋体"/>
          <w:kern w:val="0"/>
          <w:sz w:val="20"/>
          <w:szCs w:val="20"/>
          <w:lang w:val="en-US" w:eastAsia="zh-CN"/>
        </w:rPr>
        <w:t>In the last RAN4 meeting, there were some initial discussions how to further evaluate coexistence performance for 60GHz and whether coexistence work in TR 38.803 can be used as reference for the coexistence study for 60GHz. Based on our initial understandings, to increase the antenna array size for BS at 60GHz and lower the BS/UE maximum output power, this will only result in even lower ACIR values after the the coexistence study. Based on our understandings, this agreed value in Table 2 is also feasible even though this might be relative tighter than IEEE mask.</w:t>
      </w:r>
    </w:p>
    <w:p>
      <w:pPr>
        <w:jc w:val="center"/>
        <w:rPr>
          <w:rFonts w:hint="default" w:eastAsia="宋体"/>
          <w:b/>
          <w:bCs/>
          <w:kern w:val="0"/>
          <w:sz w:val="20"/>
          <w:szCs w:val="20"/>
          <w:lang w:val="en-US" w:eastAsia="zh-CN"/>
        </w:rPr>
      </w:pPr>
      <w:r>
        <w:rPr>
          <w:rFonts w:hint="eastAsia" w:eastAsia="宋体"/>
          <w:b/>
          <w:bCs/>
          <w:kern w:val="0"/>
          <w:sz w:val="20"/>
          <w:szCs w:val="20"/>
          <w:lang w:val="en-US" w:eastAsia="zh-CN"/>
        </w:rPr>
        <w:t>Table 2. Way forward on BS ACLR and ACS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827"/>
        <w:gridCol w:w="827"/>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bottom"/>
          </w:tcPr>
          <w:p>
            <w:pPr>
              <w:pStyle w:val="32"/>
              <w:rPr>
                <w:rFonts w:hint="eastAsia"/>
                <w:i w:val="0"/>
                <w:iCs/>
                <w:lang w:val="en-US" w:eastAsia="zh-CN"/>
              </w:rPr>
            </w:pPr>
            <w:r>
              <w:rPr>
                <w:i w:val="0"/>
                <w:iCs/>
              </w:rPr>
              <w:t>BS</w:t>
            </w:r>
          </w:p>
        </w:tc>
        <w:tc>
          <w:tcPr>
            <w:tcW w:w="0" w:type="auto"/>
            <w:vAlign w:val="bottom"/>
          </w:tcPr>
          <w:p>
            <w:pPr>
              <w:pStyle w:val="32"/>
              <w:rPr>
                <w:rFonts w:hint="eastAsia"/>
                <w:i w:val="0"/>
                <w:iCs/>
                <w:lang w:val="en-US" w:eastAsia="zh-CN"/>
              </w:rPr>
            </w:pPr>
            <w:r>
              <w:rPr>
                <w:rFonts w:hint="default"/>
                <w:i w:val="0"/>
                <w:iCs/>
              </w:rPr>
              <w:t>30 GHz</w:t>
            </w:r>
          </w:p>
        </w:tc>
        <w:tc>
          <w:tcPr>
            <w:tcW w:w="0" w:type="auto"/>
            <w:vAlign w:val="bottom"/>
          </w:tcPr>
          <w:p>
            <w:pPr>
              <w:pStyle w:val="32"/>
              <w:rPr>
                <w:rFonts w:hint="eastAsia"/>
                <w:i w:val="0"/>
                <w:iCs/>
                <w:lang w:val="en-US" w:eastAsia="zh-CN"/>
              </w:rPr>
            </w:pPr>
            <w:r>
              <w:rPr>
                <w:rFonts w:hint="default"/>
                <w:i w:val="0"/>
                <w:iCs/>
              </w:rPr>
              <w:t>45 GHz</w:t>
            </w:r>
          </w:p>
        </w:tc>
        <w:tc>
          <w:tcPr>
            <w:tcW w:w="0" w:type="auto"/>
            <w:vAlign w:val="bottom"/>
          </w:tcPr>
          <w:p>
            <w:pPr>
              <w:pStyle w:val="32"/>
              <w:rPr>
                <w:rFonts w:hint="eastAsia"/>
                <w:i w:val="0"/>
                <w:iCs/>
                <w:lang w:val="en-US" w:eastAsia="zh-CN"/>
              </w:rPr>
            </w:pPr>
            <w:r>
              <w:rPr>
                <w:rFonts w:hint="default"/>
                <w:i w:val="0"/>
                <w:iC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0" w:type="auto"/>
            <w:vAlign w:val="bottom"/>
          </w:tcPr>
          <w:p>
            <w:pPr>
              <w:pStyle w:val="32"/>
              <w:rPr>
                <w:rFonts w:hint="eastAsia"/>
                <w:i w:val="0"/>
                <w:iCs/>
                <w:lang w:val="en-US" w:eastAsia="zh-CN"/>
              </w:rPr>
            </w:pPr>
            <w:r>
              <w:rPr>
                <w:rFonts w:hint="default"/>
                <w:i w:val="0"/>
                <w:iCs/>
              </w:rPr>
              <w:t>ACLR</w:t>
            </w:r>
          </w:p>
        </w:tc>
        <w:tc>
          <w:tcPr>
            <w:tcW w:w="0" w:type="auto"/>
            <w:vAlign w:val="bottom"/>
          </w:tcPr>
          <w:p>
            <w:pPr>
              <w:pStyle w:val="32"/>
              <w:rPr>
                <w:rFonts w:hint="eastAsia"/>
                <w:i w:val="0"/>
                <w:iCs/>
                <w:lang w:val="en-US" w:eastAsia="zh-CN"/>
              </w:rPr>
            </w:pPr>
            <w:r>
              <w:rPr>
                <w:rFonts w:hint="default"/>
                <w:i w:val="0"/>
                <w:iCs/>
              </w:rPr>
              <w:t>27.5</w:t>
            </w:r>
          </w:p>
        </w:tc>
        <w:tc>
          <w:tcPr>
            <w:tcW w:w="0" w:type="auto"/>
            <w:vAlign w:val="bottom"/>
          </w:tcPr>
          <w:p>
            <w:pPr>
              <w:pStyle w:val="32"/>
              <w:rPr>
                <w:rFonts w:hint="eastAsia"/>
                <w:i w:val="0"/>
                <w:iCs/>
                <w:lang w:val="en-US" w:eastAsia="zh-CN"/>
              </w:rPr>
            </w:pPr>
            <w:r>
              <w:rPr>
                <w:rFonts w:hint="default"/>
                <w:i w:val="0"/>
                <w:iCs/>
              </w:rPr>
              <w:t>25.5</w:t>
            </w:r>
          </w:p>
        </w:tc>
        <w:tc>
          <w:tcPr>
            <w:tcW w:w="0" w:type="auto"/>
            <w:vAlign w:val="bottom"/>
          </w:tcPr>
          <w:p>
            <w:pPr>
              <w:pStyle w:val="32"/>
              <w:rPr>
                <w:rFonts w:hint="eastAsia"/>
                <w:i w:val="0"/>
                <w:iCs/>
                <w:lang w:val="en-US" w:eastAsia="zh-CN"/>
              </w:rPr>
            </w:pPr>
            <w:r>
              <w:rPr>
                <w:rFonts w:hint="default"/>
                <w:i w:val="0"/>
                <w:iCs/>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bottom"/>
          </w:tcPr>
          <w:p>
            <w:pPr>
              <w:pStyle w:val="32"/>
              <w:rPr>
                <w:rFonts w:hint="eastAsia"/>
                <w:i w:val="0"/>
                <w:iCs/>
                <w:lang w:val="en-US" w:eastAsia="zh-CN"/>
              </w:rPr>
            </w:pPr>
            <w:r>
              <w:rPr>
                <w:rFonts w:hint="default"/>
                <w:i w:val="0"/>
                <w:iCs/>
              </w:rPr>
              <w:t>ACS</w:t>
            </w:r>
          </w:p>
        </w:tc>
        <w:tc>
          <w:tcPr>
            <w:tcW w:w="0" w:type="auto"/>
            <w:vAlign w:val="bottom"/>
          </w:tcPr>
          <w:p>
            <w:pPr>
              <w:pStyle w:val="32"/>
              <w:rPr>
                <w:rFonts w:hint="eastAsia"/>
                <w:i w:val="0"/>
                <w:iCs/>
                <w:lang w:val="en-US" w:eastAsia="zh-CN"/>
              </w:rPr>
            </w:pPr>
            <w:r>
              <w:rPr>
                <w:rFonts w:hint="default"/>
                <w:i w:val="0"/>
                <w:iCs/>
              </w:rPr>
              <w:t>23.5</w:t>
            </w:r>
          </w:p>
        </w:tc>
        <w:tc>
          <w:tcPr>
            <w:tcW w:w="0" w:type="auto"/>
            <w:vAlign w:val="bottom"/>
          </w:tcPr>
          <w:p>
            <w:pPr>
              <w:pStyle w:val="32"/>
              <w:rPr>
                <w:rFonts w:hint="eastAsia"/>
                <w:i w:val="0"/>
                <w:iCs/>
                <w:lang w:val="en-US" w:eastAsia="zh-CN"/>
              </w:rPr>
            </w:pPr>
            <w:r>
              <w:rPr>
                <w:rFonts w:hint="default"/>
                <w:i w:val="0"/>
                <w:iCs/>
              </w:rPr>
              <w:t>22.5</w:t>
            </w:r>
          </w:p>
        </w:tc>
        <w:tc>
          <w:tcPr>
            <w:tcW w:w="0" w:type="auto"/>
            <w:vAlign w:val="bottom"/>
          </w:tcPr>
          <w:p>
            <w:pPr>
              <w:pStyle w:val="32"/>
              <w:rPr>
                <w:rFonts w:hint="eastAsia"/>
                <w:i w:val="0"/>
                <w:iCs/>
                <w:lang w:val="en-US" w:eastAsia="zh-CN"/>
              </w:rPr>
            </w:pPr>
            <w:r>
              <w:rPr>
                <w:rFonts w:hint="default"/>
                <w:i w:val="0"/>
                <w:iCs/>
              </w:rPr>
              <w:t>21.5</w:t>
            </w:r>
          </w:p>
        </w:tc>
      </w:tr>
    </w:tbl>
    <w:p>
      <w:pPr>
        <w:rPr>
          <w:rFonts w:hint="eastAsia"/>
          <w:kern w:val="0"/>
          <w:sz w:val="20"/>
          <w:szCs w:val="20"/>
          <w:lang w:val="en-US" w:eastAsia="zh-CN"/>
        </w:rPr>
      </w:pPr>
      <w:r>
        <w:rPr>
          <w:rFonts w:hint="eastAsia"/>
          <w:b/>
          <w:bCs/>
          <w:kern w:val="0"/>
          <w:sz w:val="20"/>
          <w:szCs w:val="20"/>
          <w:lang w:val="en-US" w:eastAsia="zh-CN"/>
        </w:rPr>
        <w:t>Proposal 4:</w:t>
      </w:r>
      <w:r>
        <w:rPr>
          <w:rFonts w:hint="eastAsia"/>
          <w:kern w:val="0"/>
          <w:sz w:val="20"/>
          <w:szCs w:val="20"/>
          <w:lang w:val="en-US" w:eastAsia="zh-CN"/>
        </w:rPr>
        <w:t xml:space="preserve"> to agree ACLR 24dBc for 60GHz. </w:t>
      </w:r>
    </w:p>
    <w:p>
      <w:r>
        <w:rPr>
          <w:rFonts w:hint="eastAsia"/>
          <w:kern w:val="0"/>
          <w:sz w:val="20"/>
          <w:szCs w:val="20"/>
          <w:lang w:val="en-US" w:eastAsia="zh-CN"/>
        </w:rPr>
        <w:t>In addition, for the OBUE limit for 60GHz, the corresponding mask could be defined as following Table 3:</w:t>
      </w:r>
    </w:p>
    <w:p>
      <w:pPr>
        <w:pStyle w:val="42"/>
        <w:rPr>
          <w:rFonts w:hint="default" w:eastAsia="宋体"/>
          <w:lang w:val="en-US" w:eastAsia="zh-CN"/>
        </w:rPr>
      </w:pPr>
      <w:r>
        <w:t>Table</w:t>
      </w:r>
      <w:r>
        <w:rPr>
          <w:rFonts w:hint="eastAsia"/>
          <w:lang w:val="en-US" w:eastAsia="zh-CN"/>
        </w:rPr>
        <w:t xml:space="preserve"> 3</w:t>
      </w:r>
      <w:r>
        <w:t>: OBUE limits applicable in the frequency range 52.6 GHz</w:t>
      </w:r>
      <w:r>
        <w:rPr>
          <w:rFonts w:hint="eastAsia"/>
          <w:lang w:val="en-US" w:eastAsia="zh-CN"/>
        </w:rPr>
        <w:t>-71 GHz</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32"/>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Pr>
          <w:p>
            <w:pPr>
              <w:pStyle w:val="32"/>
              <w:rPr>
                <w:lang w:val="en-US"/>
              </w:rPr>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32"/>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tcPr>
          <w:p>
            <w:pPr>
              <w:pStyle w:val="32"/>
              <w:rPr>
                <w:i/>
                <w:lang w:val="en-US"/>
              </w:rPr>
            </w:pPr>
            <w:r>
              <w:rPr>
                <w:i/>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33"/>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Pr>
          <w:p>
            <w:pPr>
              <w:pStyle w:val="33"/>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color="auto" w:sz="4" w:space="0"/>
              <w:left w:val="single" w:color="auto" w:sz="4" w:space="0"/>
              <w:bottom w:val="single" w:color="auto" w:sz="4" w:space="0"/>
              <w:right w:val="single" w:color="auto" w:sz="4" w:space="0"/>
            </w:tcBorders>
          </w:tcPr>
          <w:p>
            <w:pPr>
              <w:pStyle w:val="33"/>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w:t>
            </w:r>
            <w:r>
              <w:rPr>
                <w:rFonts w:hint="eastAsia" w:eastAsia="宋体"/>
                <w:lang w:val="en-US" w:eastAsia="zh-CN"/>
              </w:rPr>
              <w:t>1</w:t>
            </w:r>
            <w:r>
              <w:rPr>
                <w:rFonts w:eastAsia="MS Mincho"/>
                <w:lang w:val="en-US"/>
              </w:rPr>
              <w:t xml:space="preserve"> dB, -12 dBm))</w:t>
            </w:r>
          </w:p>
        </w:tc>
        <w:tc>
          <w:tcPr>
            <w:tcW w:w="1560" w:type="dxa"/>
            <w:tcBorders>
              <w:top w:val="single" w:color="auto" w:sz="4" w:space="0"/>
              <w:left w:val="single" w:color="auto" w:sz="4" w:space="0"/>
              <w:bottom w:val="single" w:color="auto" w:sz="4" w:space="0"/>
              <w:right w:val="single" w:color="auto" w:sz="4" w:space="0"/>
            </w:tcBorders>
          </w:tcPr>
          <w:p>
            <w:pPr>
              <w:pStyle w:val="3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33"/>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Pr>
          <w:p>
            <w:pPr>
              <w:pStyle w:val="33"/>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pStyle w:val="33"/>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w:t>
            </w:r>
            <w:r>
              <w:rPr>
                <w:rFonts w:hint="eastAsia" w:eastAsia="宋体"/>
                <w:lang w:val="en-US" w:eastAsia="zh-CN"/>
              </w:rPr>
              <w:t>39</w:t>
            </w:r>
            <w:r>
              <w:rPr>
                <w:rFonts w:eastAsia="MS Mincho"/>
                <w:lang w:val="en-US"/>
              </w:rPr>
              <w:t xml:space="preserve"> dB, -20 dBm))</w:t>
            </w:r>
          </w:p>
        </w:tc>
        <w:tc>
          <w:tcPr>
            <w:tcW w:w="1560" w:type="dxa"/>
            <w:tcBorders>
              <w:top w:val="single" w:color="auto" w:sz="4" w:space="0"/>
              <w:left w:val="single" w:color="auto" w:sz="4" w:space="0"/>
              <w:bottom w:val="single" w:color="auto" w:sz="4" w:space="0"/>
              <w:right w:val="single" w:color="auto" w:sz="4" w:space="0"/>
            </w:tcBorders>
          </w:tcPr>
          <w:p>
            <w:pPr>
              <w:pStyle w:val="3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46"/>
              <w:rPr>
                <w:lang w:val="en-US"/>
              </w:rPr>
            </w:pPr>
            <w:r>
              <w:rPr>
                <w:lang w:val="en-US"/>
              </w:rPr>
              <w:t>NOTE 1:</w:t>
            </w:r>
            <w:r>
              <w:rPr>
                <w:lang w:val="en-US"/>
              </w:rPr>
              <w:tab/>
            </w:r>
            <w:r>
              <w:rPr>
                <w:lang w:val="en-US"/>
              </w:rPr>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pPr>
        <w:rPr>
          <w:rFonts w:hint="eastAsia"/>
          <w:kern w:val="0"/>
          <w:sz w:val="20"/>
          <w:szCs w:val="20"/>
          <w:lang w:val="en-US" w:eastAsia="zh-CN"/>
        </w:rPr>
      </w:pPr>
      <w:r>
        <w:rPr>
          <w:rFonts w:hint="eastAsia"/>
          <w:b/>
          <w:bCs/>
          <w:kern w:val="0"/>
          <w:sz w:val="20"/>
          <w:szCs w:val="20"/>
          <w:lang w:val="en-US" w:eastAsia="zh-CN"/>
        </w:rPr>
        <w:t>Proposal 5:</w:t>
      </w:r>
      <w:r>
        <w:rPr>
          <w:rFonts w:hint="eastAsia"/>
          <w:kern w:val="0"/>
          <w:sz w:val="20"/>
          <w:szCs w:val="20"/>
          <w:lang w:val="en-US" w:eastAsia="zh-CN"/>
        </w:rPr>
        <w:t xml:space="preserve"> to agree OBUE limit in Table 3 for 60GHz. </w:t>
      </w:r>
    </w:p>
    <w:p>
      <w:pPr>
        <w:rPr>
          <w:rFonts w:hint="eastAsia"/>
          <w:kern w:val="0"/>
          <w:sz w:val="20"/>
          <w:szCs w:val="20"/>
          <w:lang w:val="en-US" w:eastAsia="zh-CN"/>
        </w:rPr>
      </w:pPr>
    </w:p>
    <w:p>
      <w:pPr>
        <w:rPr>
          <w:rFonts w:hint="eastAsia"/>
          <w:kern w:val="0"/>
          <w:sz w:val="20"/>
          <w:szCs w:val="20"/>
          <w:lang w:val="en-US" w:eastAsia="zh-CN"/>
        </w:rPr>
      </w:pPr>
      <w:r>
        <w:rPr>
          <w:rFonts w:hint="eastAsia"/>
          <w:kern w:val="0"/>
          <w:sz w:val="20"/>
          <w:szCs w:val="20"/>
          <w:lang w:val="en-US" w:eastAsia="zh-CN"/>
        </w:rPr>
        <w:t>In addition, it could be noted that the proposed mask and ACLR value is tighter than IEEE mask as shown in Figure 3, in other words, this could also well coexist with the 802.11ad/ay system for unlicensed operation instead of licensed operation only.</w:t>
      </w:r>
    </w:p>
    <w:p>
      <w:r>
        <w:drawing>
          <wp:inline distT="0" distB="0" distL="114300" distR="114300">
            <wp:extent cx="6182995" cy="1524635"/>
            <wp:effectExtent l="0" t="0" r="825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182995" cy="1524635"/>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3. Transmit mask for 802.11ad 2.16GHz</w:t>
      </w:r>
    </w:p>
    <w:bookmarkEnd w:id="1"/>
    <w:bookmarkEnd w:id="2"/>
    <w:bookmarkEnd w:id="3"/>
    <w:bookmarkEnd w:id="4"/>
    <w:p>
      <w:pPr>
        <w:pStyle w:val="53"/>
        <w:tabs>
          <w:tab w:val="left" w:pos="567"/>
          <w:tab w:val="clear" w:pos="1985"/>
        </w:tabs>
        <w:adjustRightInd w:val="0"/>
        <w:ind w:left="510" w:hanging="510"/>
      </w:pPr>
      <w:r>
        <w:t>Conclusions</w:t>
      </w:r>
    </w:p>
    <w:p>
      <w:pPr>
        <w:rPr>
          <w:rFonts w:hint="default"/>
          <w:kern w:val="0"/>
          <w:sz w:val="20"/>
          <w:szCs w:val="20"/>
          <w:lang w:val="en-US"/>
        </w:rPr>
      </w:pPr>
      <w:r>
        <w:rPr>
          <w:rFonts w:hint="eastAsia" w:eastAsia="Times New Roman"/>
          <w:kern w:val="0"/>
          <w:sz w:val="20"/>
          <w:szCs w:val="20"/>
        </w:rPr>
        <w:t>In this contribution,</w:t>
      </w:r>
      <w:r>
        <w:rPr>
          <w:rFonts w:hint="eastAsia"/>
          <w:kern w:val="0"/>
          <w:sz w:val="20"/>
          <w:szCs w:val="20"/>
        </w:rPr>
        <w:t xml:space="preserve"> we want to further</w:t>
      </w:r>
      <w:r>
        <w:rPr>
          <w:rFonts w:hint="eastAsia"/>
          <w:kern w:val="0"/>
          <w:sz w:val="20"/>
          <w:szCs w:val="20"/>
          <w:lang w:val="en-US" w:eastAsia="zh-CN"/>
        </w:rPr>
        <w:t xml:space="preserve"> considerations on each BS Tx requirements for 60GHz and some proposals and observations are made as following:</w:t>
      </w:r>
    </w:p>
    <w:p>
      <w:pPr>
        <w:rPr>
          <w:rFonts w:hint="default"/>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 xml:space="preserve"> to reuse the existing FR2 TRP/EIRP accuracy requirements for 60GHz BS regardless of unlicensed or unlicensed operation.</w:t>
      </w:r>
    </w:p>
    <w:p>
      <w:pPr>
        <w:pStyle w:val="17"/>
        <w:pBdr>
          <w:top w:val="none" w:color="auto" w:sz="0" w:space="0"/>
          <w:left w:val="none" w:color="auto" w:sz="0" w:space="0"/>
          <w:bottom w:val="none" w:color="auto" w:sz="0" w:space="0"/>
          <w:right w:val="none" w:color="auto" w:sz="0" w:space="0"/>
          <w:between w:val="none" w:color="auto" w:sz="0" w:space="0"/>
        </w:pBdr>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Observation </w:t>
      </w:r>
      <w:r>
        <w:rPr>
          <w:rFonts w:hint="eastAsia" w:eastAsia="宋体" w:cs="Times New Roman"/>
          <w:b/>
          <w:bCs/>
          <w:kern w:val="0"/>
          <w:sz w:val="20"/>
          <w:szCs w:val="20"/>
          <w:lang w:val="en-US" w:eastAsia="zh-CN" w:bidi="ar-SA"/>
        </w:rPr>
        <w:t>1</w:t>
      </w:r>
      <w:r>
        <w:rPr>
          <w:rFonts w:hint="eastAsia" w:ascii="Times New Roman" w:hAnsi="Times New Roman" w:eastAsia="宋体" w:cs="Times New Roman"/>
          <w:b/>
          <w:bCs/>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if the output power for 60GHz is on the same level of that for the existing FR2 and same PA </w:t>
      </w:r>
      <w:r>
        <w:rPr>
          <w:rFonts w:hint="default" w:ascii="Times New Roman" w:hAnsi="Times New Roman" w:eastAsia="宋体" w:cs="Times New Roman"/>
          <w:kern w:val="0"/>
          <w:sz w:val="20"/>
          <w:szCs w:val="20"/>
          <w:lang w:val="en-US" w:eastAsia="zh-CN" w:bidi="ar-SA"/>
        </w:rPr>
        <w:t>manufacturin</w:t>
      </w:r>
      <w:r>
        <w:rPr>
          <w:rFonts w:hint="eastAsia" w:ascii="Times New Roman" w:hAnsi="Times New Roman" w:eastAsia="宋体" w:cs="Times New Roman"/>
          <w:kern w:val="0"/>
          <w:sz w:val="20"/>
          <w:szCs w:val="20"/>
          <w:lang w:val="en-US" w:eastAsia="zh-CN" w:bidi="ar-SA"/>
        </w:rPr>
        <w:t xml:space="preserve">g material (e.g. GaAs, Si), then similar ramping up time and ramping down time could be expected for 60GHz. </w:t>
      </w:r>
    </w:p>
    <w:p>
      <w:pPr>
        <w:pStyle w:val="17"/>
        <w:pBdr>
          <w:top w:val="none" w:color="auto" w:sz="0" w:space="0"/>
          <w:left w:val="none" w:color="auto" w:sz="0" w:space="0"/>
          <w:bottom w:val="none" w:color="auto" w:sz="0" w:space="0"/>
          <w:right w:val="none" w:color="auto" w:sz="0" w:space="0"/>
          <w:between w:val="none" w:color="auto" w:sz="0" w:space="0"/>
        </w:pBdr>
        <w:jc w:val="left"/>
        <w:rPr>
          <w:rFonts w:hint="eastAsia" w:eastAsia="宋体"/>
          <w:kern w:val="0"/>
          <w:sz w:val="20"/>
          <w:szCs w:val="20"/>
          <w:lang w:val="en-US" w:eastAsia="zh-CN"/>
        </w:rPr>
      </w:pPr>
      <w:r>
        <w:rPr>
          <w:rFonts w:hint="eastAsia" w:eastAsia="宋体"/>
          <w:b/>
          <w:bCs/>
          <w:kern w:val="0"/>
          <w:sz w:val="20"/>
          <w:szCs w:val="20"/>
          <w:lang w:val="en-US" w:eastAsia="zh-CN"/>
        </w:rPr>
        <w:t>Observation 2</w:t>
      </w:r>
      <w:r>
        <w:rPr>
          <w:rFonts w:hint="eastAsia" w:eastAsia="宋体"/>
          <w:kern w:val="0"/>
          <w:sz w:val="20"/>
          <w:szCs w:val="20"/>
          <w:lang w:val="en-US" w:eastAsia="zh-CN"/>
        </w:rPr>
        <w:t>: to reduce the GP overhead for 480kHz and 960kHz of 60GHz, alternatives could be extend the TDD periodicity.</w:t>
      </w:r>
    </w:p>
    <w:p>
      <w:pPr>
        <w:rPr>
          <w:rFonts w:hint="default" w:eastAsia="宋体"/>
          <w:kern w:val="0"/>
          <w:sz w:val="20"/>
          <w:szCs w:val="20"/>
          <w:lang w:val="en-US" w:eastAsia="zh-CN"/>
        </w:rPr>
      </w:pPr>
      <w:r>
        <w:rPr>
          <w:rFonts w:hint="eastAsia"/>
          <w:b/>
          <w:bCs/>
          <w:kern w:val="0"/>
          <w:sz w:val="20"/>
          <w:szCs w:val="20"/>
          <w:lang w:val="en-US" w:eastAsia="zh-CN"/>
        </w:rPr>
        <w:t>Proposal 2:</w:t>
      </w:r>
      <w:r>
        <w:rPr>
          <w:rFonts w:hint="eastAsia"/>
          <w:kern w:val="0"/>
          <w:sz w:val="20"/>
          <w:szCs w:val="20"/>
          <w:lang w:val="en-US" w:eastAsia="zh-CN"/>
        </w:rPr>
        <w:t xml:space="preserve"> to reuse -36dBm/MHz for 60GHz BS regardless of licensed operation or unlicensed operation.</w:t>
      </w:r>
    </w:p>
    <w:p>
      <w:pPr>
        <w:rPr>
          <w:rFonts w:hint="eastAsia" w:eastAsia="宋体"/>
          <w:kern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xml:space="preserve">: to discuss the simulation assumptions to further evaluate acceptable TAE requirements for 60GHz 480kHz and 960kHz SCS. </w:t>
      </w:r>
    </w:p>
    <w:p>
      <w:pPr>
        <w:rPr>
          <w:rFonts w:hint="eastAsia"/>
          <w:kern w:val="0"/>
          <w:sz w:val="20"/>
          <w:szCs w:val="20"/>
          <w:lang w:val="en-US" w:eastAsia="zh-CN"/>
        </w:rPr>
      </w:pPr>
      <w:r>
        <w:rPr>
          <w:rFonts w:hint="eastAsia"/>
          <w:b/>
          <w:bCs/>
          <w:kern w:val="0"/>
          <w:sz w:val="20"/>
          <w:szCs w:val="20"/>
          <w:lang w:val="en-US" w:eastAsia="zh-CN"/>
        </w:rPr>
        <w:t>Proposal 4:</w:t>
      </w:r>
      <w:r>
        <w:rPr>
          <w:rFonts w:hint="eastAsia"/>
          <w:kern w:val="0"/>
          <w:sz w:val="20"/>
          <w:szCs w:val="20"/>
          <w:lang w:val="en-US" w:eastAsia="zh-CN"/>
        </w:rPr>
        <w:t xml:space="preserve"> to agree ACLR 24dBc for 60GHz. </w:t>
      </w:r>
    </w:p>
    <w:p>
      <w:pPr>
        <w:rPr>
          <w:rFonts w:hint="eastAsia" w:eastAsia="宋体"/>
          <w:kern w:val="0"/>
          <w:sz w:val="20"/>
          <w:szCs w:val="20"/>
          <w:lang w:val="en-US" w:eastAsia="zh-CN"/>
        </w:rPr>
      </w:pPr>
      <w:r>
        <w:rPr>
          <w:rFonts w:hint="eastAsia"/>
          <w:b/>
          <w:bCs/>
          <w:kern w:val="0"/>
          <w:sz w:val="20"/>
          <w:szCs w:val="20"/>
          <w:lang w:val="en-US" w:eastAsia="zh-CN"/>
        </w:rPr>
        <w:t>Proposal 5:</w:t>
      </w:r>
      <w:r>
        <w:rPr>
          <w:rFonts w:hint="eastAsia"/>
          <w:kern w:val="0"/>
          <w:sz w:val="20"/>
          <w:szCs w:val="20"/>
          <w:lang w:val="en-US" w:eastAsia="zh-CN"/>
        </w:rPr>
        <w:t xml:space="preserve"> to agree OBUE limit in Table 3 for 60GHz. </w:t>
      </w:r>
    </w:p>
    <w:p>
      <w:pPr>
        <w:pStyle w:val="53"/>
        <w:tabs>
          <w:tab w:val="left" w:pos="567"/>
          <w:tab w:val="clear" w:pos="1985"/>
        </w:tabs>
        <w:adjustRightInd w:val="0"/>
        <w:ind w:left="510" w:hanging="510"/>
      </w:pPr>
      <w:r>
        <w:t>References</w:t>
      </w:r>
    </w:p>
    <w:p>
      <w:pPr>
        <w:pStyle w:val="51"/>
        <w:numPr>
          <w:ilvl w:val="0"/>
          <w:numId w:val="2"/>
        </w:numPr>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18"/>
          <w:szCs w:val="18"/>
          <w:shd w:val="clear" w:fill="FFFFFF"/>
        </w:rPr>
        <w:t>R4-2106113</w:t>
      </w:r>
      <w:r>
        <w:rPr>
          <w:rFonts w:hint="eastAsia"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WF on BS RF TX requirements for 52.6 – 71 GHz, approved.</w:t>
      </w:r>
    </w:p>
    <w:p>
      <w:pPr>
        <w:pStyle w:val="51"/>
        <w:numPr>
          <w:ilvl w:val="0"/>
          <w:numId w:val="2"/>
        </w:numPr>
        <w:rPr>
          <w:rFonts w:hint="default" w:ascii="Times New Roman" w:hAnsi="Times New Roman" w:cs="Times New Roman"/>
          <w:sz w:val="20"/>
          <w:szCs w:val="20"/>
        </w:rPr>
      </w:pPr>
      <w:r>
        <w:rPr>
          <w:rFonts w:hint="eastAsia" w:eastAsia="宋体" w:cs="Times New Roman"/>
          <w:b w:val="0"/>
          <w:i w:val="0"/>
          <w:color w:val="000000"/>
          <w:spacing w:val="0"/>
          <w:sz w:val="18"/>
          <w:szCs w:val="18"/>
          <w:shd w:val="clear" w:fill="FFFFFF"/>
          <w:lang w:val="en-US" w:eastAsia="zh-CN"/>
        </w:rPr>
        <w:t xml:space="preserve">R4-210xxx, </w:t>
      </w:r>
      <w:r>
        <w:rPr>
          <w:rFonts w:hint="eastAsia" w:ascii="Times New Roman" w:hAnsi="Times New Roman" w:eastAsia="宋体" w:cs="Times New Roman"/>
          <w:b w:val="0"/>
          <w:i w:val="0"/>
          <w:caps w:val="0"/>
          <w:color w:val="000000"/>
          <w:spacing w:val="0"/>
          <w:sz w:val="18"/>
          <w:szCs w:val="18"/>
          <w:shd w:val="clear" w:fill="FFFFFF"/>
          <w:lang w:val="en-US" w:eastAsia="zh-CN"/>
        </w:rPr>
        <w:t>Discussion on switching delay for 52.6-71GHz</w:t>
      </w:r>
      <w:r>
        <w:rPr>
          <w:rFonts w:hint="eastAsia" w:eastAsia="宋体" w:cs="Times New Roman"/>
          <w:b w:val="0"/>
          <w:i w:val="0"/>
          <w:caps w:val="0"/>
          <w:color w:val="000000"/>
          <w:spacing w:val="0"/>
          <w:sz w:val="18"/>
          <w:szCs w:val="18"/>
          <w:shd w:val="clear" w:fill="FFFFFF"/>
          <w:lang w:val="en-US" w:eastAsia="zh-CN"/>
        </w:rPr>
        <w:t>, ZTE.</w:t>
      </w:r>
    </w:p>
    <w:p>
      <w:pPr>
        <w:pStyle w:val="51"/>
        <w:numPr>
          <w:ilvl w:val="0"/>
          <w:numId w:val="2"/>
        </w:numPr>
        <w:rPr>
          <w:rFonts w:hint="default" w:ascii="Times New Roman" w:hAnsi="Times New Roman" w:cs="Times New Roman"/>
          <w:sz w:val="20"/>
          <w:szCs w:val="20"/>
        </w:rPr>
      </w:pPr>
      <w:r>
        <w:rPr>
          <w:rFonts w:hint="default" w:ascii="Times New Roman" w:hAnsi="Times New Roman" w:cs="Times New Roman"/>
          <w:sz w:val="20"/>
          <w:szCs w:val="20"/>
        </w:rPr>
        <w:t>R4-1700302</w:t>
      </w:r>
      <w:r>
        <w:rPr>
          <w:rFonts w:hint="eastAsia" w:cs="Times New Roman"/>
          <w:sz w:val="20"/>
          <w:szCs w:val="20"/>
          <w:lang w:val="en-US" w:eastAsia="zh-CN"/>
        </w:rPr>
        <w:t>,Way forward on ACLR &amp; ACS for WP5D LS, approved.</w:t>
      </w:r>
    </w:p>
    <w:p>
      <w:pPr>
        <w:pStyle w:val="51"/>
        <w:numPr>
          <w:ilvl w:val="0"/>
          <w:numId w:val="0"/>
        </w:numPr>
        <w:rPr>
          <w:rFonts w:ascii="Arial" w:hAnsi="Arial" w:eastAsia="宋体" w:cs="Arial"/>
          <w:b w:val="0"/>
          <w:i w:val="0"/>
          <w:caps w:val="0"/>
          <w:color w:val="000000"/>
          <w:spacing w:val="0"/>
          <w:sz w:val="18"/>
          <w:szCs w:val="18"/>
          <w:shd w:val="clear" w:fill="FFFFFF"/>
        </w:rPr>
      </w:pPr>
    </w:p>
    <w:p>
      <w:pPr>
        <w:pStyle w:val="53"/>
        <w:tabs>
          <w:tab w:val="left" w:pos="567"/>
          <w:tab w:val="clear" w:pos="1985"/>
        </w:tabs>
        <w:adjustRightInd w:val="0"/>
        <w:ind w:left="510" w:hanging="510"/>
      </w:pPr>
      <w:r>
        <w:rPr>
          <w:rFonts w:hint="eastAsia"/>
          <w:lang w:val="en-US" w:eastAsia="zh-CN"/>
        </w:rPr>
        <w:t>Annex: simulation assumption</w:t>
      </w:r>
    </w:p>
    <w:p>
      <w:pPr>
        <w:jc w:val="center"/>
        <w:rPr>
          <w:lang w:val="en-US" w:eastAsia="zh-CN"/>
        </w:rPr>
      </w:pPr>
      <w:r>
        <w:rPr>
          <w:rFonts w:hint="eastAsia"/>
          <w:lang w:val="en-US" w:eastAsia="zh-CN"/>
        </w:rPr>
        <w:t>Table A1-1 Link level simulation assumption</w:t>
      </w:r>
    </w:p>
    <w:tbl>
      <w:tblPr>
        <w:tblStyle w:val="22"/>
        <w:tblW w:w="6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pStyle w:val="32"/>
              <w:snapToGrid w:val="0"/>
              <w:rPr>
                <w:lang w:val="en-US"/>
              </w:rPr>
            </w:pPr>
            <w:r>
              <w:rPr>
                <w:szCs w:val="22"/>
                <w:lang w:val="en-US"/>
              </w:rPr>
              <w:t>Parameters</w:t>
            </w:r>
          </w:p>
        </w:tc>
        <w:tc>
          <w:tcPr>
            <w:tcW w:w="3419" w:type="dxa"/>
          </w:tcPr>
          <w:p>
            <w:pPr>
              <w:pStyle w:val="32"/>
              <w:snapToGrid w:val="0"/>
              <w:rPr>
                <w:lang w:val="en-US" w:eastAsia="zh-CN"/>
              </w:rPr>
            </w:pPr>
            <w:r>
              <w:rPr>
                <w:rFonts w:hint="eastAsia"/>
                <w:szCs w:val="22"/>
                <w:lang w:val="en-US" w:eastAsia="zh-CN"/>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Carrier Frequency</w:t>
            </w:r>
          </w:p>
        </w:tc>
        <w:tc>
          <w:tcPr>
            <w:tcW w:w="3419" w:type="dxa"/>
          </w:tcPr>
          <w:p>
            <w:pPr>
              <w:snapToGrid w:val="0"/>
              <w:spacing w:after="0"/>
              <w:rPr>
                <w:rFonts w:eastAsia="宋体"/>
                <w:lang w:val="en-US" w:eastAsia="zh-CN"/>
              </w:rPr>
            </w:pPr>
            <w:r>
              <w:rPr>
                <w:rFonts w:hint="eastAsia" w:eastAsia="宋体"/>
                <w:lang w:val="en-US"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Waveform</w:t>
            </w:r>
          </w:p>
        </w:tc>
        <w:tc>
          <w:tcPr>
            <w:tcW w:w="3419" w:type="dxa"/>
          </w:tcPr>
          <w:p>
            <w:pPr>
              <w:snapToGrid w:val="0"/>
              <w:spacing w:after="0"/>
              <w:rPr>
                <w:rFonts w:eastAsia="宋体"/>
                <w:lang w:val="en-US" w:eastAsia="zh-CN"/>
              </w:rPr>
            </w:pPr>
            <w:r>
              <w:rPr>
                <w:rFonts w:hint="eastAsia" w:eastAsia="宋体"/>
                <w:lang w:val="en-US" w:eastAsia="zh-CN"/>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eastAsia="宋体"/>
                <w:lang w:val="en-US" w:eastAsia="zh-CN"/>
              </w:rPr>
              <w:t>System</w:t>
            </w:r>
            <w:r>
              <w:rPr>
                <w:rFonts w:hint="eastAsia" w:eastAsia="宋体"/>
                <w:lang w:val="en-US" w:eastAsia="zh-CN"/>
              </w:rPr>
              <w:t xml:space="preserve"> Bandwidth</w:t>
            </w:r>
          </w:p>
        </w:tc>
        <w:tc>
          <w:tcPr>
            <w:tcW w:w="3419" w:type="dxa"/>
          </w:tcPr>
          <w:p>
            <w:pPr>
              <w:snapToGrid w:val="0"/>
              <w:spacing w:after="0"/>
              <w:rPr>
                <w:rFonts w:eastAsia="宋体"/>
                <w:lang w:val="en-US" w:eastAsia="zh-CN"/>
              </w:rPr>
            </w:pPr>
            <w:r>
              <w:rPr>
                <w:rFonts w:hint="eastAsia" w:eastAsia="宋体"/>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Subcarrier spacing</w:t>
            </w:r>
          </w:p>
        </w:tc>
        <w:tc>
          <w:tcPr>
            <w:tcW w:w="3419" w:type="dxa"/>
          </w:tcPr>
          <w:p>
            <w:pPr>
              <w:snapToGrid w:val="0"/>
              <w:spacing w:after="0"/>
              <w:rPr>
                <w:rFonts w:eastAsia="宋体"/>
                <w:lang w:val="en-US" w:eastAsia="zh-CN"/>
              </w:rPr>
            </w:pPr>
            <w:r>
              <w:rPr>
                <w:rFonts w:hint="eastAsia" w:eastAsia="宋体"/>
                <w:lang w:val="en-US" w:eastAsia="zh-CN"/>
              </w:rPr>
              <w:t>480kHz/960kHz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CP type</w:t>
            </w:r>
          </w:p>
        </w:tc>
        <w:tc>
          <w:tcPr>
            <w:tcW w:w="3419" w:type="dxa"/>
          </w:tcPr>
          <w:p>
            <w:pPr>
              <w:snapToGrid w:val="0"/>
              <w:spacing w:after="0"/>
              <w:rPr>
                <w:rFonts w:eastAsia="宋体"/>
                <w:lang w:val="en-US" w:eastAsia="zh-CN"/>
              </w:rPr>
            </w:pPr>
            <w:r>
              <w:rPr>
                <w:rFonts w:hint="eastAsia" w:eastAsia="宋体"/>
                <w:lang w:val="en-US" w:eastAsia="zh-CN"/>
              </w:rPr>
              <w:t>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Model</w:t>
            </w:r>
          </w:p>
        </w:tc>
        <w:tc>
          <w:tcPr>
            <w:tcW w:w="3419" w:type="dxa"/>
          </w:tcPr>
          <w:p>
            <w:pPr>
              <w:snapToGrid w:val="0"/>
              <w:spacing w:after="0"/>
              <w:rPr>
                <w:rFonts w:eastAsia="宋体"/>
                <w:lang w:val="en-US" w:eastAsia="zh-CN"/>
              </w:rPr>
            </w:pPr>
            <w:r>
              <w:rPr>
                <w:rFonts w:hint="eastAsia" w:eastAsia="宋体"/>
                <w:lang w:val="en-US" w:eastAsia="zh-CN"/>
              </w:rPr>
              <w:t>TDL-A 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model</w:t>
            </w:r>
          </w:p>
        </w:tc>
        <w:tc>
          <w:tcPr>
            <w:tcW w:w="3419" w:type="dxa"/>
          </w:tcPr>
          <w:p>
            <w:pPr>
              <w:snapToGrid w:val="0"/>
              <w:spacing w:after="0"/>
              <w:rPr>
                <w:rFonts w:eastAsia="宋体"/>
                <w:lang w:val="en-US" w:eastAsia="zh-CN"/>
              </w:rPr>
            </w:pPr>
            <w:r>
              <w:rPr>
                <w:rFonts w:eastAsia="宋体"/>
                <w:lang w:val="en-US" w:eastAsia="zh-CN"/>
              </w:rPr>
              <w:t>3GPP TR38.803 example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DMRS</w:t>
            </w:r>
            <w:r>
              <w:rPr>
                <w:lang w:val="en-US"/>
              </w:rPr>
              <w:t xml:space="preserve"> Configuration</w:t>
            </w:r>
          </w:p>
        </w:tc>
        <w:tc>
          <w:tcPr>
            <w:tcW w:w="3419" w:type="dxa"/>
          </w:tcPr>
          <w:p>
            <w:pPr>
              <w:snapToGrid w:val="0"/>
              <w:spacing w:after="0"/>
              <w:rPr>
                <w:lang w:val="en-US"/>
              </w:rPr>
            </w:pPr>
            <w:r>
              <w:rPr>
                <w:lang w:val="en-US" w:eastAsia="zh-CN"/>
              </w:rPr>
              <w:t>2 DMRS symbols per slot at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PTRS Configuration</w:t>
            </w:r>
          </w:p>
        </w:tc>
        <w:tc>
          <w:tcPr>
            <w:tcW w:w="3419" w:type="dxa"/>
          </w:tcPr>
          <w:p>
            <w:pPr>
              <w:snapToGrid w:val="0"/>
              <w:spacing w:after="0"/>
              <w:rPr>
                <w:rFonts w:eastAsia="宋体"/>
                <w:lang w:val="en-US" w:eastAsia="zh-CN"/>
              </w:rPr>
            </w:pPr>
            <w:r>
              <w:rPr>
                <w:rFonts w:eastAsia="宋体"/>
                <w:lang w:val="en-US" w:eastAsia="zh-CN"/>
              </w:rPr>
              <w:t>(K = 2, L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SLIV</w:t>
            </w:r>
          </w:p>
        </w:tc>
        <w:tc>
          <w:tcPr>
            <w:tcW w:w="3419" w:type="dxa"/>
          </w:tcPr>
          <w:p>
            <w:pPr>
              <w:snapToGrid w:val="0"/>
              <w:spacing w:after="0"/>
              <w:rPr>
                <w:rFonts w:eastAsia="宋体"/>
                <w:lang w:val="en-US" w:eastAsia="zh-CN"/>
              </w:rPr>
            </w:pPr>
            <w:r>
              <w:rPr>
                <w:rFonts w:eastAsia="宋体"/>
                <w:lang w:val="en-US" w:eastAsia="zh-CN"/>
              </w:rPr>
              <w:t>(S=0,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PN</w:t>
            </w:r>
            <w:r>
              <w:rPr>
                <w:lang w:val="en-US"/>
              </w:rPr>
              <w:t xml:space="preserve">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compensation</w:t>
            </w:r>
          </w:p>
        </w:tc>
        <w:tc>
          <w:tcPr>
            <w:tcW w:w="3419" w:type="dxa"/>
          </w:tcPr>
          <w:p>
            <w:pPr>
              <w:snapToGrid w:val="0"/>
              <w:spacing w:after="0"/>
              <w:rPr>
                <w:rFonts w:eastAsia="宋体"/>
                <w:lang w:val="en-US" w:eastAsia="zh-CN"/>
              </w:rPr>
            </w:pPr>
            <w:r>
              <w:rPr>
                <w:rFonts w:hint="eastAsia" w:eastAsia="宋体"/>
                <w:lang w:val="en-US" w:eastAsia="zh-CN"/>
              </w:rPr>
              <w:t>CPE &amp; ICI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receiver</w:t>
            </w:r>
          </w:p>
        </w:tc>
        <w:tc>
          <w:tcPr>
            <w:tcW w:w="3419" w:type="dxa"/>
          </w:tcPr>
          <w:p>
            <w:pPr>
              <w:snapToGrid w:val="0"/>
              <w:spacing w:after="0"/>
              <w:rPr>
                <w:lang w:val="en-US"/>
              </w:rPr>
            </w:pPr>
            <w: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BS antenna Array configuration</w:t>
            </w:r>
          </w:p>
        </w:tc>
        <w:tc>
          <w:tcPr>
            <w:tcW w:w="3419" w:type="dxa"/>
          </w:tcPr>
          <w:p>
            <w:pPr>
              <w:snapToGrid w:val="0"/>
              <w:spacing w:after="0"/>
              <w:rPr>
                <w:lang w:val="en-US"/>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antenna Array configuration</w:t>
            </w:r>
          </w:p>
        </w:tc>
        <w:tc>
          <w:tcPr>
            <w:tcW w:w="3419" w:type="dxa"/>
          </w:tcPr>
          <w:p>
            <w:pPr>
              <w:snapToGrid w:val="0"/>
              <w:spacing w:after="0"/>
              <w:rPr>
                <w:lang w:val="en-US"/>
              </w:rPr>
            </w:pPr>
            <w:r>
              <w:rPr>
                <w:rFonts w:hint="eastAsia" w:eastAsia="宋体"/>
                <w:lang w:val="en-US" w:eastAsia="zh-CN"/>
              </w:rPr>
              <w:t>2</w:t>
            </w:r>
          </w:p>
        </w:tc>
      </w:tr>
    </w:tbl>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A52C1"/>
    <w:rsid w:val="024C13AB"/>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0E23"/>
    <w:rsid w:val="05B658ED"/>
    <w:rsid w:val="05BE42A5"/>
    <w:rsid w:val="05D16BC6"/>
    <w:rsid w:val="05DF678C"/>
    <w:rsid w:val="05EE3B4E"/>
    <w:rsid w:val="05F007AC"/>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F3057E"/>
    <w:rsid w:val="09016732"/>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9E26945"/>
    <w:rsid w:val="09F3690C"/>
    <w:rsid w:val="0A093274"/>
    <w:rsid w:val="0A145E2C"/>
    <w:rsid w:val="0A223227"/>
    <w:rsid w:val="0A22459E"/>
    <w:rsid w:val="0A2705E1"/>
    <w:rsid w:val="0A2A6A0B"/>
    <w:rsid w:val="0A312533"/>
    <w:rsid w:val="0A3A0D5D"/>
    <w:rsid w:val="0A5056C6"/>
    <w:rsid w:val="0A5060D6"/>
    <w:rsid w:val="0A5F4C2E"/>
    <w:rsid w:val="0A7200B0"/>
    <w:rsid w:val="0A771CA5"/>
    <w:rsid w:val="0A8046F0"/>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A1037"/>
    <w:rsid w:val="0B4D5218"/>
    <w:rsid w:val="0B5461B0"/>
    <w:rsid w:val="0B622E13"/>
    <w:rsid w:val="0B717521"/>
    <w:rsid w:val="0B725D3E"/>
    <w:rsid w:val="0B7E0C5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75BD1"/>
    <w:rsid w:val="0D0213CD"/>
    <w:rsid w:val="0D04575D"/>
    <w:rsid w:val="0D0612B8"/>
    <w:rsid w:val="0D066A9C"/>
    <w:rsid w:val="0D0714BC"/>
    <w:rsid w:val="0D1A52C8"/>
    <w:rsid w:val="0D2767B5"/>
    <w:rsid w:val="0D346E85"/>
    <w:rsid w:val="0D3E327E"/>
    <w:rsid w:val="0D5800C7"/>
    <w:rsid w:val="0D6A353C"/>
    <w:rsid w:val="0D904522"/>
    <w:rsid w:val="0D976014"/>
    <w:rsid w:val="0DA060E8"/>
    <w:rsid w:val="0DCE36F3"/>
    <w:rsid w:val="0DD621E4"/>
    <w:rsid w:val="0DDE1317"/>
    <w:rsid w:val="0DFF0C8E"/>
    <w:rsid w:val="0E0313B1"/>
    <w:rsid w:val="0E0D1A47"/>
    <w:rsid w:val="0E1D14EE"/>
    <w:rsid w:val="0E2B6C7E"/>
    <w:rsid w:val="0E3217E8"/>
    <w:rsid w:val="0E3362F6"/>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93C2A"/>
    <w:rsid w:val="111A28E5"/>
    <w:rsid w:val="112F54D2"/>
    <w:rsid w:val="1133321C"/>
    <w:rsid w:val="11461F96"/>
    <w:rsid w:val="114B6C92"/>
    <w:rsid w:val="114C3CA8"/>
    <w:rsid w:val="114D3A1D"/>
    <w:rsid w:val="11576536"/>
    <w:rsid w:val="11607F73"/>
    <w:rsid w:val="117561EB"/>
    <w:rsid w:val="117824F0"/>
    <w:rsid w:val="117E2370"/>
    <w:rsid w:val="11847341"/>
    <w:rsid w:val="11AC7561"/>
    <w:rsid w:val="11AF439E"/>
    <w:rsid w:val="11B66269"/>
    <w:rsid w:val="11BA0839"/>
    <w:rsid w:val="11E84619"/>
    <w:rsid w:val="11F267E8"/>
    <w:rsid w:val="11F427FC"/>
    <w:rsid w:val="1210456D"/>
    <w:rsid w:val="12134828"/>
    <w:rsid w:val="12143598"/>
    <w:rsid w:val="121729B6"/>
    <w:rsid w:val="122C6138"/>
    <w:rsid w:val="12396B0A"/>
    <w:rsid w:val="123A52C3"/>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693B4C"/>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87FE5"/>
    <w:rsid w:val="157E21FE"/>
    <w:rsid w:val="15AA7A19"/>
    <w:rsid w:val="15AC5259"/>
    <w:rsid w:val="15B06B12"/>
    <w:rsid w:val="15BE3D9D"/>
    <w:rsid w:val="15D4474D"/>
    <w:rsid w:val="15D7597F"/>
    <w:rsid w:val="160A09CB"/>
    <w:rsid w:val="160C437B"/>
    <w:rsid w:val="16160429"/>
    <w:rsid w:val="161C3234"/>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4F6A3A"/>
    <w:rsid w:val="186B15D6"/>
    <w:rsid w:val="186C1DBE"/>
    <w:rsid w:val="186E738D"/>
    <w:rsid w:val="187640ED"/>
    <w:rsid w:val="18804AA7"/>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15033C"/>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63750A"/>
    <w:rsid w:val="1B7906CE"/>
    <w:rsid w:val="1B7D07F3"/>
    <w:rsid w:val="1B831B2B"/>
    <w:rsid w:val="1B9E34C7"/>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7F3D5F"/>
    <w:rsid w:val="1C807142"/>
    <w:rsid w:val="1C824DF7"/>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3F3EAB"/>
    <w:rsid w:val="1E6703B7"/>
    <w:rsid w:val="1E680B85"/>
    <w:rsid w:val="1E9D4737"/>
    <w:rsid w:val="1E9D55A8"/>
    <w:rsid w:val="1EA13E87"/>
    <w:rsid w:val="1EC11B39"/>
    <w:rsid w:val="1ED94E25"/>
    <w:rsid w:val="1EDB6C5F"/>
    <w:rsid w:val="1EE6740D"/>
    <w:rsid w:val="1F020B3E"/>
    <w:rsid w:val="1F141EF2"/>
    <w:rsid w:val="1F1D5512"/>
    <w:rsid w:val="1F303EA7"/>
    <w:rsid w:val="1F3906C1"/>
    <w:rsid w:val="1F3C6AF7"/>
    <w:rsid w:val="1F405E44"/>
    <w:rsid w:val="1F4E681F"/>
    <w:rsid w:val="1F5324C1"/>
    <w:rsid w:val="1F6833F6"/>
    <w:rsid w:val="1F7216B7"/>
    <w:rsid w:val="1F7959F4"/>
    <w:rsid w:val="1F7C19E4"/>
    <w:rsid w:val="1F83562C"/>
    <w:rsid w:val="1F8621A7"/>
    <w:rsid w:val="1FB63655"/>
    <w:rsid w:val="1FBD7AAE"/>
    <w:rsid w:val="1FBE77B2"/>
    <w:rsid w:val="1FC26AB9"/>
    <w:rsid w:val="1FE91483"/>
    <w:rsid w:val="1FED166B"/>
    <w:rsid w:val="1FF05FBA"/>
    <w:rsid w:val="2000119F"/>
    <w:rsid w:val="20023827"/>
    <w:rsid w:val="20107ED3"/>
    <w:rsid w:val="201359DF"/>
    <w:rsid w:val="201C304F"/>
    <w:rsid w:val="202F6E02"/>
    <w:rsid w:val="20365F6D"/>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30340"/>
    <w:rsid w:val="21094038"/>
    <w:rsid w:val="210D2CDA"/>
    <w:rsid w:val="212F6A59"/>
    <w:rsid w:val="21306305"/>
    <w:rsid w:val="213D54AD"/>
    <w:rsid w:val="214169BB"/>
    <w:rsid w:val="21447E3B"/>
    <w:rsid w:val="215F7E39"/>
    <w:rsid w:val="217C7971"/>
    <w:rsid w:val="217D44BC"/>
    <w:rsid w:val="21986210"/>
    <w:rsid w:val="21997056"/>
    <w:rsid w:val="219B2AEE"/>
    <w:rsid w:val="219D3F2A"/>
    <w:rsid w:val="21A01ED2"/>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731A96"/>
    <w:rsid w:val="247A5C3A"/>
    <w:rsid w:val="248654B3"/>
    <w:rsid w:val="248907B2"/>
    <w:rsid w:val="249A5E20"/>
    <w:rsid w:val="249C2676"/>
    <w:rsid w:val="249C6208"/>
    <w:rsid w:val="24A20ED0"/>
    <w:rsid w:val="24B0489D"/>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60B255C"/>
    <w:rsid w:val="26217848"/>
    <w:rsid w:val="262E20E8"/>
    <w:rsid w:val="262E34C1"/>
    <w:rsid w:val="2640682F"/>
    <w:rsid w:val="26510DB8"/>
    <w:rsid w:val="26535F46"/>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D1CBA"/>
    <w:rsid w:val="27450038"/>
    <w:rsid w:val="274A7B1A"/>
    <w:rsid w:val="275439E1"/>
    <w:rsid w:val="276320D7"/>
    <w:rsid w:val="27935D1D"/>
    <w:rsid w:val="279408D2"/>
    <w:rsid w:val="279A2ED3"/>
    <w:rsid w:val="27A558F9"/>
    <w:rsid w:val="27AE45AD"/>
    <w:rsid w:val="27B02558"/>
    <w:rsid w:val="27B76B79"/>
    <w:rsid w:val="27B91021"/>
    <w:rsid w:val="27C06D17"/>
    <w:rsid w:val="27FE20BF"/>
    <w:rsid w:val="27FE4240"/>
    <w:rsid w:val="280008FF"/>
    <w:rsid w:val="28050D91"/>
    <w:rsid w:val="281035C6"/>
    <w:rsid w:val="28255041"/>
    <w:rsid w:val="283A1E3E"/>
    <w:rsid w:val="284543A1"/>
    <w:rsid w:val="284D7A82"/>
    <w:rsid w:val="28553E1D"/>
    <w:rsid w:val="285C1E48"/>
    <w:rsid w:val="28821314"/>
    <w:rsid w:val="28AD2029"/>
    <w:rsid w:val="28AD4319"/>
    <w:rsid w:val="28B220F4"/>
    <w:rsid w:val="28B35B12"/>
    <w:rsid w:val="28C075A4"/>
    <w:rsid w:val="28C33C7D"/>
    <w:rsid w:val="28DA6C60"/>
    <w:rsid w:val="28DB0A30"/>
    <w:rsid w:val="28F33F0D"/>
    <w:rsid w:val="28F95F71"/>
    <w:rsid w:val="28FF4C6A"/>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62EDD"/>
    <w:rsid w:val="29A84DD1"/>
    <w:rsid w:val="29AA2390"/>
    <w:rsid w:val="29B85AFC"/>
    <w:rsid w:val="29BB74AF"/>
    <w:rsid w:val="29CD2270"/>
    <w:rsid w:val="29D22D87"/>
    <w:rsid w:val="29EB2636"/>
    <w:rsid w:val="29F26903"/>
    <w:rsid w:val="2A0B66F6"/>
    <w:rsid w:val="2A0F7591"/>
    <w:rsid w:val="2A2545D8"/>
    <w:rsid w:val="2A2C011C"/>
    <w:rsid w:val="2A3B063B"/>
    <w:rsid w:val="2A442EDC"/>
    <w:rsid w:val="2A477F01"/>
    <w:rsid w:val="2A49761F"/>
    <w:rsid w:val="2A4C74B8"/>
    <w:rsid w:val="2A500712"/>
    <w:rsid w:val="2A627A42"/>
    <w:rsid w:val="2A630308"/>
    <w:rsid w:val="2A676AD0"/>
    <w:rsid w:val="2A687AA6"/>
    <w:rsid w:val="2A770CC7"/>
    <w:rsid w:val="2A9A66D4"/>
    <w:rsid w:val="2AAC36BD"/>
    <w:rsid w:val="2AB04937"/>
    <w:rsid w:val="2ACA2140"/>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044B3"/>
    <w:rsid w:val="2BEC4F7F"/>
    <w:rsid w:val="2BF01DD3"/>
    <w:rsid w:val="2BF02C47"/>
    <w:rsid w:val="2BF51B27"/>
    <w:rsid w:val="2C11705A"/>
    <w:rsid w:val="2C1216FD"/>
    <w:rsid w:val="2C1A3F2E"/>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E34FAF"/>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EA307E"/>
    <w:rsid w:val="2EF53C20"/>
    <w:rsid w:val="2EFC5DDD"/>
    <w:rsid w:val="2F002CCF"/>
    <w:rsid w:val="2F0160A3"/>
    <w:rsid w:val="2F040464"/>
    <w:rsid w:val="2F18561C"/>
    <w:rsid w:val="2F1A491A"/>
    <w:rsid w:val="2F2960CC"/>
    <w:rsid w:val="2F2F3D52"/>
    <w:rsid w:val="2F3B7B8B"/>
    <w:rsid w:val="2F4530B9"/>
    <w:rsid w:val="2F4B7821"/>
    <w:rsid w:val="2F526911"/>
    <w:rsid w:val="2F612D64"/>
    <w:rsid w:val="2F712CF7"/>
    <w:rsid w:val="2F7645B8"/>
    <w:rsid w:val="2F805714"/>
    <w:rsid w:val="2F8E5F5C"/>
    <w:rsid w:val="2FA21231"/>
    <w:rsid w:val="2FAD4759"/>
    <w:rsid w:val="2FCA0967"/>
    <w:rsid w:val="2FF117AD"/>
    <w:rsid w:val="2FF95633"/>
    <w:rsid w:val="30010F70"/>
    <w:rsid w:val="300F7F13"/>
    <w:rsid w:val="301E3C00"/>
    <w:rsid w:val="3045713F"/>
    <w:rsid w:val="30500A5C"/>
    <w:rsid w:val="30577DEE"/>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A5CF8"/>
    <w:rsid w:val="31CB26CD"/>
    <w:rsid w:val="31D06A52"/>
    <w:rsid w:val="31F20023"/>
    <w:rsid w:val="31F240F2"/>
    <w:rsid w:val="31F30ACC"/>
    <w:rsid w:val="31F937C1"/>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770DD"/>
    <w:rsid w:val="32E921F0"/>
    <w:rsid w:val="32EC6CFE"/>
    <w:rsid w:val="32F76D5D"/>
    <w:rsid w:val="32F86450"/>
    <w:rsid w:val="330244A4"/>
    <w:rsid w:val="331B37C6"/>
    <w:rsid w:val="331C390F"/>
    <w:rsid w:val="334C4FDC"/>
    <w:rsid w:val="33610DDA"/>
    <w:rsid w:val="33767D1F"/>
    <w:rsid w:val="337B22A9"/>
    <w:rsid w:val="337F446B"/>
    <w:rsid w:val="339902E6"/>
    <w:rsid w:val="33A156DE"/>
    <w:rsid w:val="33B70359"/>
    <w:rsid w:val="33BA1B32"/>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BD"/>
    <w:rsid w:val="34D47C8A"/>
    <w:rsid w:val="34DB0CAC"/>
    <w:rsid w:val="34E972FC"/>
    <w:rsid w:val="34FF2166"/>
    <w:rsid w:val="35086B54"/>
    <w:rsid w:val="351C075B"/>
    <w:rsid w:val="35306933"/>
    <w:rsid w:val="35333FF2"/>
    <w:rsid w:val="353C75ED"/>
    <w:rsid w:val="353E791E"/>
    <w:rsid w:val="354008AB"/>
    <w:rsid w:val="354C7B38"/>
    <w:rsid w:val="354F28B8"/>
    <w:rsid w:val="35562F9E"/>
    <w:rsid w:val="355D687A"/>
    <w:rsid w:val="356579E8"/>
    <w:rsid w:val="356721FE"/>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05ED4"/>
    <w:rsid w:val="35EA6509"/>
    <w:rsid w:val="35EC4160"/>
    <w:rsid w:val="35F44E5C"/>
    <w:rsid w:val="35F45994"/>
    <w:rsid w:val="3602050E"/>
    <w:rsid w:val="36101A49"/>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B121C7"/>
    <w:rsid w:val="36B2486C"/>
    <w:rsid w:val="36D27C18"/>
    <w:rsid w:val="36D512A9"/>
    <w:rsid w:val="36F414F3"/>
    <w:rsid w:val="37002C93"/>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B6BE7"/>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333CFE"/>
    <w:rsid w:val="3B3A132E"/>
    <w:rsid w:val="3B456D7F"/>
    <w:rsid w:val="3B4910F6"/>
    <w:rsid w:val="3B5A754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41B08"/>
    <w:rsid w:val="3F473E52"/>
    <w:rsid w:val="3F4A4087"/>
    <w:rsid w:val="3F5361F5"/>
    <w:rsid w:val="3F943DFF"/>
    <w:rsid w:val="3F952814"/>
    <w:rsid w:val="3FA41C63"/>
    <w:rsid w:val="3FAB3D87"/>
    <w:rsid w:val="3FAB41A2"/>
    <w:rsid w:val="3FAE47F6"/>
    <w:rsid w:val="3FE210C1"/>
    <w:rsid w:val="3FEB1C22"/>
    <w:rsid w:val="3FED2E23"/>
    <w:rsid w:val="3FF44FD5"/>
    <w:rsid w:val="400A1CFC"/>
    <w:rsid w:val="40400533"/>
    <w:rsid w:val="405A424E"/>
    <w:rsid w:val="406B6CE3"/>
    <w:rsid w:val="406D461C"/>
    <w:rsid w:val="406F7D87"/>
    <w:rsid w:val="40825FDB"/>
    <w:rsid w:val="40907287"/>
    <w:rsid w:val="409238E1"/>
    <w:rsid w:val="409238F2"/>
    <w:rsid w:val="40992F93"/>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67A91"/>
    <w:rsid w:val="43E21F58"/>
    <w:rsid w:val="43E30134"/>
    <w:rsid w:val="43E35EF0"/>
    <w:rsid w:val="43F76F69"/>
    <w:rsid w:val="43F80A53"/>
    <w:rsid w:val="43FC0DB2"/>
    <w:rsid w:val="444109FB"/>
    <w:rsid w:val="444E22EA"/>
    <w:rsid w:val="44584267"/>
    <w:rsid w:val="446512CF"/>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4334C"/>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555092"/>
    <w:rsid w:val="47666951"/>
    <w:rsid w:val="47683159"/>
    <w:rsid w:val="479D7800"/>
    <w:rsid w:val="47A12538"/>
    <w:rsid w:val="47BC3466"/>
    <w:rsid w:val="47D30FC3"/>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93C20"/>
    <w:rsid w:val="49DA3FD3"/>
    <w:rsid w:val="4A0573EC"/>
    <w:rsid w:val="4A06116C"/>
    <w:rsid w:val="4A070E8E"/>
    <w:rsid w:val="4A09499E"/>
    <w:rsid w:val="4A096C36"/>
    <w:rsid w:val="4A13060B"/>
    <w:rsid w:val="4A381BA6"/>
    <w:rsid w:val="4A3926E2"/>
    <w:rsid w:val="4A4172CE"/>
    <w:rsid w:val="4A43236C"/>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F86642"/>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30357"/>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E1B63"/>
    <w:rsid w:val="4E0939E5"/>
    <w:rsid w:val="4E176DF3"/>
    <w:rsid w:val="4E1A2F68"/>
    <w:rsid w:val="4E210A5C"/>
    <w:rsid w:val="4E374BFB"/>
    <w:rsid w:val="4E3A2C21"/>
    <w:rsid w:val="4E4475F5"/>
    <w:rsid w:val="4E587463"/>
    <w:rsid w:val="4E68543B"/>
    <w:rsid w:val="4E694E99"/>
    <w:rsid w:val="4E795FE9"/>
    <w:rsid w:val="4E797F06"/>
    <w:rsid w:val="4E904370"/>
    <w:rsid w:val="4E9F5613"/>
    <w:rsid w:val="4EAC241A"/>
    <w:rsid w:val="4EB67945"/>
    <w:rsid w:val="4ECA2CB3"/>
    <w:rsid w:val="4ECF2BEC"/>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406F"/>
    <w:rsid w:val="50607726"/>
    <w:rsid w:val="506309DB"/>
    <w:rsid w:val="50752AF6"/>
    <w:rsid w:val="508431ED"/>
    <w:rsid w:val="509F1AB5"/>
    <w:rsid w:val="50AC0F46"/>
    <w:rsid w:val="50B139BD"/>
    <w:rsid w:val="50BD1498"/>
    <w:rsid w:val="50BE1B1D"/>
    <w:rsid w:val="50C51F05"/>
    <w:rsid w:val="50C65E30"/>
    <w:rsid w:val="50D228CF"/>
    <w:rsid w:val="50E63519"/>
    <w:rsid w:val="50ED76FB"/>
    <w:rsid w:val="51187610"/>
    <w:rsid w:val="51191CC9"/>
    <w:rsid w:val="51375EB3"/>
    <w:rsid w:val="513853CC"/>
    <w:rsid w:val="51392D77"/>
    <w:rsid w:val="513F081D"/>
    <w:rsid w:val="514C1E16"/>
    <w:rsid w:val="51556F97"/>
    <w:rsid w:val="515A64E3"/>
    <w:rsid w:val="515C30A6"/>
    <w:rsid w:val="5161698E"/>
    <w:rsid w:val="517F00BC"/>
    <w:rsid w:val="5195533B"/>
    <w:rsid w:val="519D2F03"/>
    <w:rsid w:val="51A1385A"/>
    <w:rsid w:val="51BE2EAE"/>
    <w:rsid w:val="51DA5890"/>
    <w:rsid w:val="51EE7B3E"/>
    <w:rsid w:val="51F473EF"/>
    <w:rsid w:val="51F96848"/>
    <w:rsid w:val="51FF74A3"/>
    <w:rsid w:val="52073487"/>
    <w:rsid w:val="521C5D43"/>
    <w:rsid w:val="521D7ED7"/>
    <w:rsid w:val="5239194F"/>
    <w:rsid w:val="52521FD5"/>
    <w:rsid w:val="52612620"/>
    <w:rsid w:val="526A546C"/>
    <w:rsid w:val="52790FD9"/>
    <w:rsid w:val="528C5E23"/>
    <w:rsid w:val="529F0D9B"/>
    <w:rsid w:val="52CA3D8F"/>
    <w:rsid w:val="52CD21D8"/>
    <w:rsid w:val="52CF0A4A"/>
    <w:rsid w:val="52DD5B35"/>
    <w:rsid w:val="52DF42EC"/>
    <w:rsid w:val="52E427EA"/>
    <w:rsid w:val="52EF0051"/>
    <w:rsid w:val="52FC1C88"/>
    <w:rsid w:val="5301710F"/>
    <w:rsid w:val="53112C1D"/>
    <w:rsid w:val="53155215"/>
    <w:rsid w:val="531621BA"/>
    <w:rsid w:val="531D0F10"/>
    <w:rsid w:val="531F319F"/>
    <w:rsid w:val="533E0346"/>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D6650D"/>
    <w:rsid w:val="53DB35A3"/>
    <w:rsid w:val="53DC2808"/>
    <w:rsid w:val="53E07B00"/>
    <w:rsid w:val="54002BFD"/>
    <w:rsid w:val="542A5504"/>
    <w:rsid w:val="542F7A60"/>
    <w:rsid w:val="543858B4"/>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C3433"/>
    <w:rsid w:val="554E0863"/>
    <w:rsid w:val="555737A6"/>
    <w:rsid w:val="55611FED"/>
    <w:rsid w:val="556C1CC4"/>
    <w:rsid w:val="55712540"/>
    <w:rsid w:val="5577741D"/>
    <w:rsid w:val="558126EC"/>
    <w:rsid w:val="55883669"/>
    <w:rsid w:val="558A44CE"/>
    <w:rsid w:val="559537DA"/>
    <w:rsid w:val="55B403DD"/>
    <w:rsid w:val="55BC788E"/>
    <w:rsid w:val="55C0140E"/>
    <w:rsid w:val="55CF48E7"/>
    <w:rsid w:val="55D0342A"/>
    <w:rsid w:val="55D849A1"/>
    <w:rsid w:val="55E31A15"/>
    <w:rsid w:val="55E5367A"/>
    <w:rsid w:val="55F03258"/>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D5E03"/>
    <w:rsid w:val="56FB0134"/>
    <w:rsid w:val="57012351"/>
    <w:rsid w:val="57016F99"/>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590DD2"/>
    <w:rsid w:val="5860138B"/>
    <w:rsid w:val="586E1447"/>
    <w:rsid w:val="5878285F"/>
    <w:rsid w:val="587E2D46"/>
    <w:rsid w:val="588509DD"/>
    <w:rsid w:val="58953B9F"/>
    <w:rsid w:val="58957A8C"/>
    <w:rsid w:val="589C0BA1"/>
    <w:rsid w:val="589F18E4"/>
    <w:rsid w:val="58A26665"/>
    <w:rsid w:val="58B156C4"/>
    <w:rsid w:val="58B8443B"/>
    <w:rsid w:val="58B908D6"/>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2E4BBE"/>
    <w:rsid w:val="5A340B09"/>
    <w:rsid w:val="5A3F3527"/>
    <w:rsid w:val="5A440B9D"/>
    <w:rsid w:val="5A5009C0"/>
    <w:rsid w:val="5A5128C3"/>
    <w:rsid w:val="5A575C31"/>
    <w:rsid w:val="5A5C7772"/>
    <w:rsid w:val="5A6336A1"/>
    <w:rsid w:val="5A6B7C88"/>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B76D02"/>
    <w:rsid w:val="5CC43404"/>
    <w:rsid w:val="5CC93DAE"/>
    <w:rsid w:val="5CD31EE3"/>
    <w:rsid w:val="5CE1654F"/>
    <w:rsid w:val="5D072BC8"/>
    <w:rsid w:val="5D076525"/>
    <w:rsid w:val="5D0A3A75"/>
    <w:rsid w:val="5D2B5629"/>
    <w:rsid w:val="5D2E45E5"/>
    <w:rsid w:val="5D315CEB"/>
    <w:rsid w:val="5D3B59DF"/>
    <w:rsid w:val="5D440D30"/>
    <w:rsid w:val="5D473075"/>
    <w:rsid w:val="5D5830EC"/>
    <w:rsid w:val="5D5864DB"/>
    <w:rsid w:val="5D73393B"/>
    <w:rsid w:val="5D784379"/>
    <w:rsid w:val="5D7B3457"/>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485CD7"/>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634A2F"/>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1C60"/>
    <w:rsid w:val="61455CF4"/>
    <w:rsid w:val="615055E7"/>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24603C"/>
    <w:rsid w:val="623131E1"/>
    <w:rsid w:val="62460FCD"/>
    <w:rsid w:val="62480FF0"/>
    <w:rsid w:val="624B14C1"/>
    <w:rsid w:val="62630C6B"/>
    <w:rsid w:val="627301E8"/>
    <w:rsid w:val="6280604D"/>
    <w:rsid w:val="6295194F"/>
    <w:rsid w:val="62991510"/>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D56223"/>
    <w:rsid w:val="63E263F4"/>
    <w:rsid w:val="63E418C9"/>
    <w:rsid w:val="643F3FFC"/>
    <w:rsid w:val="646C4EF1"/>
    <w:rsid w:val="64706C6F"/>
    <w:rsid w:val="648B777B"/>
    <w:rsid w:val="64937D17"/>
    <w:rsid w:val="6494650D"/>
    <w:rsid w:val="649A6134"/>
    <w:rsid w:val="649D2569"/>
    <w:rsid w:val="64A51362"/>
    <w:rsid w:val="64A55A03"/>
    <w:rsid w:val="64B23D7F"/>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70700F"/>
    <w:rsid w:val="65797273"/>
    <w:rsid w:val="657B05D3"/>
    <w:rsid w:val="657F0CE6"/>
    <w:rsid w:val="65833C4F"/>
    <w:rsid w:val="658B37B6"/>
    <w:rsid w:val="659C17EE"/>
    <w:rsid w:val="65B40820"/>
    <w:rsid w:val="65BD3777"/>
    <w:rsid w:val="65D70270"/>
    <w:rsid w:val="66032E7B"/>
    <w:rsid w:val="66053581"/>
    <w:rsid w:val="660A19B0"/>
    <w:rsid w:val="661002E8"/>
    <w:rsid w:val="661026AA"/>
    <w:rsid w:val="661177DB"/>
    <w:rsid w:val="661C7D88"/>
    <w:rsid w:val="663D054E"/>
    <w:rsid w:val="66460692"/>
    <w:rsid w:val="6679372B"/>
    <w:rsid w:val="667B3C56"/>
    <w:rsid w:val="668A6C2F"/>
    <w:rsid w:val="66980BF6"/>
    <w:rsid w:val="66B35222"/>
    <w:rsid w:val="66B81454"/>
    <w:rsid w:val="66BE1292"/>
    <w:rsid w:val="66BF76F1"/>
    <w:rsid w:val="66DA3497"/>
    <w:rsid w:val="66DC5BF8"/>
    <w:rsid w:val="66E173F9"/>
    <w:rsid w:val="66E3226C"/>
    <w:rsid w:val="66E611A7"/>
    <w:rsid w:val="66EC287F"/>
    <w:rsid w:val="66EC5E36"/>
    <w:rsid w:val="66F17695"/>
    <w:rsid w:val="67181932"/>
    <w:rsid w:val="672A4901"/>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6A150A"/>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F3842"/>
    <w:rsid w:val="69731101"/>
    <w:rsid w:val="697D087B"/>
    <w:rsid w:val="698E7730"/>
    <w:rsid w:val="69A7770D"/>
    <w:rsid w:val="69AC0B64"/>
    <w:rsid w:val="69B27491"/>
    <w:rsid w:val="69B27C94"/>
    <w:rsid w:val="69BA2288"/>
    <w:rsid w:val="69BA712C"/>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2F0257"/>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6142A"/>
    <w:rsid w:val="6AE26C27"/>
    <w:rsid w:val="6AED013C"/>
    <w:rsid w:val="6AF159FF"/>
    <w:rsid w:val="6AF63F29"/>
    <w:rsid w:val="6B285741"/>
    <w:rsid w:val="6B2E25B1"/>
    <w:rsid w:val="6B340EF1"/>
    <w:rsid w:val="6B3D06AC"/>
    <w:rsid w:val="6B410A8A"/>
    <w:rsid w:val="6B444BB7"/>
    <w:rsid w:val="6B4B2C3B"/>
    <w:rsid w:val="6B5B0A52"/>
    <w:rsid w:val="6B5D2504"/>
    <w:rsid w:val="6B6C560D"/>
    <w:rsid w:val="6B846AF2"/>
    <w:rsid w:val="6B95396B"/>
    <w:rsid w:val="6BBB00B1"/>
    <w:rsid w:val="6BBD3E9D"/>
    <w:rsid w:val="6BC03721"/>
    <w:rsid w:val="6BC054EA"/>
    <w:rsid w:val="6BCA5D1D"/>
    <w:rsid w:val="6BCC01D5"/>
    <w:rsid w:val="6BCF2DCA"/>
    <w:rsid w:val="6BDD0493"/>
    <w:rsid w:val="6BDE54AC"/>
    <w:rsid w:val="6BE068F6"/>
    <w:rsid w:val="6BF229CE"/>
    <w:rsid w:val="6BF25C39"/>
    <w:rsid w:val="6BF52D4E"/>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EB2527"/>
    <w:rsid w:val="6DF6740D"/>
    <w:rsid w:val="6DFB06CC"/>
    <w:rsid w:val="6E035B81"/>
    <w:rsid w:val="6E0F0D37"/>
    <w:rsid w:val="6E0F320E"/>
    <w:rsid w:val="6E131686"/>
    <w:rsid w:val="6E1B4CD0"/>
    <w:rsid w:val="6E2A0DD8"/>
    <w:rsid w:val="6E376A3A"/>
    <w:rsid w:val="6E3F1C0F"/>
    <w:rsid w:val="6E567CD0"/>
    <w:rsid w:val="6E61430C"/>
    <w:rsid w:val="6E633CB5"/>
    <w:rsid w:val="6E72570E"/>
    <w:rsid w:val="6E9679F1"/>
    <w:rsid w:val="6EAB29FB"/>
    <w:rsid w:val="6EB32B7F"/>
    <w:rsid w:val="6EB46F18"/>
    <w:rsid w:val="6EB63507"/>
    <w:rsid w:val="6EBD4DFF"/>
    <w:rsid w:val="6EC73357"/>
    <w:rsid w:val="6ED266F7"/>
    <w:rsid w:val="6ED91F94"/>
    <w:rsid w:val="6EE939F2"/>
    <w:rsid w:val="6F021829"/>
    <w:rsid w:val="6F28474F"/>
    <w:rsid w:val="6F2B1966"/>
    <w:rsid w:val="6F350882"/>
    <w:rsid w:val="6F384951"/>
    <w:rsid w:val="6F607895"/>
    <w:rsid w:val="6F61040C"/>
    <w:rsid w:val="6F6776E1"/>
    <w:rsid w:val="6F702CF5"/>
    <w:rsid w:val="6F7E1B78"/>
    <w:rsid w:val="6F9C5D71"/>
    <w:rsid w:val="6FA3781E"/>
    <w:rsid w:val="6FAF5C06"/>
    <w:rsid w:val="6FB80EE8"/>
    <w:rsid w:val="6FD36624"/>
    <w:rsid w:val="6FE53444"/>
    <w:rsid w:val="6FEC4532"/>
    <w:rsid w:val="6FF1528E"/>
    <w:rsid w:val="700C0460"/>
    <w:rsid w:val="70170F2B"/>
    <w:rsid w:val="701E2FAB"/>
    <w:rsid w:val="702267D2"/>
    <w:rsid w:val="7029035E"/>
    <w:rsid w:val="70370653"/>
    <w:rsid w:val="70387A8F"/>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10B03C6"/>
    <w:rsid w:val="710D695E"/>
    <w:rsid w:val="710D79BB"/>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3A4A01"/>
    <w:rsid w:val="744642D9"/>
    <w:rsid w:val="74522D94"/>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7540E3"/>
    <w:rsid w:val="75816E2E"/>
    <w:rsid w:val="75857514"/>
    <w:rsid w:val="759B02AD"/>
    <w:rsid w:val="759B0C43"/>
    <w:rsid w:val="75A53BC6"/>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65248"/>
    <w:rsid w:val="77187F65"/>
    <w:rsid w:val="7729766A"/>
    <w:rsid w:val="772D35A6"/>
    <w:rsid w:val="773A62B8"/>
    <w:rsid w:val="77422DC5"/>
    <w:rsid w:val="774A39B5"/>
    <w:rsid w:val="774B3934"/>
    <w:rsid w:val="777B5F51"/>
    <w:rsid w:val="777D53E6"/>
    <w:rsid w:val="77847A56"/>
    <w:rsid w:val="778F0D7D"/>
    <w:rsid w:val="778F49BD"/>
    <w:rsid w:val="77941916"/>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7D6440"/>
    <w:rsid w:val="798D7D3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EA5252"/>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7C6B89"/>
    <w:rsid w:val="7C815D2A"/>
    <w:rsid w:val="7C831756"/>
    <w:rsid w:val="7CA67728"/>
    <w:rsid w:val="7CB62523"/>
    <w:rsid w:val="7CE70935"/>
    <w:rsid w:val="7CF84A31"/>
    <w:rsid w:val="7CFC44C2"/>
    <w:rsid w:val="7D013B39"/>
    <w:rsid w:val="7D0826CA"/>
    <w:rsid w:val="7D130509"/>
    <w:rsid w:val="7D182D5A"/>
    <w:rsid w:val="7D1946C0"/>
    <w:rsid w:val="7D2A5CCB"/>
    <w:rsid w:val="7D381F29"/>
    <w:rsid w:val="7D401C68"/>
    <w:rsid w:val="7D401CAA"/>
    <w:rsid w:val="7D4E195B"/>
    <w:rsid w:val="7D64087E"/>
    <w:rsid w:val="7D7A555A"/>
    <w:rsid w:val="7D7F5298"/>
    <w:rsid w:val="7D811243"/>
    <w:rsid w:val="7D8362BA"/>
    <w:rsid w:val="7DAB10BD"/>
    <w:rsid w:val="7DC96FB7"/>
    <w:rsid w:val="7DD7657D"/>
    <w:rsid w:val="7DF464FC"/>
    <w:rsid w:val="7E006A11"/>
    <w:rsid w:val="7E054F9B"/>
    <w:rsid w:val="7E0846A6"/>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ZTE1</cp:lastModifiedBy>
  <dcterms:modified xsi:type="dcterms:W3CDTF">2021-05-11T13:04:09Z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