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7EA26" w14:textId="2E6FC83E"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EE2E39">
        <w:rPr>
          <w:rFonts w:cs="Arial"/>
          <w:sz w:val="24"/>
          <w:szCs w:val="24"/>
          <w:lang w:val="de-DE"/>
        </w:rPr>
        <w:t>8</w:t>
      </w:r>
      <w:r w:rsidR="004C7F5D">
        <w:rPr>
          <w:rFonts w:cs="Arial"/>
          <w:sz w:val="24"/>
          <w:szCs w:val="24"/>
          <w:lang w:val="de-DE"/>
        </w:rPr>
        <w:t>bis</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Pr>
          <w:rFonts w:cs="Arial"/>
          <w:sz w:val="24"/>
          <w:szCs w:val="24"/>
          <w:lang w:val="de-DE"/>
        </w:rPr>
        <w:t>0</w:t>
      </w:r>
      <w:r w:rsidR="00466497">
        <w:rPr>
          <w:rFonts w:cs="Arial"/>
          <w:sz w:val="24"/>
          <w:szCs w:val="24"/>
          <w:lang w:val="de-DE"/>
        </w:rPr>
        <w:t>7354</w:t>
      </w:r>
    </w:p>
    <w:p w14:paraId="5A5E9D28" w14:textId="7B8503F4" w:rsidR="00A40206" w:rsidRPr="00DB3907" w:rsidRDefault="004C7F5D" w:rsidP="00A40206">
      <w:pPr>
        <w:pStyle w:val="Header"/>
        <w:tabs>
          <w:tab w:val="left" w:pos="6521"/>
        </w:tabs>
        <w:rPr>
          <w:rFonts w:cs="Arial"/>
          <w:sz w:val="24"/>
          <w:szCs w:val="24"/>
        </w:rPr>
      </w:pPr>
      <w:r>
        <w:rPr>
          <w:rFonts w:cs="Arial"/>
          <w:sz w:val="24"/>
          <w:szCs w:val="24"/>
        </w:rPr>
        <w:t>April</w:t>
      </w:r>
      <w:r w:rsidR="00A40206">
        <w:rPr>
          <w:rFonts w:cs="Arial"/>
          <w:sz w:val="24"/>
          <w:szCs w:val="24"/>
        </w:rPr>
        <w:t xml:space="preserve"> </w:t>
      </w:r>
      <w:r>
        <w:rPr>
          <w:rFonts w:cs="Arial"/>
          <w:sz w:val="24"/>
          <w:szCs w:val="24"/>
        </w:rPr>
        <w:t>12</w:t>
      </w:r>
      <w:r w:rsidR="00A40206">
        <w:rPr>
          <w:rFonts w:cs="Arial"/>
          <w:sz w:val="24"/>
          <w:szCs w:val="24"/>
          <w:vertAlign w:val="superscript"/>
        </w:rPr>
        <w:t>th</w:t>
      </w:r>
      <w:r w:rsidR="00A40206">
        <w:rPr>
          <w:rFonts w:cs="Arial"/>
          <w:sz w:val="24"/>
          <w:szCs w:val="24"/>
        </w:rPr>
        <w:t xml:space="preserve"> ‒ </w:t>
      </w:r>
      <w:r>
        <w:rPr>
          <w:rFonts w:cs="Arial"/>
          <w:sz w:val="24"/>
          <w:szCs w:val="24"/>
        </w:rPr>
        <w:t>20</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6703CC7A"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1C5356">
        <w:rPr>
          <w:rFonts w:ascii="Arial" w:hAnsi="Arial"/>
          <w:sz w:val="24"/>
          <w:lang w:val="en-US"/>
        </w:rPr>
        <w:t>9.4.4</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06799182"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D107FA">
        <w:rPr>
          <w:rFonts w:ascii="Arial" w:hAnsi="Arial"/>
          <w:sz w:val="24"/>
          <w:lang w:val="en-US"/>
        </w:rPr>
        <w:t>UE related considerations for PC2 FDD</w:t>
      </w:r>
      <w:r w:rsidR="00FF3818">
        <w:rPr>
          <w:rFonts w:ascii="Arial" w:hAnsi="Arial"/>
          <w:sz w:val="24"/>
          <w:lang w:val="en-US"/>
        </w:rPr>
        <w:t xml:space="preserve"> </w:t>
      </w:r>
    </w:p>
    <w:p w14:paraId="013F978F" w14:textId="19473D89"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4C776D">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55904905" w14:textId="1607AB14" w:rsidR="00EE2E39" w:rsidRDefault="00D107FA" w:rsidP="00676DCA">
      <w:pPr>
        <w:rPr>
          <w:lang w:val="en-US"/>
        </w:rPr>
      </w:pPr>
      <w:r>
        <w:rPr>
          <w:lang w:val="en-US"/>
        </w:rPr>
        <w:t>A Rel-17 study item is ongoing to investigate the possibility of power class 2 UE for on FDD band with 26 dBm maximum output power.  This contributions presents some of the UE considerations associated with PC2 for FDD.</w:t>
      </w:r>
    </w:p>
    <w:p w14:paraId="10F6602E" w14:textId="3FED651C" w:rsidR="007E1E78" w:rsidRDefault="007E1E78" w:rsidP="0099327E">
      <w:pPr>
        <w:pStyle w:val="Heading1"/>
        <w:tabs>
          <w:tab w:val="clear" w:pos="432"/>
          <w:tab w:val="num" w:pos="522"/>
        </w:tabs>
        <w:ind w:left="522" w:hanging="522"/>
        <w:rPr>
          <w:lang w:val="en-US"/>
        </w:rPr>
      </w:pPr>
      <w:r>
        <w:rPr>
          <w:lang w:val="en-US"/>
        </w:rPr>
        <w:t>Discussion</w:t>
      </w:r>
    </w:p>
    <w:p w14:paraId="06DB12AF" w14:textId="20B86EEA" w:rsidR="00C531FD" w:rsidRDefault="00D107FA" w:rsidP="00734AE2">
      <w:pPr>
        <w:rPr>
          <w:lang w:val="en-US"/>
        </w:rPr>
      </w:pPr>
      <w:r>
        <w:rPr>
          <w:lang w:val="en-US"/>
        </w:rPr>
        <w:t xml:space="preserve">Power class 2 HPUE was first introduced in 3GPP specifications in </w:t>
      </w:r>
      <w:r w:rsidRPr="00E4003D">
        <w:rPr>
          <w:lang w:val="en-US"/>
        </w:rPr>
        <w:t>Rel-</w:t>
      </w:r>
      <w:r w:rsidR="00E4003D" w:rsidRPr="00E4003D">
        <w:rPr>
          <w:lang w:val="en-US"/>
        </w:rPr>
        <w:t>10</w:t>
      </w:r>
      <w:r>
        <w:rPr>
          <w:lang w:val="en-US"/>
        </w:rPr>
        <w:t xml:space="preserve"> for LTE TDD starting with Band 41 but quickly extended to other bands as well.  Since then, PC2 has been specified </w:t>
      </w:r>
      <w:r w:rsidR="00C504CB">
        <w:rPr>
          <w:lang w:val="en-US"/>
        </w:rPr>
        <w:t xml:space="preserve">or is being considered </w:t>
      </w:r>
      <w:r>
        <w:rPr>
          <w:lang w:val="en-US"/>
        </w:rPr>
        <w:t>for NR TDD</w:t>
      </w:r>
      <w:r w:rsidR="00C504CB">
        <w:rPr>
          <w:lang w:val="en-US"/>
        </w:rPr>
        <w:t xml:space="preserve">, CA/DC TDD-TDD and FDD-TDD.  </w:t>
      </w:r>
      <w:r w:rsidR="00815D8C">
        <w:rPr>
          <w:lang w:val="en-US"/>
        </w:rPr>
        <w:t>Single carrier standalone FDD, however, is new.  Two unique aspects of FDD deserve further consideration when evaluating the feasibility for PC2 – duty cycle and noise.</w:t>
      </w:r>
    </w:p>
    <w:p w14:paraId="1B181617" w14:textId="5A9327F9" w:rsidR="00F90A30" w:rsidRDefault="00F90A30" w:rsidP="00815D8C">
      <w:pPr>
        <w:pStyle w:val="Heading2"/>
        <w:rPr>
          <w:lang w:val="en-US"/>
        </w:rPr>
      </w:pPr>
      <w:r>
        <w:rPr>
          <w:lang w:val="en-US"/>
        </w:rPr>
        <w:t>P-MPR</w:t>
      </w:r>
    </w:p>
    <w:p w14:paraId="5A716AE0" w14:textId="79574C7E" w:rsidR="00F90A30" w:rsidRPr="00F90A30" w:rsidRDefault="00F90A30" w:rsidP="00F90A30">
      <w:pPr>
        <w:rPr>
          <w:lang w:val="en-US"/>
        </w:rPr>
      </w:pPr>
      <w:r>
        <w:rPr>
          <w:lang w:val="en-US"/>
        </w:rPr>
        <w:t>Before discussion of duty cycle approaches, it is recognized that P-MPR is the default scheme by which the UE can control its transmission.  Power backoff by P-MPR is always available to the UE as needed to meet RF exposure limits.</w:t>
      </w:r>
    </w:p>
    <w:p w14:paraId="6E0C8CBB" w14:textId="330327BC" w:rsidR="00815D8C" w:rsidRDefault="00815D8C" w:rsidP="00815D8C">
      <w:pPr>
        <w:pStyle w:val="Heading2"/>
        <w:rPr>
          <w:lang w:val="en-US"/>
        </w:rPr>
      </w:pPr>
      <w:r>
        <w:rPr>
          <w:lang w:val="en-US"/>
        </w:rPr>
        <w:t>FDD duty cycle</w:t>
      </w:r>
    </w:p>
    <w:p w14:paraId="59441E4D" w14:textId="2FD0F4D2" w:rsidR="00815D8C" w:rsidRDefault="00815D8C" w:rsidP="00815D8C">
      <w:pPr>
        <w:rPr>
          <w:lang w:val="en-US"/>
        </w:rPr>
      </w:pPr>
      <w:r>
        <w:rPr>
          <w:lang w:val="en-US"/>
        </w:rPr>
        <w:t xml:space="preserve">Since the first introduction of PC2, it was recognized that one of the </w:t>
      </w:r>
      <w:r w:rsidR="004C6F36">
        <w:rPr>
          <w:lang w:val="en-US"/>
        </w:rPr>
        <w:t>prerequisites</w:t>
      </w:r>
      <w:r>
        <w:rPr>
          <w:lang w:val="en-US"/>
        </w:rPr>
        <w:t xml:space="preserve"> is a means to limit the uplink duty cycle in order to contain </w:t>
      </w:r>
      <w:r w:rsidR="00E83A56">
        <w:rPr>
          <w:lang w:val="en-US"/>
        </w:rPr>
        <w:t>SAR, thermal generation</w:t>
      </w:r>
      <w:r>
        <w:rPr>
          <w:lang w:val="en-US"/>
        </w:rPr>
        <w:t>, current consumption, and component integrity and reliability.  As a general rule-of-thumb, it has been understood that preserving an average power of 23 dBm</w:t>
      </w:r>
      <w:r w:rsidR="00E83A56">
        <w:rPr>
          <w:lang w:val="en-US"/>
        </w:rPr>
        <w:t xml:space="preserve"> can be used as a benchmark.  Hence, if 23 dBm continguous transmission can be maintained, then 26 dBm transmission with 50% </w:t>
      </w:r>
      <w:r w:rsidR="00647E62">
        <w:rPr>
          <w:lang w:val="en-US"/>
        </w:rPr>
        <w:t xml:space="preserve">ON/OFF </w:t>
      </w:r>
      <w:r w:rsidR="00E83A56">
        <w:rPr>
          <w:lang w:val="en-US"/>
        </w:rPr>
        <w:t xml:space="preserve">duty cycle, 29 dBm with 25% </w:t>
      </w:r>
      <w:r w:rsidR="00647E62">
        <w:rPr>
          <w:lang w:val="en-US"/>
        </w:rPr>
        <w:t xml:space="preserve">ON/OFF </w:t>
      </w:r>
      <w:r w:rsidR="00E83A56">
        <w:rPr>
          <w:lang w:val="en-US"/>
        </w:rPr>
        <w:t xml:space="preserve">duty cycle, etc. should also be sustainable.  For TDD waveforms, uplink duty cycle is easily managed and well understood by the UE with configuration of the UL/DL frame configuration.  However, for FDD, control of the duty cycle by the network and awareness of the duty cycle by the UE is more complex.  </w:t>
      </w:r>
      <w:r w:rsidR="004C6F36">
        <w:rPr>
          <w:lang w:val="en-US"/>
        </w:rPr>
        <w:t xml:space="preserve">Currently, there exists no mechanism to configure </w:t>
      </w:r>
      <w:r w:rsidR="008E3CB6">
        <w:rPr>
          <w:lang w:val="en-US"/>
        </w:rPr>
        <w:t>an</w:t>
      </w:r>
      <w:r w:rsidR="004C6F36">
        <w:rPr>
          <w:lang w:val="en-US"/>
        </w:rPr>
        <w:t xml:space="preserve"> NR FDD duty cycle</w:t>
      </w:r>
      <w:r w:rsidR="009D3BBF">
        <w:rPr>
          <w:lang w:val="en-US"/>
        </w:rPr>
        <w:t>, so the only option available is to tally uplink scheduling grants</w:t>
      </w:r>
      <w:r w:rsidR="00F90A30">
        <w:rPr>
          <w:lang w:val="en-US"/>
        </w:rPr>
        <w:t xml:space="preserve"> or actual transmissions</w:t>
      </w:r>
      <w:r w:rsidR="009D3BBF">
        <w:rPr>
          <w:lang w:val="en-US"/>
        </w:rPr>
        <w:t xml:space="preserve"> dynamically.</w:t>
      </w:r>
      <w:r w:rsidR="007363AF">
        <w:rPr>
          <w:lang w:val="en-US"/>
        </w:rPr>
        <w:t xml:space="preserve">  The approach used for FDD-TDD EN-DC</w:t>
      </w:r>
      <w:r w:rsidR="00F90A30">
        <w:rPr>
          <w:lang w:val="en-US"/>
        </w:rPr>
        <w:t xml:space="preserve"> is to count the number of UL symbols transmitted and characterize that as less than 40% or between 40 to 70% duty cycle over an unspecified observation window.  A similar approach can be followed here while acknowledging the disadvantages</w:t>
      </w:r>
    </w:p>
    <w:p w14:paraId="41F08EC7" w14:textId="2B0ADECC" w:rsidR="00F90A30" w:rsidRDefault="00F90A30" w:rsidP="00F90A30">
      <w:pPr>
        <w:pStyle w:val="ListParagraph"/>
        <w:numPr>
          <w:ilvl w:val="0"/>
          <w:numId w:val="29"/>
        </w:numPr>
        <w:rPr>
          <w:lang w:val="en-US"/>
        </w:rPr>
      </w:pPr>
      <w:r>
        <w:rPr>
          <w:lang w:val="en-US"/>
        </w:rPr>
        <w:t>The evaluation of duty cycle, i.e., counting of uplink symbols transmitted, is independent between the UE and the network.  There is no alignment or coordination at all, so there may be different interpretations of duty cycle between the UE and the network.</w:t>
      </w:r>
    </w:p>
    <w:p w14:paraId="26B4A2CB" w14:textId="2607EA43" w:rsidR="00F90A30" w:rsidRDefault="00F90A30" w:rsidP="00F90A30">
      <w:pPr>
        <w:pStyle w:val="ListParagraph"/>
        <w:numPr>
          <w:ilvl w:val="0"/>
          <w:numId w:val="29"/>
        </w:numPr>
        <w:rPr>
          <w:lang w:val="en-US"/>
        </w:rPr>
      </w:pPr>
      <w:r>
        <w:rPr>
          <w:lang w:val="en-US"/>
        </w:rPr>
        <w:t>The observation window over which duty cycle is evaluated is unspecified so long as it is at least the duration of one radio frame (10 ms).  This observation window both its starting time and duration are unknown to the network.</w:t>
      </w:r>
    </w:p>
    <w:p w14:paraId="72ABD527" w14:textId="297BC9E6" w:rsidR="00F90A30" w:rsidRPr="00F90A30" w:rsidRDefault="00F90A30" w:rsidP="00F90A30">
      <w:pPr>
        <w:pStyle w:val="ListParagraph"/>
        <w:numPr>
          <w:ilvl w:val="0"/>
          <w:numId w:val="29"/>
        </w:numPr>
        <w:rPr>
          <w:lang w:val="en-US"/>
        </w:rPr>
      </w:pPr>
      <w:r>
        <w:rPr>
          <w:lang w:val="en-US"/>
        </w:rPr>
        <w:t xml:space="preserve">The counting of uplink transmissions </w:t>
      </w:r>
      <w:r w:rsidR="00647E62">
        <w:rPr>
          <w:lang w:val="en-US"/>
        </w:rPr>
        <w:t xml:space="preserve">(ON/OFF) </w:t>
      </w:r>
      <w:r>
        <w:rPr>
          <w:lang w:val="en-US"/>
        </w:rPr>
        <w:t>disregards the actual power of the transmitted symbol so may be lead to unnecessary throttling of power.</w:t>
      </w:r>
    </w:p>
    <w:p w14:paraId="7DEA7880" w14:textId="5BC82EC4" w:rsidR="00F90A30" w:rsidRDefault="00F90A30" w:rsidP="00815D8C">
      <w:pPr>
        <w:rPr>
          <w:lang w:val="en-US"/>
        </w:rPr>
      </w:pPr>
      <w:r>
        <w:rPr>
          <w:lang w:val="en-US"/>
        </w:rPr>
        <w:t xml:space="preserve">For the case of single carrier NR FDD, an uplink duty cycle capability can be reported by the UE.  The network should ideally schedule uplink grants to the UE according to its reported capability, but in case the capability is exceeded, the UE is allowed (or mandated) to fall back to power class 3.  After some period of time when the uplink grants drop below the capability, the UE shall resume power class 2 operation.  </w:t>
      </w:r>
    </w:p>
    <w:p w14:paraId="29B6F2DD" w14:textId="22F4C322" w:rsidR="00F90A30" w:rsidRDefault="00F90A30" w:rsidP="00815D8C">
      <w:pPr>
        <w:rPr>
          <w:lang w:val="en-US"/>
        </w:rPr>
      </w:pPr>
      <w:r>
        <w:rPr>
          <w:lang w:val="en-US"/>
        </w:rPr>
        <w:lastRenderedPageBreak/>
        <w:t xml:space="preserve">Due to the disadvantages described above, the reporting of FDD duty cycle is subject to some degree of ambiguity.  The network and UE interpretation of duty cycle may differ so it may be difficult to optimally schedule the UE.  </w:t>
      </w:r>
      <w:r w:rsidR="008841D2">
        <w:rPr>
          <w:lang w:val="en-US"/>
        </w:rPr>
        <w:t>The observation window length (minimum 10 ms) may not be suitable to ensure reliability in front-end components subject to high power transmission.  While SAR time evalution windows are long, thermal buildup and its impact on reliability and long-term durability of front-end components may occur over a much shorter time interval.  Nonetheless, this approach provides a basic framework to control the FDD duty cycle</w:t>
      </w:r>
      <w:r w:rsidR="00647E62">
        <w:rPr>
          <w:lang w:val="en-US"/>
        </w:rPr>
        <w:t xml:space="preserve"> and 10 ms minimum observation window length can be taken as the starting point</w:t>
      </w:r>
      <w:r w:rsidR="008841D2">
        <w:rPr>
          <w:lang w:val="en-US"/>
        </w:rPr>
        <w:t>.</w:t>
      </w:r>
    </w:p>
    <w:p w14:paraId="42D213CA" w14:textId="7E79B35F" w:rsidR="004C776D" w:rsidRPr="004C776D" w:rsidRDefault="004C776D" w:rsidP="00815D8C">
      <w:pPr>
        <w:rPr>
          <w:b/>
          <w:bCs/>
          <w:lang w:val="en-US"/>
        </w:rPr>
      </w:pPr>
      <w:r w:rsidRPr="004C776D">
        <w:rPr>
          <w:b/>
          <w:bCs/>
          <w:lang w:val="en-US"/>
        </w:rPr>
        <w:t xml:space="preserve">Proposal:  FDD </w:t>
      </w:r>
      <w:r w:rsidR="00647E62">
        <w:rPr>
          <w:b/>
          <w:bCs/>
          <w:lang w:val="en-US"/>
        </w:rPr>
        <w:t xml:space="preserve">ON/OFF </w:t>
      </w:r>
      <w:r w:rsidRPr="004C776D">
        <w:rPr>
          <w:b/>
          <w:bCs/>
          <w:lang w:val="en-US"/>
        </w:rPr>
        <w:t xml:space="preserve">duty cycle control needs to be managed.  A mechanism where the maximum uplink duty cycle UE capability is reported and counted based on transmitted symbols should be defined.  The details are FFS. </w:t>
      </w:r>
    </w:p>
    <w:p w14:paraId="565B9466" w14:textId="3AABDC4B" w:rsidR="008841D2" w:rsidRDefault="008841D2" w:rsidP="008841D2">
      <w:pPr>
        <w:pStyle w:val="Heading2"/>
        <w:rPr>
          <w:lang w:val="en-US"/>
        </w:rPr>
      </w:pPr>
      <w:r>
        <w:rPr>
          <w:lang w:val="en-US"/>
        </w:rPr>
        <w:t>Transmitter noise impact</w:t>
      </w:r>
    </w:p>
    <w:p w14:paraId="7A142CE6" w14:textId="228C1BBA" w:rsidR="008841D2" w:rsidRDefault="008841D2" w:rsidP="00815D8C">
      <w:pPr>
        <w:rPr>
          <w:lang w:val="en-US"/>
        </w:rPr>
      </w:pPr>
      <w:r>
        <w:rPr>
          <w:lang w:val="en-US"/>
        </w:rPr>
        <w:t xml:space="preserve">While </w:t>
      </w:r>
      <w:r w:rsidR="00E278FB">
        <w:rPr>
          <w:lang w:val="en-US"/>
        </w:rPr>
        <w:t>for</w:t>
      </w:r>
      <w:r>
        <w:rPr>
          <w:lang w:val="en-US"/>
        </w:rPr>
        <w:t xml:space="preserve"> TDD the Tx and Rx operations are orthogonal in time, one important aspect that is different about FDD is the </w:t>
      </w:r>
      <w:r w:rsidR="00E278FB">
        <w:rPr>
          <w:lang w:val="en-US"/>
        </w:rPr>
        <w:t>concurrent</w:t>
      </w:r>
      <w:r>
        <w:rPr>
          <w:lang w:val="en-US"/>
        </w:rPr>
        <w:t xml:space="preserve"> Tx and Rx operation within the radio.  Consequently, noise from the transmitter can degrade performance of the receiver.  </w:t>
      </w:r>
      <w:r w:rsidR="00E278FB">
        <w:rPr>
          <w:lang w:val="en-US"/>
        </w:rPr>
        <w:t>Two primary sources of noise have been considered.  The first is the spectral regrowth from the Tx extending into the Rx channel.  The second is the Rx blocking and IP2 effect in the receiver due to nearby high power transmission</w:t>
      </w:r>
      <w:r w:rsidR="00F32200">
        <w:rPr>
          <w:lang w:val="en-US"/>
        </w:rPr>
        <w:t xml:space="preserve"> leaking into the front-end</w:t>
      </w:r>
      <w:r w:rsidR="00E278FB">
        <w:rPr>
          <w:lang w:val="en-US"/>
        </w:rPr>
        <w:t xml:space="preserve">.  Both of these effects are worsened when the transmit power is increased by 3 dB.  </w:t>
      </w:r>
      <w:r w:rsidR="00B01B62">
        <w:rPr>
          <w:lang w:val="en-US"/>
        </w:rPr>
        <w:t xml:space="preserve"> An evaluation into the increase in noise due to spectral regrowth in the receive band revealed approximately 5 dB of additional noise for Band n3 with </w:t>
      </w:r>
      <w:r w:rsidR="003A7DF7" w:rsidRPr="003A7DF7">
        <w:rPr>
          <w:lang w:val="en-US"/>
        </w:rPr>
        <w:t>50</w:t>
      </w:r>
      <w:r w:rsidR="00B01B62" w:rsidRPr="003A7DF7">
        <w:rPr>
          <w:lang w:val="en-US"/>
        </w:rPr>
        <w:t xml:space="preserve"> RB</w:t>
      </w:r>
      <w:r w:rsidR="003A7DF7" w:rsidRPr="003A7DF7">
        <w:rPr>
          <w:lang w:val="en-US"/>
        </w:rPr>
        <w:t>’s</w:t>
      </w:r>
      <w:r w:rsidR="00B01B62" w:rsidRPr="003A7DF7">
        <w:rPr>
          <w:lang w:val="en-US"/>
        </w:rPr>
        <w:t xml:space="preserve"> uplink</w:t>
      </w:r>
      <w:r w:rsidR="003A7DF7">
        <w:rPr>
          <w:lang w:val="en-US"/>
        </w:rPr>
        <w:t xml:space="preserve"> in a 20 MHz channel for 15 kHz SCS</w:t>
      </w:r>
      <w:r w:rsidR="00B01B62">
        <w:rPr>
          <w:lang w:val="en-US"/>
        </w:rPr>
        <w:t>.  For other bands</w:t>
      </w:r>
      <w:r w:rsidR="00647E62">
        <w:rPr>
          <w:lang w:val="en-US"/>
        </w:rPr>
        <w:t xml:space="preserve"> especially at lower frequency with narrow duplex separation</w:t>
      </w:r>
      <w:r w:rsidR="00B01B62">
        <w:rPr>
          <w:lang w:val="en-US"/>
        </w:rPr>
        <w:t>, the increase in noise could be even higher.</w:t>
      </w:r>
    </w:p>
    <w:p w14:paraId="6A537C73" w14:textId="4F4FD478" w:rsidR="00E278FB" w:rsidRDefault="00B01B62" w:rsidP="00815D8C">
      <w:pPr>
        <w:rPr>
          <w:lang w:val="en-US"/>
        </w:rPr>
      </w:pPr>
      <w:r>
        <w:rPr>
          <w:lang w:val="en-US"/>
        </w:rPr>
        <w:t xml:space="preserve">Two approaches can be considered – an implementation based solution or standards relaxation.  For an implementation-based solution, it </w:t>
      </w:r>
      <w:r w:rsidR="003A7DF7">
        <w:rPr>
          <w:lang w:val="en-US"/>
        </w:rPr>
        <w:t>may be possible</w:t>
      </w:r>
      <w:r>
        <w:rPr>
          <w:lang w:val="en-US"/>
        </w:rPr>
        <w:t xml:space="preserve"> to improve the noise performance of the transceiver and PA and receiver linearity and dynamic range, or the increase the filtering.  However, all of these potential improve</w:t>
      </w:r>
      <w:r w:rsidR="00F32200">
        <w:rPr>
          <w:lang w:val="en-US"/>
        </w:rPr>
        <w:t>ment</w:t>
      </w:r>
      <w:r>
        <w:rPr>
          <w:lang w:val="en-US"/>
        </w:rPr>
        <w:t xml:space="preserve">s come with a cost.  The cost usually manifests itself in terms of current consumption, larger footprint and size, insertion loss, as well as increased </w:t>
      </w:r>
      <w:r w:rsidR="00F32200">
        <w:rPr>
          <w:lang w:val="en-US"/>
        </w:rPr>
        <w:t>monetary</w:t>
      </w:r>
      <w:r>
        <w:rPr>
          <w:lang w:val="en-US"/>
        </w:rPr>
        <w:t xml:space="preserve"> cost of the solution.  These costs and tradeoffs may not be justified if the device rarely operates in the PC2 power regime due to SAR, thermal, etc., or network power control.  On the other hand, </w:t>
      </w:r>
      <w:r w:rsidR="00F32200">
        <w:rPr>
          <w:lang w:val="en-US"/>
        </w:rPr>
        <w:t xml:space="preserve">various forms of </w:t>
      </w:r>
      <w:r>
        <w:rPr>
          <w:lang w:val="en-US"/>
        </w:rPr>
        <w:t>standards relaxation</w:t>
      </w:r>
      <w:r w:rsidR="00F32200">
        <w:rPr>
          <w:lang w:val="en-US"/>
        </w:rPr>
        <w:t xml:space="preserve"> is</w:t>
      </w:r>
      <w:r>
        <w:rPr>
          <w:lang w:val="en-US"/>
        </w:rPr>
        <w:t xml:space="preserve"> another option.  </w:t>
      </w:r>
      <w:r w:rsidR="00E278FB">
        <w:rPr>
          <w:lang w:val="en-US"/>
        </w:rPr>
        <w:t>Some possible solutions</w:t>
      </w:r>
      <w:r>
        <w:rPr>
          <w:lang w:val="en-US"/>
        </w:rPr>
        <w:t xml:space="preserve"> include</w:t>
      </w:r>
    </w:p>
    <w:p w14:paraId="1C68C399" w14:textId="251F7106" w:rsidR="00E278FB" w:rsidRPr="003A7DF7" w:rsidRDefault="00E278FB" w:rsidP="00E278FB">
      <w:pPr>
        <w:pStyle w:val="ListParagraph"/>
        <w:numPr>
          <w:ilvl w:val="0"/>
          <w:numId w:val="30"/>
        </w:numPr>
        <w:rPr>
          <w:lang w:val="en-US"/>
        </w:rPr>
      </w:pPr>
      <w:r w:rsidRPr="003A7DF7">
        <w:rPr>
          <w:lang w:val="en-US"/>
        </w:rPr>
        <w:t>Reduce the Tx power for reference sensitivity back to PC3 power levels,</w:t>
      </w:r>
      <w:r w:rsidR="00D50887" w:rsidRPr="003A7DF7">
        <w:rPr>
          <w:lang w:val="en-US"/>
        </w:rPr>
        <w:t xml:space="preserve">   </w:t>
      </w:r>
    </w:p>
    <w:p w14:paraId="74D4B46A" w14:textId="501D60D3" w:rsidR="00E278FB" w:rsidRPr="003A7DF7" w:rsidRDefault="00E278FB" w:rsidP="00E278FB">
      <w:pPr>
        <w:pStyle w:val="ListParagraph"/>
        <w:numPr>
          <w:ilvl w:val="0"/>
          <w:numId w:val="30"/>
        </w:numPr>
        <w:rPr>
          <w:lang w:val="en-US"/>
        </w:rPr>
      </w:pPr>
      <w:r w:rsidRPr="003A7DF7">
        <w:rPr>
          <w:lang w:val="en-US"/>
        </w:rPr>
        <w:t>Reduce the uplink configuration (number of RB’s) for reference sensitivity,</w:t>
      </w:r>
      <w:r w:rsidR="00D50887" w:rsidRPr="003A7DF7">
        <w:rPr>
          <w:lang w:val="en-US"/>
        </w:rPr>
        <w:t xml:space="preserve">  </w:t>
      </w:r>
    </w:p>
    <w:p w14:paraId="7FE08356" w14:textId="2F65EAED" w:rsidR="00E278FB" w:rsidRPr="00E278FB" w:rsidRDefault="00E278FB" w:rsidP="00E278FB">
      <w:pPr>
        <w:pStyle w:val="ListParagraph"/>
        <w:numPr>
          <w:ilvl w:val="0"/>
          <w:numId w:val="30"/>
        </w:numPr>
        <w:rPr>
          <w:lang w:val="en-US"/>
        </w:rPr>
      </w:pPr>
      <w:r>
        <w:rPr>
          <w:lang w:val="en-US"/>
        </w:rPr>
        <w:t>Introduce an MSD term</w:t>
      </w:r>
    </w:p>
    <w:p w14:paraId="17B29EAE" w14:textId="1A536950" w:rsidR="008841D2" w:rsidRDefault="00B01B62" w:rsidP="00815D8C">
      <w:pPr>
        <w:rPr>
          <w:lang w:val="en-US"/>
        </w:rPr>
      </w:pPr>
      <w:r>
        <w:rPr>
          <w:lang w:val="en-US"/>
        </w:rPr>
        <w:t xml:space="preserve">The first option to reduce the Tx power back to PC3 power levels is the simplest one from a standardization workload perspective.  No additional evaluation is required to compute noise power, MSD, etc. and the solution can be applied to any band.  </w:t>
      </w:r>
      <w:r w:rsidR="003A7DF7">
        <w:rPr>
          <w:lang w:val="en-US"/>
        </w:rPr>
        <w:t xml:space="preserve">However, it is not testing the impact of PC2 at all if the transmitter is reduced back to PC3 power level.  </w:t>
      </w:r>
      <w:r>
        <w:rPr>
          <w:lang w:val="en-US"/>
        </w:rPr>
        <w:t>The second option to reduce the uplink configuration can also be straightforward, but there may be instances for bands with small duplex separation where lower order counter-IM and other such narrowband products still remain despite reducing the uplink configuration.  Also, reducing the uplink configuration does not address the increased receiver IP2 noise so there may still be receiver degradation present.  Finally, the introduction of an MSD requires the most work and must be done on a band-by-band basis, but may yield the most information about the performance of the device under PC2 configuration.</w:t>
      </w:r>
      <w:r w:rsidR="00F32200">
        <w:rPr>
          <w:lang w:val="en-US"/>
        </w:rPr>
        <w:t xml:space="preserve">  Moreover, MSD values are often very large and therefore do not provide useful input for a practical deployment scenario.</w:t>
      </w:r>
    </w:p>
    <w:p w14:paraId="65070CCB" w14:textId="21F76ADF" w:rsidR="003A7DF7" w:rsidRDefault="003A7DF7" w:rsidP="00815D8C">
      <w:pPr>
        <w:rPr>
          <w:lang w:val="en-US"/>
        </w:rPr>
      </w:pPr>
      <w:r>
        <w:rPr>
          <w:lang w:val="en-US"/>
        </w:rPr>
        <w:t xml:space="preserve">It is proposed to consider the second option.  Reducing the uplink configuration is already the approach taken to reduce uplink interference when testing reference sensitivity.  If possible, it would be convenient to derive a rule-of-thumb guideline on the uplink configuration for PC2 FDD reference sensitivity.  For example, for PC3 FDD reference sensitivity, </w:t>
      </w:r>
      <w:r w:rsidR="004C776D">
        <w:rPr>
          <w:lang w:val="en-US"/>
        </w:rPr>
        <w:t>a bandwidth normalized by the Tx-Rx separation</w:t>
      </w:r>
      <w:r w:rsidR="00CE146D">
        <w:rPr>
          <w:lang w:val="en-US"/>
        </w:rPr>
        <w:t xml:space="preserve"> </w:t>
      </w:r>
      <w:r w:rsidR="004C776D">
        <w:rPr>
          <w:lang w:val="en-US"/>
        </w:rPr>
        <w:t xml:space="preserve">has been used to set the uplink configuration </w:t>
      </w:r>
      <w:r w:rsidR="00CE146D">
        <w:rPr>
          <w:lang w:val="en-US"/>
        </w:rPr>
        <w:t xml:space="preserve">based on expected PA regrowth, duplexer isolation from Tx to Rx, and frequency separation.  </w:t>
      </w:r>
      <w:r w:rsidR="004C776D">
        <w:rPr>
          <w:lang w:val="en-US"/>
        </w:rPr>
        <w:t>A similar rule or an adjustment to the PC3 uplink configuration can be considered for PC2.</w:t>
      </w:r>
    </w:p>
    <w:p w14:paraId="23FA7C4C" w14:textId="1956B51B" w:rsidR="00CE146D" w:rsidRDefault="00840C47" w:rsidP="00815D8C">
      <w:pPr>
        <w:rPr>
          <w:b/>
          <w:bCs/>
          <w:lang w:val="en-US"/>
        </w:rPr>
      </w:pPr>
      <w:r w:rsidRPr="00840C47">
        <w:rPr>
          <w:b/>
          <w:bCs/>
          <w:lang w:val="en-US"/>
        </w:rPr>
        <w:t>Proposal:  Companies to evaluate a guideline for the uplink configuration for PC2 FDD reference sensitivity.</w:t>
      </w:r>
    </w:p>
    <w:p w14:paraId="2E6E89E0" w14:textId="43A4604F" w:rsidR="004C776D" w:rsidRPr="004C776D" w:rsidRDefault="004C776D" w:rsidP="00815D8C">
      <w:pPr>
        <w:rPr>
          <w:lang w:val="en-US"/>
        </w:rPr>
      </w:pPr>
      <w:r>
        <w:rPr>
          <w:lang w:val="en-US"/>
        </w:rPr>
        <w:t>In establishing the necessary RB restriction for PC2, it is not the intention that the entire maximum noise increase be relaxed by standards.  Instead, it is suggested that the UE should be able to accommodate some of the extra noise by implementation</w:t>
      </w:r>
      <w:r w:rsidR="0085370B">
        <w:rPr>
          <w:lang w:val="en-US"/>
        </w:rPr>
        <w:t>, although some standards relaxation would also be appropriate to strike a balance</w:t>
      </w:r>
      <w:r>
        <w:rPr>
          <w:lang w:val="en-US"/>
        </w:rPr>
        <w:t xml:space="preserve">.  </w:t>
      </w:r>
      <w:r w:rsidR="00F32200">
        <w:rPr>
          <w:lang w:val="en-US"/>
        </w:rPr>
        <w:t>This exact tradeoff is subject to further study as data becomes available.</w:t>
      </w:r>
    </w:p>
    <w:p w14:paraId="3F8BEA58" w14:textId="180B23A4" w:rsidR="009C37D0" w:rsidRDefault="00FA01C7" w:rsidP="009C37D0">
      <w:pPr>
        <w:pStyle w:val="Heading1"/>
        <w:tabs>
          <w:tab w:val="clear" w:pos="432"/>
          <w:tab w:val="num" w:pos="522"/>
        </w:tabs>
        <w:ind w:left="522" w:hanging="522"/>
        <w:rPr>
          <w:lang w:val="en-US"/>
        </w:rPr>
      </w:pPr>
      <w:r>
        <w:rPr>
          <w:lang w:val="en-US"/>
        </w:rPr>
        <w:lastRenderedPageBreak/>
        <w:t>Conclusion</w:t>
      </w:r>
    </w:p>
    <w:p w14:paraId="573D8992" w14:textId="3A96BB3B" w:rsidR="00FA23B9" w:rsidRDefault="00B01B62" w:rsidP="00FA23B9">
      <w:pPr>
        <w:rPr>
          <w:b/>
          <w:bCs/>
          <w:lang w:val="en-US"/>
        </w:rPr>
      </w:pPr>
      <w:r>
        <w:rPr>
          <w:lang w:val="en-US"/>
        </w:rPr>
        <w:t>This contribution has discussed two aspects for the UE supporting PC2 in FDD bands.  The first is the need to control the duty cycle of uplink transmissions.  This is a prerequisite to enable PC2 operation in the UE.  It is suggested that a capability reporting mechanism similar to that used for other PC2 single carrier, CA, or DC configurations can be used, but the disadvantages and ambiguities for FDD are listed.  The second is the transmitter noise impact on the FDD receiver when the transmit power is increased by 3 dB.  Options to address this, both in implementation and by standards relaxation are described.</w:t>
      </w:r>
      <w:r w:rsidR="004C776D">
        <w:rPr>
          <w:lang w:val="en-US"/>
        </w:rPr>
        <w:t xml:space="preserve">  As a </w:t>
      </w:r>
      <w:r w:rsidR="0085370B">
        <w:rPr>
          <w:lang w:val="en-US"/>
        </w:rPr>
        <w:t>compromise</w:t>
      </w:r>
      <w:r w:rsidR="004C776D">
        <w:rPr>
          <w:lang w:val="en-US"/>
        </w:rPr>
        <w:t xml:space="preserve"> between testability and the the work required to define MSD’s for every band, it is proposed to consider an uplink RB restriction that places some of the burden to UE implementation yet also provides standards relaxation.</w:t>
      </w:r>
    </w:p>
    <w:p w14:paraId="370EE77B" w14:textId="77777777" w:rsidR="0090577D" w:rsidRDefault="0090577D" w:rsidP="00505D2D">
      <w:pPr>
        <w:pStyle w:val="Heading1"/>
        <w:numPr>
          <w:ilvl w:val="0"/>
          <w:numId w:val="0"/>
        </w:numPr>
        <w:ind w:left="432" w:hanging="432"/>
        <w:rPr>
          <w:lang w:val="en-US"/>
        </w:rPr>
      </w:pPr>
      <w:r>
        <w:rPr>
          <w:lang w:val="en-US"/>
        </w:rPr>
        <w:t>Reference</w:t>
      </w:r>
    </w:p>
    <w:sectPr w:rsidR="0090577D"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2597FD" w14:textId="77777777" w:rsidR="00B6400E" w:rsidRDefault="00B6400E">
      <w:r>
        <w:separator/>
      </w:r>
    </w:p>
  </w:endnote>
  <w:endnote w:type="continuationSeparator" w:id="0">
    <w:p w14:paraId="46BE8FBC" w14:textId="77777777" w:rsidR="00B6400E" w:rsidRDefault="00B64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B15578" w14:textId="77777777" w:rsidR="00B6400E" w:rsidRDefault="00B6400E">
      <w:r>
        <w:separator/>
      </w:r>
    </w:p>
  </w:footnote>
  <w:footnote w:type="continuationSeparator" w:id="0">
    <w:p w14:paraId="4161C3B7" w14:textId="77777777" w:rsidR="00B6400E" w:rsidRDefault="00B640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CC27E4"/>
    <w:multiLevelType w:val="hybridMultilevel"/>
    <w:tmpl w:val="46744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AF3F26"/>
    <w:multiLevelType w:val="hybridMultilevel"/>
    <w:tmpl w:val="8C3C4B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8A1E53"/>
    <w:multiLevelType w:val="hybridMultilevel"/>
    <w:tmpl w:val="BB263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C915499"/>
    <w:multiLevelType w:val="hybridMultilevel"/>
    <w:tmpl w:val="AC000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E910A8B"/>
    <w:multiLevelType w:val="hybridMultilevel"/>
    <w:tmpl w:val="4FD61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23"/>
  </w:num>
  <w:num w:numId="4">
    <w:abstractNumId w:val="26"/>
  </w:num>
  <w:num w:numId="5">
    <w:abstractNumId w:val="18"/>
  </w:num>
  <w:num w:numId="6">
    <w:abstractNumId w:val="6"/>
  </w:num>
  <w:num w:numId="7">
    <w:abstractNumId w:val="2"/>
  </w:num>
  <w:num w:numId="8">
    <w:abstractNumId w:val="21"/>
  </w:num>
  <w:num w:numId="9">
    <w:abstractNumId w:val="7"/>
  </w:num>
  <w:num w:numId="10">
    <w:abstractNumId w:val="16"/>
  </w:num>
  <w:num w:numId="11">
    <w:abstractNumId w:val="28"/>
  </w:num>
  <w:num w:numId="12">
    <w:abstractNumId w:val="5"/>
  </w:num>
  <w:num w:numId="13">
    <w:abstractNumId w:val="15"/>
  </w:num>
  <w:num w:numId="14">
    <w:abstractNumId w:val="3"/>
  </w:num>
  <w:num w:numId="15">
    <w:abstractNumId w:val="14"/>
  </w:num>
  <w:num w:numId="16">
    <w:abstractNumId w:val="27"/>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3"/>
  </w:num>
  <w:num w:numId="19">
    <w:abstractNumId w:val="1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4"/>
  </w:num>
  <w:num w:numId="22">
    <w:abstractNumId w:val="8"/>
  </w:num>
  <w:num w:numId="23">
    <w:abstractNumId w:val="17"/>
  </w:num>
  <w:num w:numId="24">
    <w:abstractNumId w:val="24"/>
  </w:num>
  <w:num w:numId="25">
    <w:abstractNumId w:val="25"/>
  </w:num>
  <w:num w:numId="26">
    <w:abstractNumId w:val="22"/>
  </w:num>
  <w:num w:numId="27">
    <w:abstractNumId w:val="9"/>
  </w:num>
  <w:num w:numId="28">
    <w:abstractNumId w:val="1"/>
  </w:num>
  <w:num w:numId="29">
    <w:abstractNumId w:val="20"/>
  </w:num>
  <w:num w:numId="30">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495"/>
    <w:rsid w:val="00066EEB"/>
    <w:rsid w:val="000671C6"/>
    <w:rsid w:val="00067594"/>
    <w:rsid w:val="00070561"/>
    <w:rsid w:val="00070ECC"/>
    <w:rsid w:val="00072354"/>
    <w:rsid w:val="000724BF"/>
    <w:rsid w:val="00072597"/>
    <w:rsid w:val="000725AA"/>
    <w:rsid w:val="00072C4C"/>
    <w:rsid w:val="000733BA"/>
    <w:rsid w:val="000737DA"/>
    <w:rsid w:val="00074EBA"/>
    <w:rsid w:val="00074F2C"/>
    <w:rsid w:val="0007555F"/>
    <w:rsid w:val="00075AFE"/>
    <w:rsid w:val="00076DB9"/>
    <w:rsid w:val="000771C7"/>
    <w:rsid w:val="00077FE0"/>
    <w:rsid w:val="00081509"/>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3EA8"/>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007"/>
    <w:rsid w:val="00195150"/>
    <w:rsid w:val="00195E87"/>
    <w:rsid w:val="001968A7"/>
    <w:rsid w:val="00197D53"/>
    <w:rsid w:val="001A0786"/>
    <w:rsid w:val="001A1AB0"/>
    <w:rsid w:val="001A1B9D"/>
    <w:rsid w:val="001A1BED"/>
    <w:rsid w:val="001A1D6F"/>
    <w:rsid w:val="001A24F6"/>
    <w:rsid w:val="001A2832"/>
    <w:rsid w:val="001A2A7A"/>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356"/>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1E42"/>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697"/>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4C6"/>
    <w:rsid w:val="00230A56"/>
    <w:rsid w:val="00230C94"/>
    <w:rsid w:val="00230EB7"/>
    <w:rsid w:val="00230EC6"/>
    <w:rsid w:val="00230EC9"/>
    <w:rsid w:val="00230FED"/>
    <w:rsid w:val="00231333"/>
    <w:rsid w:val="00231913"/>
    <w:rsid w:val="0023377B"/>
    <w:rsid w:val="00233CFA"/>
    <w:rsid w:val="002348BC"/>
    <w:rsid w:val="00234C5F"/>
    <w:rsid w:val="00234F02"/>
    <w:rsid w:val="00235939"/>
    <w:rsid w:val="00236663"/>
    <w:rsid w:val="00236AFB"/>
    <w:rsid w:val="00236C6E"/>
    <w:rsid w:val="00236EB4"/>
    <w:rsid w:val="00237E42"/>
    <w:rsid w:val="0024005F"/>
    <w:rsid w:val="00240974"/>
    <w:rsid w:val="002420FA"/>
    <w:rsid w:val="0024341E"/>
    <w:rsid w:val="0024423D"/>
    <w:rsid w:val="00244AD5"/>
    <w:rsid w:val="00244CE5"/>
    <w:rsid w:val="00244E0D"/>
    <w:rsid w:val="00244EC5"/>
    <w:rsid w:val="00245579"/>
    <w:rsid w:val="002455BE"/>
    <w:rsid w:val="002460C4"/>
    <w:rsid w:val="002461C3"/>
    <w:rsid w:val="002470BB"/>
    <w:rsid w:val="002478CB"/>
    <w:rsid w:val="00247BC2"/>
    <w:rsid w:val="002501CF"/>
    <w:rsid w:val="002501EB"/>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CB3"/>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C034B"/>
    <w:rsid w:val="002C0E6F"/>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710A"/>
    <w:rsid w:val="00307F1E"/>
    <w:rsid w:val="00310331"/>
    <w:rsid w:val="00310352"/>
    <w:rsid w:val="0031040B"/>
    <w:rsid w:val="003109C2"/>
    <w:rsid w:val="00311D14"/>
    <w:rsid w:val="00312A91"/>
    <w:rsid w:val="00312EF8"/>
    <w:rsid w:val="003138A2"/>
    <w:rsid w:val="00313F7D"/>
    <w:rsid w:val="003149E9"/>
    <w:rsid w:val="00314DB7"/>
    <w:rsid w:val="00314F09"/>
    <w:rsid w:val="00315017"/>
    <w:rsid w:val="0031578D"/>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7B9"/>
    <w:rsid w:val="00327906"/>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63A"/>
    <w:rsid w:val="003517BE"/>
    <w:rsid w:val="00351CE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A7DF7"/>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C0E"/>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063"/>
    <w:rsid w:val="003F755E"/>
    <w:rsid w:val="003F77B5"/>
    <w:rsid w:val="00400048"/>
    <w:rsid w:val="004004FB"/>
    <w:rsid w:val="00400A7A"/>
    <w:rsid w:val="00400EC1"/>
    <w:rsid w:val="00401E4A"/>
    <w:rsid w:val="00401EAC"/>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852"/>
    <w:rsid w:val="00451B62"/>
    <w:rsid w:val="00452A81"/>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497"/>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D90"/>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6F36"/>
    <w:rsid w:val="004C72C7"/>
    <w:rsid w:val="004C776D"/>
    <w:rsid w:val="004C7862"/>
    <w:rsid w:val="004C7A22"/>
    <w:rsid w:val="004C7AF0"/>
    <w:rsid w:val="004C7F5D"/>
    <w:rsid w:val="004D0378"/>
    <w:rsid w:val="004D05DF"/>
    <w:rsid w:val="004D1346"/>
    <w:rsid w:val="004D1474"/>
    <w:rsid w:val="004D187C"/>
    <w:rsid w:val="004D2348"/>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0FB9"/>
    <w:rsid w:val="004F1DFD"/>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442"/>
    <w:rsid w:val="005167E8"/>
    <w:rsid w:val="005168FA"/>
    <w:rsid w:val="00516EF0"/>
    <w:rsid w:val="005174E2"/>
    <w:rsid w:val="005175F4"/>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3359"/>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596"/>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269"/>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D2B"/>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619"/>
    <w:rsid w:val="005E684F"/>
    <w:rsid w:val="005E6BCB"/>
    <w:rsid w:val="005E6F14"/>
    <w:rsid w:val="005E72EB"/>
    <w:rsid w:val="005E785C"/>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07B6A"/>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47E62"/>
    <w:rsid w:val="0065058F"/>
    <w:rsid w:val="0065097E"/>
    <w:rsid w:val="00650B89"/>
    <w:rsid w:val="00650F37"/>
    <w:rsid w:val="0065104B"/>
    <w:rsid w:val="00651DBD"/>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644"/>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1989"/>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7020"/>
    <w:rsid w:val="00707204"/>
    <w:rsid w:val="00707981"/>
    <w:rsid w:val="00707A97"/>
    <w:rsid w:val="00707D58"/>
    <w:rsid w:val="007108D8"/>
    <w:rsid w:val="007113BE"/>
    <w:rsid w:val="0071157E"/>
    <w:rsid w:val="00711F11"/>
    <w:rsid w:val="007120B2"/>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AE2"/>
    <w:rsid w:val="007363AF"/>
    <w:rsid w:val="00737096"/>
    <w:rsid w:val="0073715A"/>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2850"/>
    <w:rsid w:val="007A323B"/>
    <w:rsid w:val="007A393B"/>
    <w:rsid w:val="007A4322"/>
    <w:rsid w:val="007A4535"/>
    <w:rsid w:val="007A456B"/>
    <w:rsid w:val="007A4A27"/>
    <w:rsid w:val="007A5574"/>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5DF"/>
    <w:rsid w:val="007D47CD"/>
    <w:rsid w:val="007D4D07"/>
    <w:rsid w:val="007D5806"/>
    <w:rsid w:val="007D6988"/>
    <w:rsid w:val="007D6CE6"/>
    <w:rsid w:val="007D7E70"/>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2B"/>
    <w:rsid w:val="007F2B6A"/>
    <w:rsid w:val="007F3094"/>
    <w:rsid w:val="007F321F"/>
    <w:rsid w:val="007F406C"/>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D8C"/>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0C47"/>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70B"/>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537"/>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1D2"/>
    <w:rsid w:val="00884495"/>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67F"/>
    <w:rsid w:val="008939BE"/>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5C9"/>
    <w:rsid w:val="008C0BFD"/>
    <w:rsid w:val="008C10DA"/>
    <w:rsid w:val="008C12C5"/>
    <w:rsid w:val="008C23A2"/>
    <w:rsid w:val="008C23BB"/>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3CB6"/>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E34"/>
    <w:rsid w:val="008F2E41"/>
    <w:rsid w:val="008F33AA"/>
    <w:rsid w:val="008F38FD"/>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D51"/>
    <w:rsid w:val="009339EC"/>
    <w:rsid w:val="009340B4"/>
    <w:rsid w:val="00934277"/>
    <w:rsid w:val="009343B2"/>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58"/>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A95"/>
    <w:rsid w:val="00960905"/>
    <w:rsid w:val="00960B59"/>
    <w:rsid w:val="00960BC2"/>
    <w:rsid w:val="00960C08"/>
    <w:rsid w:val="00960E3B"/>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67E84"/>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6D6A"/>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BF"/>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1BC"/>
    <w:rsid w:val="009F230A"/>
    <w:rsid w:val="009F3232"/>
    <w:rsid w:val="009F4335"/>
    <w:rsid w:val="009F4336"/>
    <w:rsid w:val="009F4858"/>
    <w:rsid w:val="009F48F8"/>
    <w:rsid w:val="009F4942"/>
    <w:rsid w:val="009F5421"/>
    <w:rsid w:val="009F5E15"/>
    <w:rsid w:val="009F603A"/>
    <w:rsid w:val="009F6649"/>
    <w:rsid w:val="009F7216"/>
    <w:rsid w:val="009F7497"/>
    <w:rsid w:val="00A00386"/>
    <w:rsid w:val="00A0082C"/>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6D41"/>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63E"/>
    <w:rsid w:val="00A50898"/>
    <w:rsid w:val="00A5093A"/>
    <w:rsid w:val="00A50CEE"/>
    <w:rsid w:val="00A51BFF"/>
    <w:rsid w:val="00A51D95"/>
    <w:rsid w:val="00A520E1"/>
    <w:rsid w:val="00A5226F"/>
    <w:rsid w:val="00A52C37"/>
    <w:rsid w:val="00A52DD9"/>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3FA"/>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025D"/>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B62"/>
    <w:rsid w:val="00B01C49"/>
    <w:rsid w:val="00B01F88"/>
    <w:rsid w:val="00B02E4D"/>
    <w:rsid w:val="00B03160"/>
    <w:rsid w:val="00B035C5"/>
    <w:rsid w:val="00B044CF"/>
    <w:rsid w:val="00B044D9"/>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967"/>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00E"/>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6ECC"/>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6B4E"/>
    <w:rsid w:val="00C4707E"/>
    <w:rsid w:val="00C47419"/>
    <w:rsid w:val="00C504CB"/>
    <w:rsid w:val="00C5061E"/>
    <w:rsid w:val="00C50D18"/>
    <w:rsid w:val="00C517EC"/>
    <w:rsid w:val="00C51949"/>
    <w:rsid w:val="00C51D53"/>
    <w:rsid w:val="00C52110"/>
    <w:rsid w:val="00C524A8"/>
    <w:rsid w:val="00C52ABA"/>
    <w:rsid w:val="00C52CCA"/>
    <w:rsid w:val="00C531FD"/>
    <w:rsid w:val="00C53F79"/>
    <w:rsid w:val="00C541D2"/>
    <w:rsid w:val="00C542DD"/>
    <w:rsid w:val="00C546CB"/>
    <w:rsid w:val="00C5497A"/>
    <w:rsid w:val="00C55E50"/>
    <w:rsid w:val="00C56370"/>
    <w:rsid w:val="00C571F6"/>
    <w:rsid w:val="00C5751B"/>
    <w:rsid w:val="00C60DE1"/>
    <w:rsid w:val="00C6124F"/>
    <w:rsid w:val="00C615C8"/>
    <w:rsid w:val="00C61B32"/>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591"/>
    <w:rsid w:val="00C70762"/>
    <w:rsid w:val="00C7139B"/>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6FF"/>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181E"/>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46D"/>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7FA"/>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A8A"/>
    <w:rsid w:val="00D21CA2"/>
    <w:rsid w:val="00D21D17"/>
    <w:rsid w:val="00D21E5D"/>
    <w:rsid w:val="00D22CAC"/>
    <w:rsid w:val="00D22E7A"/>
    <w:rsid w:val="00D248F7"/>
    <w:rsid w:val="00D252E9"/>
    <w:rsid w:val="00D2558D"/>
    <w:rsid w:val="00D26312"/>
    <w:rsid w:val="00D26419"/>
    <w:rsid w:val="00D26485"/>
    <w:rsid w:val="00D268F8"/>
    <w:rsid w:val="00D273DE"/>
    <w:rsid w:val="00D274B0"/>
    <w:rsid w:val="00D2761C"/>
    <w:rsid w:val="00D2775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887"/>
    <w:rsid w:val="00D50BF9"/>
    <w:rsid w:val="00D51026"/>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3DC"/>
    <w:rsid w:val="00D60E23"/>
    <w:rsid w:val="00D62203"/>
    <w:rsid w:val="00D62E5B"/>
    <w:rsid w:val="00D6320B"/>
    <w:rsid w:val="00D63479"/>
    <w:rsid w:val="00D635E9"/>
    <w:rsid w:val="00D63DCB"/>
    <w:rsid w:val="00D64006"/>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6F4"/>
    <w:rsid w:val="00D82889"/>
    <w:rsid w:val="00D82950"/>
    <w:rsid w:val="00D82B34"/>
    <w:rsid w:val="00D82BB3"/>
    <w:rsid w:val="00D82CFB"/>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75D"/>
    <w:rsid w:val="00D9497B"/>
    <w:rsid w:val="00D94C42"/>
    <w:rsid w:val="00D95116"/>
    <w:rsid w:val="00D95406"/>
    <w:rsid w:val="00D95770"/>
    <w:rsid w:val="00D95EAB"/>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58D6"/>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43CE"/>
    <w:rsid w:val="00E246DB"/>
    <w:rsid w:val="00E24908"/>
    <w:rsid w:val="00E24A42"/>
    <w:rsid w:val="00E25241"/>
    <w:rsid w:val="00E26647"/>
    <w:rsid w:val="00E26A6F"/>
    <w:rsid w:val="00E26BEC"/>
    <w:rsid w:val="00E278FB"/>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37EB2"/>
    <w:rsid w:val="00E4003D"/>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2B8"/>
    <w:rsid w:val="00E81602"/>
    <w:rsid w:val="00E8199E"/>
    <w:rsid w:val="00E819BA"/>
    <w:rsid w:val="00E81CCA"/>
    <w:rsid w:val="00E82948"/>
    <w:rsid w:val="00E83311"/>
    <w:rsid w:val="00E83361"/>
    <w:rsid w:val="00E8344A"/>
    <w:rsid w:val="00E83905"/>
    <w:rsid w:val="00E83A56"/>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1929"/>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3F47"/>
    <w:rsid w:val="00F140FE"/>
    <w:rsid w:val="00F14195"/>
    <w:rsid w:val="00F1436C"/>
    <w:rsid w:val="00F1468E"/>
    <w:rsid w:val="00F1471D"/>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200"/>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288E"/>
    <w:rsid w:val="00F42BC0"/>
    <w:rsid w:val="00F434D7"/>
    <w:rsid w:val="00F437E7"/>
    <w:rsid w:val="00F44A09"/>
    <w:rsid w:val="00F453EE"/>
    <w:rsid w:val="00F45965"/>
    <w:rsid w:val="00F46FDC"/>
    <w:rsid w:val="00F47367"/>
    <w:rsid w:val="00F47CAD"/>
    <w:rsid w:val="00F50F32"/>
    <w:rsid w:val="00F5110D"/>
    <w:rsid w:val="00F51233"/>
    <w:rsid w:val="00F5187D"/>
    <w:rsid w:val="00F52547"/>
    <w:rsid w:val="00F52867"/>
    <w:rsid w:val="00F5292D"/>
    <w:rsid w:val="00F53A5A"/>
    <w:rsid w:val="00F53BC0"/>
    <w:rsid w:val="00F53EDA"/>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23BD"/>
    <w:rsid w:val="00F83452"/>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0A30"/>
    <w:rsid w:val="00F919B9"/>
    <w:rsid w:val="00F92025"/>
    <w:rsid w:val="00F925F8"/>
    <w:rsid w:val="00F928DB"/>
    <w:rsid w:val="00F937D3"/>
    <w:rsid w:val="00F94113"/>
    <w:rsid w:val="00F9451B"/>
    <w:rsid w:val="00F947C2"/>
    <w:rsid w:val="00F94B2B"/>
    <w:rsid w:val="00F94C27"/>
    <w:rsid w:val="00F95391"/>
    <w:rsid w:val="00F95D23"/>
    <w:rsid w:val="00F979B7"/>
    <w:rsid w:val="00F97C79"/>
    <w:rsid w:val="00F97E39"/>
    <w:rsid w:val="00FA01C7"/>
    <w:rsid w:val="00FA07B0"/>
    <w:rsid w:val="00FA0AAE"/>
    <w:rsid w:val="00FA0B3D"/>
    <w:rsid w:val="00FA10CA"/>
    <w:rsid w:val="00FA1345"/>
    <w:rsid w:val="00FA218E"/>
    <w:rsid w:val="00FA23B9"/>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5F"/>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066"/>
    <w:rsid w:val="00FC6354"/>
    <w:rsid w:val="00FC692F"/>
    <w:rsid w:val="00FC6995"/>
    <w:rsid w:val="00FC7EE0"/>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3499"/>
    <w:rsid w:val="00FE40E7"/>
    <w:rsid w:val="00FE434B"/>
    <w:rsid w:val="00FE451F"/>
    <w:rsid w:val="00FE4E88"/>
    <w:rsid w:val="00FE510C"/>
    <w:rsid w:val="00FE5D31"/>
    <w:rsid w:val="00FE69C5"/>
    <w:rsid w:val="00FE79E2"/>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675421111">
          <w:marLeft w:val="1080"/>
          <w:marRight w:val="0"/>
          <w:marTop w:val="100"/>
          <w:marBottom w:val="0"/>
          <w:divBdr>
            <w:top w:val="none" w:sz="0" w:space="0" w:color="auto"/>
            <w:left w:val="none" w:sz="0" w:space="0" w:color="auto"/>
            <w:bottom w:val="none" w:sz="0" w:space="0" w:color="auto"/>
            <w:right w:val="none" w:sz="0" w:space="0" w:color="auto"/>
          </w:divBdr>
        </w:div>
        <w:div w:id="116796539">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712341054">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36704216">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1402</Words>
  <Characters>7994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2021-04-02T22:04:00Z</dcterms:created>
  <dcterms:modified xsi:type="dcterms:W3CDTF">2021-04-02T22:04:00Z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