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74E0618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sidR="004C7F5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586EDD">
        <w:rPr>
          <w:rFonts w:cs="Arial"/>
          <w:sz w:val="24"/>
          <w:szCs w:val="24"/>
          <w:lang w:val="de-DE"/>
        </w:rPr>
        <w:t>7353</w:t>
      </w:r>
    </w:p>
    <w:p w14:paraId="5A5E9D28" w14:textId="7B8503F4" w:rsidR="00A40206" w:rsidRPr="00DB3907" w:rsidRDefault="004C7F5D" w:rsidP="00A40206">
      <w:pPr>
        <w:pStyle w:val="Header"/>
        <w:tabs>
          <w:tab w:val="left" w:pos="6521"/>
        </w:tabs>
        <w:rPr>
          <w:rFonts w:cs="Arial"/>
          <w:sz w:val="24"/>
          <w:szCs w:val="24"/>
        </w:rPr>
      </w:pPr>
      <w:r>
        <w:rPr>
          <w:rFonts w:cs="Arial"/>
          <w:sz w:val="24"/>
          <w:szCs w:val="24"/>
        </w:rPr>
        <w:t>April</w:t>
      </w:r>
      <w:r w:rsidR="00A40206">
        <w:rPr>
          <w:rFonts w:cs="Arial"/>
          <w:sz w:val="24"/>
          <w:szCs w:val="24"/>
        </w:rPr>
        <w:t xml:space="preserve"> </w:t>
      </w:r>
      <w:r>
        <w:rPr>
          <w:rFonts w:cs="Arial"/>
          <w:sz w:val="24"/>
          <w:szCs w:val="24"/>
        </w:rPr>
        <w:t>12</w:t>
      </w:r>
      <w:r w:rsidR="00A40206">
        <w:rPr>
          <w:rFonts w:cs="Arial"/>
          <w:sz w:val="24"/>
          <w:szCs w:val="24"/>
          <w:vertAlign w:val="superscript"/>
        </w:rPr>
        <w:t>th</w:t>
      </w:r>
      <w:r w:rsidR="00A40206">
        <w:rPr>
          <w:rFonts w:cs="Arial"/>
          <w:sz w:val="24"/>
          <w:szCs w:val="24"/>
        </w:rPr>
        <w:t xml:space="preserve"> ‒ </w:t>
      </w:r>
      <w:r>
        <w:rPr>
          <w:rFonts w:cs="Arial"/>
          <w:sz w:val="24"/>
          <w:szCs w:val="24"/>
        </w:rPr>
        <w:t>20</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57F9FD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22D28">
        <w:rPr>
          <w:rFonts w:ascii="Arial" w:hAnsi="Arial"/>
          <w:sz w:val="24"/>
          <w:lang w:val="en-US"/>
        </w:rPr>
        <w:t>7.40.2.1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7640DE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C7F5D">
        <w:rPr>
          <w:rFonts w:ascii="Arial" w:hAnsi="Arial"/>
          <w:sz w:val="24"/>
          <w:lang w:val="en-US"/>
        </w:rPr>
        <w:t xml:space="preserve">PC 1.5 </w:t>
      </w:r>
      <w:r w:rsidR="00EB7611">
        <w:rPr>
          <w:rFonts w:ascii="Arial" w:hAnsi="Arial"/>
          <w:sz w:val="24"/>
          <w:lang w:val="en-US"/>
        </w:rPr>
        <w:t>in Band n79</w:t>
      </w:r>
      <w:r w:rsidR="00FF3818">
        <w:rPr>
          <w:rFonts w:ascii="Arial" w:hAnsi="Arial"/>
          <w:sz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4976D6C" w14:textId="518FA6CE" w:rsidR="00F826CA" w:rsidRDefault="00F826CA" w:rsidP="00676DCA">
      <w:pPr>
        <w:rPr>
          <w:lang w:val="en-US"/>
        </w:rPr>
      </w:pPr>
      <w:r>
        <w:rPr>
          <w:lang w:val="en-US"/>
        </w:rPr>
        <w:t>A new work item to specify power class 1.5  in Band n79 was recently agreed [1].</w:t>
      </w:r>
      <w:r w:rsidR="00192538">
        <w:rPr>
          <w:lang w:val="en-US"/>
        </w:rPr>
        <w:t xml:space="preserve">  Many of the aspects already studied for PC 1.5 in Band n41 and under current study for PC 1.5 in Band n77 and n78 can be leveraged for Band n79.  However, there are also unique aspects for Band n79 that require further evaluation.</w:t>
      </w:r>
      <w:r w:rsidR="008D3BDE">
        <w:rPr>
          <w:lang w:val="en-US"/>
        </w:rPr>
        <w:t xml:space="preserve">  There is also a need to understand whether the existing requirements fulfill the needs of PC 1.5 in Band n79.</w:t>
      </w:r>
    </w:p>
    <w:p w14:paraId="10F6602E" w14:textId="7BEC79FB" w:rsidR="007E1E78" w:rsidRDefault="007E1E78" w:rsidP="0099327E">
      <w:pPr>
        <w:pStyle w:val="Heading1"/>
        <w:tabs>
          <w:tab w:val="clear" w:pos="432"/>
          <w:tab w:val="num" w:pos="522"/>
        </w:tabs>
        <w:ind w:left="522" w:hanging="522"/>
        <w:rPr>
          <w:lang w:val="en-US"/>
        </w:rPr>
      </w:pPr>
      <w:r>
        <w:rPr>
          <w:lang w:val="en-US"/>
        </w:rPr>
        <w:t>Discussion</w:t>
      </w:r>
    </w:p>
    <w:p w14:paraId="3A1079E3" w14:textId="31F007A4" w:rsidR="00192538" w:rsidRDefault="00192538" w:rsidP="00192538">
      <w:pPr>
        <w:rPr>
          <w:lang w:val="en-US"/>
        </w:rPr>
      </w:pPr>
      <w:r>
        <w:rPr>
          <w:lang w:val="en-US"/>
        </w:rPr>
        <w:t>The motivation for PC 1.5 as described in the WID [1] is to improve the uplink coverage especially in case the transmission bandwidth increases.  Both mobile handset devices and fixed wireless access (FWA) devices are within scope of the work item.  One aspect about Band n79 that is different is the higher frequency range from 4400 – 5000 MHz and the larger channel bandwidths – Band n79 does not support channel bandwidths smaller than 40 MHz.</w:t>
      </w:r>
    </w:p>
    <w:p w14:paraId="7FE62504" w14:textId="759D477D" w:rsidR="00192538" w:rsidRDefault="00192538" w:rsidP="00192538">
      <w:pPr>
        <w:pStyle w:val="Heading2"/>
        <w:rPr>
          <w:lang w:val="en-US"/>
        </w:rPr>
      </w:pPr>
      <w:r>
        <w:rPr>
          <w:lang w:val="en-US"/>
        </w:rPr>
        <w:t xml:space="preserve">MPR </w:t>
      </w:r>
    </w:p>
    <w:p w14:paraId="6061E443" w14:textId="5C52385E" w:rsidR="00192538" w:rsidRDefault="00192538" w:rsidP="00192538">
      <w:pPr>
        <w:rPr>
          <w:lang w:val="en-US"/>
        </w:rPr>
      </w:pPr>
      <w:r>
        <w:rPr>
          <w:lang w:val="en-US"/>
        </w:rPr>
        <w:t xml:space="preserve">MPR for PC 1.5 was specified </w:t>
      </w:r>
      <w:r w:rsidR="008D3BDE">
        <w:rPr>
          <w:lang w:val="en-US"/>
        </w:rPr>
        <w:t xml:space="preserve">using Band n41 for evaluation.  The MPR was determined based on measurements of Band n41 PA’s provided by multiple vendors </w:t>
      </w:r>
      <w:r w:rsidR="008D7D34">
        <w:rPr>
          <w:lang w:val="en-US"/>
        </w:rPr>
        <w:t>[2] – [5]</w:t>
      </w:r>
      <w:r w:rsidR="008D3BDE">
        <w:rPr>
          <w:lang w:val="en-US"/>
        </w:rPr>
        <w:t>.  The final outcome, however, was an MPR that reduces the effectiveness of PC 1.5.  The MPR is shown below</w:t>
      </w:r>
    </w:p>
    <w:p w14:paraId="0C5DA6DE" w14:textId="77777777" w:rsidR="00A16AC2" w:rsidRPr="001C0CC4" w:rsidRDefault="00A16AC2" w:rsidP="00A16AC2">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16AC2" w:rsidRPr="00406D8F" w14:paraId="08F1C557" w14:textId="77777777" w:rsidTr="00A61A7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FD73CFB" w14:textId="77777777" w:rsidR="00A16AC2" w:rsidRPr="00406D8F" w:rsidRDefault="00A16AC2" w:rsidP="00A61A7C">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F4B5B12" w14:textId="77777777" w:rsidR="00A16AC2" w:rsidRPr="00406D8F" w:rsidRDefault="00A16AC2" w:rsidP="00A61A7C">
            <w:pPr>
              <w:pStyle w:val="TAH"/>
            </w:pPr>
            <w:r w:rsidRPr="00406D8F">
              <w:t>MPR (dB)</w:t>
            </w:r>
          </w:p>
        </w:tc>
      </w:tr>
      <w:tr w:rsidR="00A16AC2" w:rsidRPr="00406D8F" w14:paraId="36653CC8" w14:textId="77777777" w:rsidTr="00A61A7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E2C6190" w14:textId="77777777" w:rsidR="00A16AC2" w:rsidRPr="00406D8F" w:rsidRDefault="00A16AC2" w:rsidP="00A61A7C">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7A7ABAD" w14:textId="77777777" w:rsidR="00A16AC2" w:rsidRPr="00406D8F" w:rsidRDefault="00A16AC2" w:rsidP="00A61A7C">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671E7F0" w14:textId="77777777" w:rsidR="00A16AC2" w:rsidRPr="00406D8F" w:rsidRDefault="00A16AC2" w:rsidP="00A61A7C">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ADB9EBA" w14:textId="77777777" w:rsidR="00A16AC2" w:rsidRPr="00406D8F" w:rsidRDefault="00A16AC2" w:rsidP="00A61A7C">
            <w:pPr>
              <w:pStyle w:val="TAH"/>
            </w:pPr>
            <w:r w:rsidRPr="00406D8F">
              <w:t>Inner RB allocations</w:t>
            </w:r>
          </w:p>
        </w:tc>
      </w:tr>
      <w:tr w:rsidR="00A16AC2" w:rsidRPr="00406D8F" w14:paraId="1A8BA60D" w14:textId="77777777" w:rsidTr="00A61A7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D99E1E" w14:textId="77777777" w:rsidR="00A16AC2" w:rsidRPr="00406D8F" w:rsidRDefault="00A16AC2" w:rsidP="00A61A7C">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0B93E075" w14:textId="77777777" w:rsidR="00A16AC2" w:rsidRPr="00406D8F" w:rsidRDefault="00A16AC2" w:rsidP="00A61A7C">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4316B023"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86FFB11" w14:textId="77777777" w:rsidR="00A16AC2" w:rsidRPr="00A119F6" w:rsidRDefault="00A16AC2" w:rsidP="00A61A7C">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5AFF9889" w14:textId="77777777" w:rsidR="00A16AC2" w:rsidRPr="00A119F6" w:rsidRDefault="00A16AC2" w:rsidP="00A61A7C">
            <w:pPr>
              <w:pStyle w:val="TAC"/>
              <w:rPr>
                <w:rFonts w:eastAsia="SimSun"/>
                <w:lang w:val="en-US"/>
              </w:rPr>
            </w:pPr>
            <w:r w:rsidRPr="00C81A8F">
              <w:t xml:space="preserve">≤ </w:t>
            </w:r>
            <w:r w:rsidRPr="00C81A8F">
              <w:rPr>
                <w:lang w:val="en-US"/>
              </w:rPr>
              <w:t>1.5</w:t>
            </w:r>
          </w:p>
        </w:tc>
      </w:tr>
      <w:tr w:rsidR="00A16AC2" w:rsidRPr="00406D8F" w14:paraId="21167211"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7A6DF1DF"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66E4FE35" w14:textId="77777777" w:rsidR="00A16AC2" w:rsidRPr="00406D8F" w:rsidRDefault="00A16AC2" w:rsidP="00A61A7C">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9F91D61"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4E9022E" w14:textId="77777777" w:rsidR="00A16AC2" w:rsidRPr="00A119F6" w:rsidRDefault="00A16AC2" w:rsidP="00A61A7C">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A0586EF" w14:textId="77777777" w:rsidR="00A16AC2" w:rsidRPr="00A119F6" w:rsidRDefault="00A16AC2" w:rsidP="00A61A7C">
            <w:pPr>
              <w:pStyle w:val="TAC"/>
              <w:rPr>
                <w:rFonts w:eastAsia="SimSun"/>
                <w:lang w:val="x-none"/>
              </w:rPr>
            </w:pPr>
            <w:r w:rsidRPr="00C81A8F">
              <w:t xml:space="preserve">≤ </w:t>
            </w:r>
            <w:r w:rsidRPr="00C81A8F">
              <w:rPr>
                <w:lang w:val="en-CA"/>
              </w:rPr>
              <w:t>1.5</w:t>
            </w:r>
          </w:p>
        </w:tc>
      </w:tr>
      <w:tr w:rsidR="00A16AC2" w:rsidRPr="00406D8F" w14:paraId="13D84536"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7522B796"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4FE9E549" w14:textId="77777777" w:rsidR="00A16AC2" w:rsidRPr="00406D8F" w:rsidRDefault="00A16AC2" w:rsidP="00A61A7C">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5B0DFBA8"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427C4994" w14:textId="77777777" w:rsidR="00A16AC2" w:rsidRPr="00A119F6" w:rsidRDefault="00A16AC2" w:rsidP="00A61A7C">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351F7BAC" w14:textId="77777777" w:rsidR="00A16AC2" w:rsidRPr="00A119F6" w:rsidRDefault="00A16AC2" w:rsidP="00A61A7C">
            <w:pPr>
              <w:pStyle w:val="TAC"/>
              <w:rPr>
                <w:rFonts w:eastAsia="SimSun"/>
                <w:lang w:val="x-none"/>
              </w:rPr>
            </w:pPr>
            <w:r w:rsidRPr="00C81A8F">
              <w:t xml:space="preserve">≤ </w:t>
            </w:r>
            <w:r w:rsidRPr="00C81A8F">
              <w:rPr>
                <w:lang w:val="en-CA"/>
              </w:rPr>
              <w:t>2.5</w:t>
            </w:r>
          </w:p>
        </w:tc>
      </w:tr>
      <w:tr w:rsidR="00A16AC2" w:rsidRPr="00406D8F" w14:paraId="552C82E7"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6AE3E648"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440644CD" w14:textId="77777777" w:rsidR="00A16AC2" w:rsidRPr="00406D8F" w:rsidRDefault="00A16AC2" w:rsidP="00A61A7C">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8A54FF"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8EBA363" w14:textId="77777777" w:rsidR="00A16AC2" w:rsidRPr="00A119F6" w:rsidRDefault="00A16AC2" w:rsidP="00A61A7C">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2E7E442" w14:textId="77777777" w:rsidR="00A16AC2" w:rsidRPr="00A119F6" w:rsidRDefault="00A16AC2" w:rsidP="00A61A7C">
            <w:pPr>
              <w:pStyle w:val="TAC"/>
              <w:rPr>
                <w:rFonts w:eastAsia="SimSun"/>
                <w:lang w:val="x-none"/>
              </w:rPr>
            </w:pPr>
            <w:r w:rsidRPr="00C81A8F">
              <w:t xml:space="preserve">≤ </w:t>
            </w:r>
            <w:r w:rsidRPr="00C81A8F">
              <w:rPr>
                <w:lang w:val="en-CA"/>
              </w:rPr>
              <w:t>4</w:t>
            </w:r>
          </w:p>
        </w:tc>
      </w:tr>
      <w:tr w:rsidR="00A16AC2" w:rsidRPr="00406D8F" w14:paraId="541AB6EB" w14:textId="77777777" w:rsidTr="00A61A7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7A6CA56" w14:textId="77777777" w:rsidR="00A16AC2" w:rsidRPr="00406D8F" w:rsidRDefault="00A16AC2" w:rsidP="00A61A7C">
            <w:pPr>
              <w:pStyle w:val="TAC"/>
            </w:pPr>
          </w:p>
        </w:tc>
        <w:tc>
          <w:tcPr>
            <w:tcW w:w="1154" w:type="dxa"/>
            <w:tcBorders>
              <w:top w:val="single" w:sz="4" w:space="0" w:color="auto"/>
              <w:left w:val="single" w:sz="4" w:space="0" w:color="auto"/>
              <w:bottom w:val="single" w:sz="4" w:space="0" w:color="auto"/>
              <w:right w:val="single" w:sz="4" w:space="0" w:color="auto"/>
            </w:tcBorders>
          </w:tcPr>
          <w:p w14:paraId="44AD06BB" w14:textId="77777777" w:rsidR="00A16AC2" w:rsidRPr="00406D8F" w:rsidRDefault="00A16AC2" w:rsidP="00A61A7C">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CE80455" w14:textId="77777777" w:rsidR="00A16AC2" w:rsidRPr="00A119F6" w:rsidRDefault="00A16AC2" w:rsidP="00A61A7C">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2BFB06E6" w14:textId="77777777" w:rsidR="00A16AC2" w:rsidRPr="00A119F6" w:rsidRDefault="00A16AC2" w:rsidP="00A61A7C">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58446D1C" w14:textId="77777777" w:rsidR="00A16AC2" w:rsidRPr="00A119F6" w:rsidRDefault="00A16AC2" w:rsidP="00A61A7C">
            <w:pPr>
              <w:pStyle w:val="TAC"/>
              <w:rPr>
                <w:rFonts w:eastAsia="SimSun"/>
                <w:lang w:val="x-none"/>
              </w:rPr>
            </w:pPr>
            <w:r w:rsidRPr="00C81A8F">
              <w:t xml:space="preserve">≤ </w:t>
            </w:r>
            <w:r w:rsidRPr="00C81A8F">
              <w:rPr>
                <w:lang w:val="en-CA"/>
              </w:rPr>
              <w:t>7.5</w:t>
            </w:r>
          </w:p>
        </w:tc>
      </w:tr>
      <w:tr w:rsidR="00A16AC2" w:rsidRPr="00406D8F" w14:paraId="0F6DFA75" w14:textId="77777777" w:rsidTr="00A61A7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FE836DB" w14:textId="77777777" w:rsidR="00A16AC2" w:rsidRPr="00406D8F" w:rsidRDefault="00A16AC2" w:rsidP="00A61A7C">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2A8D2F19" w14:textId="77777777" w:rsidR="00A16AC2" w:rsidRPr="00406D8F" w:rsidRDefault="00A16AC2" w:rsidP="00A61A7C">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0554AD20"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C824C57" w14:textId="77777777" w:rsidR="00A16AC2" w:rsidRPr="00A119F6" w:rsidRDefault="00A16AC2" w:rsidP="00A61A7C">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4DB7636C" w14:textId="77777777" w:rsidR="00A16AC2" w:rsidRPr="00A119F6" w:rsidRDefault="00A16AC2" w:rsidP="00A61A7C">
            <w:pPr>
              <w:pStyle w:val="TAC"/>
              <w:rPr>
                <w:rFonts w:eastAsia="SimSun"/>
                <w:lang w:val="x-none"/>
              </w:rPr>
            </w:pPr>
            <w:r w:rsidRPr="00C81A8F">
              <w:t>≤</w:t>
            </w:r>
            <w:r w:rsidRPr="00C81A8F">
              <w:rPr>
                <w:lang w:val="en-CA"/>
              </w:rPr>
              <w:t xml:space="preserve"> 3</w:t>
            </w:r>
          </w:p>
        </w:tc>
      </w:tr>
      <w:tr w:rsidR="00A16AC2" w:rsidRPr="00406D8F" w14:paraId="2C6B2E85"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092E1447" w14:textId="77777777" w:rsidR="00A16AC2" w:rsidRPr="00406D8F" w:rsidRDefault="00A16AC2" w:rsidP="00A61A7C">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7CC9CFE" w14:textId="77777777" w:rsidR="00A16AC2" w:rsidRPr="00406D8F" w:rsidRDefault="00A16AC2" w:rsidP="00A61A7C">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0FAF94C4" w14:textId="77777777" w:rsidR="00A16AC2" w:rsidRPr="00A119F6" w:rsidRDefault="00A16AC2" w:rsidP="00A61A7C">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DEAEA89" w14:textId="77777777" w:rsidR="00A16AC2" w:rsidRPr="00A119F6" w:rsidRDefault="00A16AC2" w:rsidP="00A61A7C">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1834609D" w14:textId="77777777" w:rsidR="00A16AC2" w:rsidRPr="00A119F6" w:rsidRDefault="00A16AC2" w:rsidP="00A61A7C">
            <w:pPr>
              <w:pStyle w:val="TAC"/>
              <w:rPr>
                <w:rFonts w:eastAsia="SimSun"/>
                <w:lang w:val="x-none"/>
              </w:rPr>
            </w:pPr>
            <w:r w:rsidRPr="00C81A8F">
              <w:t xml:space="preserve">≤ </w:t>
            </w:r>
            <w:r w:rsidRPr="00C81A8F">
              <w:rPr>
                <w:lang w:val="en-CA"/>
              </w:rPr>
              <w:t>3.5</w:t>
            </w:r>
          </w:p>
        </w:tc>
      </w:tr>
      <w:tr w:rsidR="00A16AC2" w:rsidRPr="00406D8F" w14:paraId="10867848" w14:textId="77777777" w:rsidTr="00A61A7C">
        <w:trPr>
          <w:jc w:val="center"/>
        </w:trPr>
        <w:tc>
          <w:tcPr>
            <w:tcW w:w="1153" w:type="dxa"/>
            <w:tcBorders>
              <w:top w:val="nil"/>
              <w:left w:val="single" w:sz="4" w:space="0" w:color="auto"/>
              <w:bottom w:val="nil"/>
              <w:right w:val="single" w:sz="4" w:space="0" w:color="auto"/>
            </w:tcBorders>
            <w:shd w:val="clear" w:color="auto" w:fill="auto"/>
            <w:hideMark/>
          </w:tcPr>
          <w:p w14:paraId="26E462BC" w14:textId="77777777" w:rsidR="00A16AC2" w:rsidRPr="00406D8F" w:rsidRDefault="00A16AC2" w:rsidP="00A61A7C">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2AC858A" w14:textId="77777777" w:rsidR="00A16AC2" w:rsidRPr="00406D8F" w:rsidRDefault="00A16AC2" w:rsidP="00A61A7C">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F8BBE4C" w14:textId="77777777" w:rsidR="00A16AC2" w:rsidRPr="00A119F6" w:rsidRDefault="00A16AC2" w:rsidP="00A61A7C">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F10482B" w14:textId="77777777" w:rsidR="00A16AC2" w:rsidRPr="00A119F6" w:rsidRDefault="00A16AC2" w:rsidP="00A61A7C">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6EAD7C4D" w14:textId="77777777" w:rsidR="00A16AC2" w:rsidRPr="00A119F6" w:rsidRDefault="00A16AC2" w:rsidP="00A61A7C">
            <w:pPr>
              <w:pStyle w:val="TAC"/>
              <w:rPr>
                <w:rFonts w:eastAsia="SimSun"/>
                <w:lang w:val="x-none"/>
              </w:rPr>
            </w:pPr>
            <w:r w:rsidRPr="00C81A8F">
              <w:t>≤</w:t>
            </w:r>
            <w:r w:rsidRPr="00C81A8F">
              <w:rPr>
                <w:lang w:val="en-CA"/>
              </w:rPr>
              <w:t xml:space="preserve"> 5</w:t>
            </w:r>
          </w:p>
        </w:tc>
      </w:tr>
      <w:tr w:rsidR="00A16AC2" w:rsidRPr="00406D8F" w14:paraId="2F05C503" w14:textId="77777777" w:rsidTr="00A61A7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1C121A0" w14:textId="77777777" w:rsidR="00A16AC2" w:rsidRPr="00406D8F" w:rsidRDefault="00A16AC2" w:rsidP="00A61A7C">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933A4D5" w14:textId="77777777" w:rsidR="00A16AC2" w:rsidRPr="00406D8F" w:rsidRDefault="00A16AC2" w:rsidP="00A61A7C">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D475194" w14:textId="77777777" w:rsidR="00A16AC2" w:rsidRPr="00A119F6" w:rsidRDefault="00A16AC2" w:rsidP="00A61A7C">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04115836" w14:textId="77777777" w:rsidR="00A16AC2" w:rsidRPr="00A119F6" w:rsidRDefault="00A16AC2" w:rsidP="00A61A7C">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2871C0FF" w14:textId="77777777" w:rsidR="00A16AC2" w:rsidRPr="00A119F6" w:rsidRDefault="00A16AC2" w:rsidP="00A61A7C">
            <w:pPr>
              <w:pStyle w:val="TAC"/>
              <w:rPr>
                <w:rFonts w:eastAsia="SimSun"/>
                <w:lang w:val="x-none"/>
              </w:rPr>
            </w:pPr>
            <w:r w:rsidRPr="00C81A8F">
              <w:t>≤</w:t>
            </w:r>
            <w:r w:rsidRPr="00C81A8F">
              <w:rPr>
                <w:lang w:val="en-CA"/>
              </w:rPr>
              <w:t xml:space="preserve"> 9.5</w:t>
            </w:r>
          </w:p>
        </w:tc>
      </w:tr>
    </w:tbl>
    <w:p w14:paraId="0B63DDC8" w14:textId="77777777" w:rsidR="00A16AC2" w:rsidRPr="001C0CC4" w:rsidRDefault="00A16AC2" w:rsidP="00A16AC2"/>
    <w:p w14:paraId="3FA7DC2D" w14:textId="6F349E2F" w:rsidR="00A16AC2" w:rsidRDefault="00A16AC2" w:rsidP="004322FC">
      <w:pPr>
        <w:rPr>
          <w:lang w:val="en-US"/>
        </w:rPr>
      </w:pPr>
      <w:r>
        <w:rPr>
          <w:lang w:val="en-US"/>
        </w:rPr>
        <w:t>It is easily observed that the specified MPR’s are significant; in fact, the allowed backoff for 256 QAM CP-OFDM is 9.5 dB which means that the 29 dBm maximum output power is reduced to 19.5 dBm when</w:t>
      </w:r>
      <w:r w:rsidR="00405EE1">
        <w:rPr>
          <w:lang w:val="en-US"/>
        </w:rPr>
        <w:t xml:space="preserve"> factoring in</w:t>
      </w:r>
      <w:r>
        <w:rPr>
          <w:lang w:val="en-US"/>
        </w:rPr>
        <w:t xml:space="preserve"> MPR.  It is also observed that there are no waveforms with zero MPR, so no waveform can reach 29 dBm maximum output power if the specified MPR is fully taken.  </w:t>
      </w:r>
    </w:p>
    <w:p w14:paraId="0161EBCF" w14:textId="28376AE0" w:rsidR="00A16AC2" w:rsidRDefault="00C61B32" w:rsidP="004322FC">
      <w:pPr>
        <w:rPr>
          <w:lang w:val="en-US"/>
        </w:rPr>
      </w:pPr>
      <w:r>
        <w:rPr>
          <w:lang w:val="en-US"/>
        </w:rPr>
        <w:t>Another</w:t>
      </w:r>
      <w:r w:rsidR="00A16AC2">
        <w:rPr>
          <w:lang w:val="en-US"/>
        </w:rPr>
        <w:t xml:space="preserve"> perspective is shown in the table below where the maximum output power benefit is shown </w:t>
      </w:r>
      <w:r>
        <w:rPr>
          <w:lang w:val="en-US"/>
        </w:rPr>
        <w:t>with</w:t>
      </w:r>
      <w:r w:rsidR="007A5574">
        <w:rPr>
          <w:lang w:val="en-US"/>
        </w:rPr>
        <w:t xml:space="preserve"> the migration from</w:t>
      </w:r>
      <w:r w:rsidR="00A16AC2">
        <w:rPr>
          <w:lang w:val="en-US"/>
        </w:rPr>
        <w:t xml:space="preserve"> PC3-to-PC2 and from PC2-to-PC1.5.  The benefit from PC3-to-PC2 is evident as most waveforms </w:t>
      </w:r>
      <w:r>
        <w:rPr>
          <w:lang w:val="en-US"/>
        </w:rPr>
        <w:t xml:space="preserve">(shaded in green) </w:t>
      </w:r>
      <w:r w:rsidR="007A5574">
        <w:rPr>
          <w:lang w:val="en-US"/>
        </w:rPr>
        <w:t xml:space="preserve">are able to realize the full 3 dB of gain </w:t>
      </w:r>
      <w:r w:rsidR="00405EE1">
        <w:rPr>
          <w:lang w:val="en-US"/>
        </w:rPr>
        <w:t xml:space="preserve">implied by the power class upgrade </w:t>
      </w:r>
      <w:r w:rsidR="007A5574">
        <w:rPr>
          <w:lang w:val="en-US"/>
        </w:rPr>
        <w:t>except for edge waveforms</w:t>
      </w:r>
      <w:r>
        <w:rPr>
          <w:lang w:val="en-US"/>
        </w:rPr>
        <w:t xml:space="preserve"> with DFT-S-OFDM and lower order modulations</w:t>
      </w:r>
      <w:r w:rsidR="007A5574">
        <w:rPr>
          <w:lang w:val="en-US"/>
        </w:rPr>
        <w:t xml:space="preserve">.  Hence, the value of PC2 is clear and </w:t>
      </w:r>
      <w:r>
        <w:rPr>
          <w:lang w:val="en-US"/>
        </w:rPr>
        <w:t xml:space="preserve">both </w:t>
      </w:r>
      <w:r w:rsidR="007A5574">
        <w:rPr>
          <w:lang w:val="en-US"/>
        </w:rPr>
        <w:t xml:space="preserve">its </w:t>
      </w:r>
      <w:r>
        <w:rPr>
          <w:lang w:val="en-US"/>
        </w:rPr>
        <w:t xml:space="preserve">relevance in standardization and its </w:t>
      </w:r>
      <w:r w:rsidR="007A5574">
        <w:rPr>
          <w:lang w:val="en-US"/>
        </w:rPr>
        <w:t>penetration in devices continues to grow</w:t>
      </w:r>
      <w:r>
        <w:rPr>
          <w:lang w:val="en-US"/>
        </w:rPr>
        <w:t xml:space="preserve"> since its first introduction</w:t>
      </w:r>
      <w:r w:rsidR="004F1FE1">
        <w:rPr>
          <w:lang w:val="en-US"/>
        </w:rPr>
        <w:t xml:space="preserve"> to LTE</w:t>
      </w:r>
      <w:r>
        <w:rPr>
          <w:lang w:val="en-US"/>
        </w:rPr>
        <w:t xml:space="preserve"> in </w:t>
      </w:r>
      <w:r w:rsidRPr="004F1FE1">
        <w:rPr>
          <w:lang w:val="en-US"/>
        </w:rPr>
        <w:t>Rel-</w:t>
      </w:r>
      <w:r w:rsidR="004F1FE1" w:rsidRPr="004F1FE1">
        <w:rPr>
          <w:lang w:val="en-US"/>
        </w:rPr>
        <w:t>10</w:t>
      </w:r>
      <w:r w:rsidR="007A5574" w:rsidRPr="004F1FE1">
        <w:rPr>
          <w:lang w:val="en-US"/>
        </w:rPr>
        <w:t>.</w:t>
      </w:r>
      <w:r w:rsidR="007A5574">
        <w:rPr>
          <w:lang w:val="en-US"/>
        </w:rPr>
        <w:t xml:space="preserve">  In sharp contrast the benefit for PC2-to-PC1.5 is mostly </w:t>
      </w:r>
      <w:r w:rsidR="007F2243">
        <w:rPr>
          <w:lang w:val="en-US"/>
        </w:rPr>
        <w:t>non-existent</w:t>
      </w:r>
      <w:r w:rsidR="00405EE1">
        <w:rPr>
          <w:lang w:val="en-US"/>
        </w:rPr>
        <w:t xml:space="preserve"> as specified</w:t>
      </w:r>
      <w:r w:rsidR="007A5574">
        <w:rPr>
          <w:lang w:val="en-US"/>
        </w:rPr>
        <w:t>.  For most waveforms</w:t>
      </w:r>
      <w:r>
        <w:rPr>
          <w:lang w:val="en-US"/>
        </w:rPr>
        <w:t xml:space="preserve"> (shaded in yellow)</w:t>
      </w:r>
      <w:r w:rsidR="007A5574">
        <w:rPr>
          <w:lang w:val="en-US"/>
        </w:rPr>
        <w:t xml:space="preserve">, there is no </w:t>
      </w:r>
      <w:r w:rsidR="007A5574">
        <w:rPr>
          <w:lang w:val="en-US"/>
        </w:rPr>
        <w:lastRenderedPageBreak/>
        <w:t xml:space="preserve">maximum output power increase </w:t>
      </w:r>
      <w:r>
        <w:rPr>
          <w:lang w:val="en-US"/>
        </w:rPr>
        <w:t xml:space="preserve">at all </w:t>
      </w:r>
      <w:r w:rsidR="007A5574">
        <w:rPr>
          <w:lang w:val="en-US"/>
        </w:rPr>
        <w:t>despite populating two PC2 PA’s on the device to enable PC 1.5 compared to PC2.  Only for inner waveforms is there a modest 1.5 dB of gain.</w:t>
      </w:r>
    </w:p>
    <w:tbl>
      <w:tblPr>
        <w:tblW w:w="8242" w:type="dxa"/>
        <w:jc w:val="center"/>
        <w:tblLook w:val="04A0" w:firstRow="1" w:lastRow="0" w:firstColumn="1" w:lastColumn="0" w:noHBand="0" w:noVBand="1"/>
      </w:tblPr>
      <w:tblGrid>
        <w:gridCol w:w="1280"/>
        <w:gridCol w:w="960"/>
        <w:gridCol w:w="884"/>
        <w:gridCol w:w="1045"/>
        <w:gridCol w:w="952"/>
        <w:gridCol w:w="253"/>
        <w:gridCol w:w="884"/>
        <w:gridCol w:w="1045"/>
        <w:gridCol w:w="952"/>
      </w:tblGrid>
      <w:tr w:rsidR="00C61B32" w:rsidRPr="00C61B32" w14:paraId="55E80AED" w14:textId="77777777" w:rsidTr="00C61B32">
        <w:trPr>
          <w:trHeight w:val="300"/>
          <w:jc w:val="center"/>
        </w:trPr>
        <w:tc>
          <w:tcPr>
            <w:tcW w:w="1280" w:type="dxa"/>
            <w:tcBorders>
              <w:top w:val="nil"/>
              <w:left w:val="nil"/>
              <w:bottom w:val="nil"/>
              <w:right w:val="nil"/>
            </w:tcBorders>
            <w:shd w:val="clear" w:color="auto" w:fill="auto"/>
            <w:noWrap/>
            <w:vAlign w:val="bottom"/>
            <w:hideMark/>
          </w:tcPr>
          <w:p w14:paraId="3392244C" w14:textId="77777777" w:rsidR="00C61B32" w:rsidRPr="00C61B32" w:rsidRDefault="00C61B32" w:rsidP="00C61B32">
            <w:pPr>
              <w:spacing w:after="0"/>
              <w:rPr>
                <w:sz w:val="16"/>
                <w:szCs w:val="16"/>
                <w:lang w:val="en-US"/>
              </w:rPr>
            </w:pPr>
          </w:p>
        </w:tc>
        <w:tc>
          <w:tcPr>
            <w:tcW w:w="960" w:type="dxa"/>
            <w:tcBorders>
              <w:top w:val="nil"/>
              <w:left w:val="nil"/>
              <w:bottom w:val="nil"/>
              <w:right w:val="nil"/>
            </w:tcBorders>
            <w:shd w:val="clear" w:color="auto" w:fill="auto"/>
            <w:noWrap/>
            <w:vAlign w:val="bottom"/>
            <w:hideMark/>
          </w:tcPr>
          <w:p w14:paraId="08875905" w14:textId="77777777" w:rsidR="00C61B32" w:rsidRPr="00C61B32" w:rsidRDefault="00C61B32" w:rsidP="00C61B32">
            <w:pPr>
              <w:spacing w:after="0"/>
              <w:rPr>
                <w:sz w:val="16"/>
                <w:szCs w:val="16"/>
                <w:lang w:val="en-US"/>
              </w:rPr>
            </w:pPr>
          </w:p>
        </w:tc>
        <w:tc>
          <w:tcPr>
            <w:tcW w:w="28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ECD63"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PC3 -&gt; PC2</w:t>
            </w:r>
          </w:p>
        </w:tc>
        <w:tc>
          <w:tcPr>
            <w:tcW w:w="240" w:type="dxa"/>
            <w:tcBorders>
              <w:top w:val="nil"/>
              <w:left w:val="nil"/>
              <w:bottom w:val="nil"/>
              <w:right w:val="nil"/>
            </w:tcBorders>
            <w:shd w:val="clear" w:color="auto" w:fill="auto"/>
            <w:noWrap/>
            <w:vAlign w:val="bottom"/>
            <w:hideMark/>
          </w:tcPr>
          <w:p w14:paraId="74CA2E1F" w14:textId="77777777" w:rsidR="00C61B32" w:rsidRPr="00C61B32" w:rsidRDefault="00C61B32" w:rsidP="00C61B32">
            <w:pPr>
              <w:spacing w:after="0"/>
              <w:jc w:val="center"/>
              <w:rPr>
                <w:rFonts w:ascii="Calibri" w:hAnsi="Calibri" w:cs="Calibri"/>
                <w:color w:val="000000"/>
                <w:sz w:val="16"/>
                <w:szCs w:val="16"/>
                <w:lang w:val="en-US"/>
              </w:rPr>
            </w:pPr>
          </w:p>
        </w:tc>
        <w:tc>
          <w:tcPr>
            <w:tcW w:w="28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84F54"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PC2 -&gt; PC 1.5</w:t>
            </w:r>
          </w:p>
        </w:tc>
      </w:tr>
      <w:tr w:rsidR="00C61B32" w:rsidRPr="00C61B32" w14:paraId="120DD429" w14:textId="77777777" w:rsidTr="00C61B32">
        <w:trPr>
          <w:trHeight w:val="300"/>
          <w:jc w:val="center"/>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815E4" w14:textId="77777777" w:rsidR="00C61B32" w:rsidRPr="00C61B32" w:rsidRDefault="00C61B32" w:rsidP="00C61B32">
            <w:pPr>
              <w:spacing w:after="0"/>
              <w:rPr>
                <w:rFonts w:ascii="Calibri" w:hAnsi="Calibri" w:cs="Calibri"/>
                <w:b/>
                <w:bCs/>
                <w:color w:val="000000"/>
                <w:sz w:val="16"/>
                <w:szCs w:val="16"/>
                <w:lang w:val="en-US"/>
              </w:rPr>
            </w:pPr>
            <w:r w:rsidRPr="00C61B32">
              <w:rPr>
                <w:rFonts w:ascii="Calibri" w:hAnsi="Calibri" w:cs="Calibri"/>
                <w:b/>
                <w:bCs/>
                <w:color w:val="000000"/>
                <w:sz w:val="16"/>
                <w:szCs w:val="16"/>
                <w:lang w:val="en-U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6CA5F7"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884" w:type="dxa"/>
            <w:tcBorders>
              <w:top w:val="nil"/>
              <w:left w:val="nil"/>
              <w:bottom w:val="single" w:sz="4" w:space="0" w:color="auto"/>
              <w:right w:val="single" w:sz="4" w:space="0" w:color="auto"/>
            </w:tcBorders>
            <w:shd w:val="clear" w:color="auto" w:fill="auto"/>
            <w:noWrap/>
            <w:vAlign w:val="bottom"/>
            <w:hideMark/>
          </w:tcPr>
          <w:p w14:paraId="1427E247"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Edge</w:t>
            </w:r>
          </w:p>
        </w:tc>
        <w:tc>
          <w:tcPr>
            <w:tcW w:w="1045" w:type="dxa"/>
            <w:tcBorders>
              <w:top w:val="nil"/>
              <w:left w:val="nil"/>
              <w:bottom w:val="single" w:sz="4" w:space="0" w:color="auto"/>
              <w:right w:val="single" w:sz="4" w:space="0" w:color="auto"/>
            </w:tcBorders>
            <w:shd w:val="clear" w:color="auto" w:fill="auto"/>
            <w:noWrap/>
            <w:vAlign w:val="bottom"/>
            <w:hideMark/>
          </w:tcPr>
          <w:p w14:paraId="592086B2"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Outer</w:t>
            </w:r>
          </w:p>
        </w:tc>
        <w:tc>
          <w:tcPr>
            <w:tcW w:w="952" w:type="dxa"/>
            <w:tcBorders>
              <w:top w:val="nil"/>
              <w:left w:val="nil"/>
              <w:bottom w:val="single" w:sz="4" w:space="0" w:color="auto"/>
              <w:right w:val="single" w:sz="4" w:space="0" w:color="auto"/>
            </w:tcBorders>
            <w:shd w:val="clear" w:color="auto" w:fill="auto"/>
            <w:noWrap/>
            <w:vAlign w:val="bottom"/>
            <w:hideMark/>
          </w:tcPr>
          <w:p w14:paraId="4FDC50C0"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Inner</w:t>
            </w:r>
          </w:p>
        </w:tc>
        <w:tc>
          <w:tcPr>
            <w:tcW w:w="240" w:type="dxa"/>
            <w:tcBorders>
              <w:top w:val="single" w:sz="4" w:space="0" w:color="auto"/>
              <w:left w:val="nil"/>
              <w:bottom w:val="single" w:sz="4" w:space="0" w:color="auto"/>
              <w:right w:val="single" w:sz="4" w:space="0" w:color="auto"/>
            </w:tcBorders>
            <w:shd w:val="clear" w:color="auto" w:fill="auto"/>
            <w:noWrap/>
            <w:vAlign w:val="bottom"/>
            <w:hideMark/>
          </w:tcPr>
          <w:p w14:paraId="5212B9C7"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884" w:type="dxa"/>
            <w:tcBorders>
              <w:top w:val="nil"/>
              <w:left w:val="nil"/>
              <w:bottom w:val="single" w:sz="4" w:space="0" w:color="auto"/>
              <w:right w:val="single" w:sz="4" w:space="0" w:color="auto"/>
            </w:tcBorders>
            <w:shd w:val="clear" w:color="auto" w:fill="auto"/>
            <w:noWrap/>
            <w:vAlign w:val="bottom"/>
            <w:hideMark/>
          </w:tcPr>
          <w:p w14:paraId="336DF3F1"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Edge</w:t>
            </w:r>
          </w:p>
        </w:tc>
        <w:tc>
          <w:tcPr>
            <w:tcW w:w="1045" w:type="dxa"/>
            <w:tcBorders>
              <w:top w:val="nil"/>
              <w:left w:val="nil"/>
              <w:bottom w:val="single" w:sz="4" w:space="0" w:color="auto"/>
              <w:right w:val="single" w:sz="4" w:space="0" w:color="auto"/>
            </w:tcBorders>
            <w:shd w:val="clear" w:color="auto" w:fill="auto"/>
            <w:noWrap/>
            <w:vAlign w:val="bottom"/>
            <w:hideMark/>
          </w:tcPr>
          <w:p w14:paraId="1C342691"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Outer</w:t>
            </w:r>
          </w:p>
        </w:tc>
        <w:tc>
          <w:tcPr>
            <w:tcW w:w="952" w:type="dxa"/>
            <w:tcBorders>
              <w:top w:val="nil"/>
              <w:left w:val="nil"/>
              <w:bottom w:val="single" w:sz="4" w:space="0" w:color="auto"/>
              <w:right w:val="single" w:sz="4" w:space="0" w:color="auto"/>
            </w:tcBorders>
            <w:shd w:val="clear" w:color="auto" w:fill="auto"/>
            <w:noWrap/>
            <w:vAlign w:val="bottom"/>
            <w:hideMark/>
          </w:tcPr>
          <w:p w14:paraId="17B83D21"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Inner</w:t>
            </w:r>
          </w:p>
        </w:tc>
      </w:tr>
      <w:tr w:rsidR="00C61B32" w:rsidRPr="00C61B32" w14:paraId="2A2E5B1D" w14:textId="77777777" w:rsidTr="00C61B32">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noWrap/>
            <w:hideMark/>
          </w:tcPr>
          <w:p w14:paraId="3790F313"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DFT-S-OFDM</w:t>
            </w:r>
          </w:p>
        </w:tc>
        <w:tc>
          <w:tcPr>
            <w:tcW w:w="960" w:type="dxa"/>
            <w:tcBorders>
              <w:top w:val="nil"/>
              <w:left w:val="nil"/>
              <w:bottom w:val="single" w:sz="4" w:space="0" w:color="auto"/>
              <w:right w:val="single" w:sz="4" w:space="0" w:color="auto"/>
            </w:tcBorders>
            <w:shd w:val="clear" w:color="auto" w:fill="auto"/>
            <w:noWrap/>
            <w:vAlign w:val="bottom"/>
            <w:hideMark/>
          </w:tcPr>
          <w:p w14:paraId="4EC9F2FF"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Pi/2 BPSK</w:t>
            </w:r>
          </w:p>
        </w:tc>
        <w:tc>
          <w:tcPr>
            <w:tcW w:w="884" w:type="dxa"/>
            <w:tcBorders>
              <w:top w:val="nil"/>
              <w:left w:val="nil"/>
              <w:bottom w:val="single" w:sz="4" w:space="0" w:color="auto"/>
              <w:right w:val="single" w:sz="4" w:space="0" w:color="auto"/>
            </w:tcBorders>
            <w:shd w:val="clear" w:color="auto" w:fill="auto"/>
            <w:noWrap/>
            <w:vAlign w:val="bottom"/>
            <w:hideMark/>
          </w:tcPr>
          <w:p w14:paraId="347C0B56"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15CBAEE6"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42015A10"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48E8ED9B"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2AF02C53"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5AE13DE6"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0E1080EA"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6FD92FD3"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4F6A33A9"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384CC937"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QPSK</w:t>
            </w:r>
          </w:p>
        </w:tc>
        <w:tc>
          <w:tcPr>
            <w:tcW w:w="884" w:type="dxa"/>
            <w:tcBorders>
              <w:top w:val="nil"/>
              <w:left w:val="nil"/>
              <w:bottom w:val="single" w:sz="4" w:space="0" w:color="auto"/>
              <w:right w:val="single" w:sz="4" w:space="0" w:color="auto"/>
            </w:tcBorders>
            <w:shd w:val="clear" w:color="auto" w:fill="auto"/>
            <w:noWrap/>
            <w:vAlign w:val="bottom"/>
            <w:hideMark/>
          </w:tcPr>
          <w:p w14:paraId="74D00F4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0.5</w:t>
            </w:r>
          </w:p>
        </w:tc>
        <w:tc>
          <w:tcPr>
            <w:tcW w:w="1045" w:type="dxa"/>
            <w:tcBorders>
              <w:top w:val="nil"/>
              <w:left w:val="nil"/>
              <w:bottom w:val="single" w:sz="4" w:space="0" w:color="auto"/>
              <w:right w:val="single" w:sz="4" w:space="0" w:color="auto"/>
            </w:tcBorders>
            <w:shd w:val="clear" w:color="auto" w:fill="auto"/>
            <w:noWrap/>
            <w:vAlign w:val="bottom"/>
            <w:hideMark/>
          </w:tcPr>
          <w:p w14:paraId="6CE62D5E"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5567599F"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78E606F2"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2BA5581E"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01324773"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00EBC45F"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43DC50A5"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7A0CA9A5"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52D51780"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16QAM</w:t>
            </w:r>
          </w:p>
        </w:tc>
        <w:tc>
          <w:tcPr>
            <w:tcW w:w="884" w:type="dxa"/>
            <w:tcBorders>
              <w:top w:val="nil"/>
              <w:left w:val="nil"/>
              <w:bottom w:val="single" w:sz="4" w:space="0" w:color="auto"/>
              <w:right w:val="single" w:sz="4" w:space="0" w:color="auto"/>
            </w:tcBorders>
            <w:shd w:val="clear" w:color="auto" w:fill="auto"/>
            <w:noWrap/>
            <w:vAlign w:val="bottom"/>
            <w:hideMark/>
          </w:tcPr>
          <w:p w14:paraId="53F36D6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c>
          <w:tcPr>
            <w:tcW w:w="1045" w:type="dxa"/>
            <w:tcBorders>
              <w:top w:val="nil"/>
              <w:left w:val="nil"/>
              <w:bottom w:val="single" w:sz="4" w:space="0" w:color="auto"/>
              <w:right w:val="single" w:sz="4" w:space="0" w:color="auto"/>
            </w:tcBorders>
            <w:shd w:val="clear" w:color="auto" w:fill="auto"/>
            <w:noWrap/>
            <w:vAlign w:val="bottom"/>
            <w:hideMark/>
          </w:tcPr>
          <w:p w14:paraId="3CB800F3"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7A093487"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4E311F78"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4D912552"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545195C0"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58EAD438"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5E571DF6"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760E9DC8"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29C80BAD"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64QAM</w:t>
            </w:r>
          </w:p>
        </w:tc>
        <w:tc>
          <w:tcPr>
            <w:tcW w:w="884" w:type="dxa"/>
            <w:tcBorders>
              <w:top w:val="nil"/>
              <w:left w:val="nil"/>
              <w:bottom w:val="single" w:sz="4" w:space="0" w:color="auto"/>
              <w:right w:val="single" w:sz="4" w:space="0" w:color="auto"/>
            </w:tcBorders>
            <w:shd w:val="clear" w:color="auto" w:fill="auto"/>
            <w:noWrap/>
            <w:vAlign w:val="bottom"/>
            <w:hideMark/>
          </w:tcPr>
          <w:p w14:paraId="7A74B5CC"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2</w:t>
            </w:r>
          </w:p>
        </w:tc>
        <w:tc>
          <w:tcPr>
            <w:tcW w:w="1045" w:type="dxa"/>
            <w:tcBorders>
              <w:top w:val="nil"/>
              <w:left w:val="nil"/>
              <w:bottom w:val="single" w:sz="4" w:space="0" w:color="auto"/>
              <w:right w:val="single" w:sz="4" w:space="0" w:color="auto"/>
            </w:tcBorders>
            <w:shd w:val="clear" w:color="auto" w:fill="auto"/>
            <w:noWrap/>
            <w:vAlign w:val="bottom"/>
            <w:hideMark/>
          </w:tcPr>
          <w:p w14:paraId="6A6F5E06"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4D770364"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69C9ECCA"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028DFCF2"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1C2D712F"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165BE46E"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79646826"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4F254394"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639E5D1B"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256QAM</w:t>
            </w:r>
          </w:p>
        </w:tc>
        <w:tc>
          <w:tcPr>
            <w:tcW w:w="884" w:type="dxa"/>
            <w:tcBorders>
              <w:top w:val="nil"/>
              <w:left w:val="nil"/>
              <w:bottom w:val="single" w:sz="4" w:space="0" w:color="auto"/>
              <w:right w:val="single" w:sz="4" w:space="0" w:color="auto"/>
            </w:tcBorders>
            <w:shd w:val="clear" w:color="auto" w:fill="auto"/>
            <w:noWrap/>
            <w:vAlign w:val="bottom"/>
            <w:hideMark/>
          </w:tcPr>
          <w:p w14:paraId="4D66B49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highlight w:val="green"/>
                <w:lang w:val="en-US"/>
              </w:rPr>
              <w:t>3</w:t>
            </w:r>
          </w:p>
        </w:tc>
        <w:tc>
          <w:tcPr>
            <w:tcW w:w="1045" w:type="dxa"/>
            <w:tcBorders>
              <w:top w:val="nil"/>
              <w:left w:val="nil"/>
              <w:bottom w:val="single" w:sz="4" w:space="0" w:color="auto"/>
              <w:right w:val="single" w:sz="4" w:space="0" w:color="auto"/>
            </w:tcBorders>
            <w:shd w:val="clear" w:color="auto" w:fill="auto"/>
            <w:noWrap/>
            <w:vAlign w:val="bottom"/>
            <w:hideMark/>
          </w:tcPr>
          <w:p w14:paraId="7829FDC2"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7DF8E892"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50FF14DC"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64D02472"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2013122B"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16ACAC8D"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highlight w:val="yellow"/>
                <w:lang w:val="en-US"/>
              </w:rPr>
              <w:t>0</w:t>
            </w:r>
          </w:p>
        </w:tc>
      </w:tr>
      <w:tr w:rsidR="00C61B32" w:rsidRPr="00C61B32" w14:paraId="44CF05FA" w14:textId="77777777" w:rsidTr="00C61B32">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noWrap/>
            <w:hideMark/>
          </w:tcPr>
          <w:p w14:paraId="1BFC6C39" w14:textId="77777777" w:rsidR="00C61B32" w:rsidRPr="00C61B32" w:rsidRDefault="00C61B32" w:rsidP="00C61B32">
            <w:pPr>
              <w:spacing w:after="0"/>
              <w:jc w:val="center"/>
              <w:rPr>
                <w:rFonts w:ascii="Calibri" w:hAnsi="Calibri" w:cs="Calibri"/>
                <w:color w:val="000000"/>
                <w:sz w:val="16"/>
                <w:szCs w:val="16"/>
                <w:lang w:val="en-US"/>
              </w:rPr>
            </w:pPr>
            <w:r w:rsidRPr="00C61B32">
              <w:rPr>
                <w:rFonts w:ascii="Calibri" w:hAnsi="Calibri" w:cs="Calibri"/>
                <w:color w:val="000000"/>
                <w:sz w:val="16"/>
                <w:szCs w:val="16"/>
                <w:lang w:val="en-US"/>
              </w:rPr>
              <w:t>CP-OFDM</w:t>
            </w:r>
          </w:p>
        </w:tc>
        <w:tc>
          <w:tcPr>
            <w:tcW w:w="960" w:type="dxa"/>
            <w:tcBorders>
              <w:top w:val="nil"/>
              <w:left w:val="nil"/>
              <w:bottom w:val="single" w:sz="4" w:space="0" w:color="auto"/>
              <w:right w:val="single" w:sz="4" w:space="0" w:color="auto"/>
            </w:tcBorders>
            <w:shd w:val="clear" w:color="auto" w:fill="auto"/>
            <w:noWrap/>
            <w:vAlign w:val="bottom"/>
            <w:hideMark/>
          </w:tcPr>
          <w:p w14:paraId="3DD08845"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884" w:type="dxa"/>
            <w:tcBorders>
              <w:top w:val="nil"/>
              <w:left w:val="nil"/>
              <w:bottom w:val="single" w:sz="4" w:space="0" w:color="auto"/>
              <w:right w:val="single" w:sz="4" w:space="0" w:color="auto"/>
            </w:tcBorders>
            <w:shd w:val="clear" w:color="auto" w:fill="auto"/>
            <w:noWrap/>
            <w:vAlign w:val="bottom"/>
            <w:hideMark/>
          </w:tcPr>
          <w:p w14:paraId="04089670"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587FF238"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952" w:type="dxa"/>
            <w:tcBorders>
              <w:top w:val="nil"/>
              <w:left w:val="nil"/>
              <w:bottom w:val="single" w:sz="4" w:space="0" w:color="auto"/>
              <w:right w:val="single" w:sz="4" w:space="0" w:color="auto"/>
            </w:tcBorders>
            <w:shd w:val="clear" w:color="auto" w:fill="auto"/>
            <w:noWrap/>
            <w:vAlign w:val="bottom"/>
            <w:hideMark/>
          </w:tcPr>
          <w:p w14:paraId="3F7C3CA3"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240" w:type="dxa"/>
            <w:tcBorders>
              <w:top w:val="nil"/>
              <w:left w:val="nil"/>
              <w:bottom w:val="nil"/>
              <w:right w:val="nil"/>
            </w:tcBorders>
            <w:shd w:val="clear" w:color="auto" w:fill="auto"/>
            <w:noWrap/>
            <w:vAlign w:val="bottom"/>
            <w:hideMark/>
          </w:tcPr>
          <w:p w14:paraId="1C2F2171" w14:textId="77777777" w:rsidR="00C61B32" w:rsidRPr="00C61B32" w:rsidRDefault="00C61B32" w:rsidP="00C61B32">
            <w:pPr>
              <w:spacing w:after="0"/>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5722B8ED"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6A1D43DF"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c>
          <w:tcPr>
            <w:tcW w:w="952" w:type="dxa"/>
            <w:tcBorders>
              <w:top w:val="nil"/>
              <w:left w:val="nil"/>
              <w:bottom w:val="single" w:sz="4" w:space="0" w:color="auto"/>
              <w:right w:val="single" w:sz="4" w:space="0" w:color="auto"/>
            </w:tcBorders>
            <w:shd w:val="clear" w:color="auto" w:fill="auto"/>
            <w:noWrap/>
            <w:vAlign w:val="bottom"/>
            <w:hideMark/>
          </w:tcPr>
          <w:p w14:paraId="7FC1B1CD"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 </w:t>
            </w:r>
          </w:p>
        </w:tc>
      </w:tr>
      <w:tr w:rsidR="00C61B32" w:rsidRPr="00C61B32" w14:paraId="68F1DDA9"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5250F13"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09C04225"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QPSK</w:t>
            </w:r>
          </w:p>
        </w:tc>
        <w:tc>
          <w:tcPr>
            <w:tcW w:w="884" w:type="dxa"/>
            <w:tcBorders>
              <w:top w:val="nil"/>
              <w:left w:val="nil"/>
              <w:bottom w:val="single" w:sz="4" w:space="0" w:color="auto"/>
              <w:right w:val="single" w:sz="4" w:space="0" w:color="auto"/>
            </w:tcBorders>
            <w:shd w:val="clear" w:color="auto" w:fill="auto"/>
            <w:noWrap/>
            <w:vAlign w:val="bottom"/>
            <w:hideMark/>
          </w:tcPr>
          <w:p w14:paraId="2FB62AAF"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2.5</w:t>
            </w:r>
          </w:p>
        </w:tc>
        <w:tc>
          <w:tcPr>
            <w:tcW w:w="1045" w:type="dxa"/>
            <w:tcBorders>
              <w:top w:val="nil"/>
              <w:left w:val="nil"/>
              <w:bottom w:val="single" w:sz="4" w:space="0" w:color="auto"/>
              <w:right w:val="single" w:sz="4" w:space="0" w:color="auto"/>
            </w:tcBorders>
            <w:shd w:val="clear" w:color="auto" w:fill="auto"/>
            <w:noWrap/>
            <w:vAlign w:val="bottom"/>
            <w:hideMark/>
          </w:tcPr>
          <w:p w14:paraId="7A90399D"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09FF252A"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1C4169BE"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14825B51"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67F5FC3A"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62DA3A0D"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3D34F7B2"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21D18D8A"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7F2FA53F"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16QAM</w:t>
            </w:r>
          </w:p>
        </w:tc>
        <w:tc>
          <w:tcPr>
            <w:tcW w:w="884" w:type="dxa"/>
            <w:tcBorders>
              <w:top w:val="nil"/>
              <w:left w:val="nil"/>
              <w:bottom w:val="single" w:sz="4" w:space="0" w:color="auto"/>
              <w:right w:val="single" w:sz="4" w:space="0" w:color="auto"/>
            </w:tcBorders>
            <w:shd w:val="clear" w:color="auto" w:fill="auto"/>
            <w:noWrap/>
            <w:vAlign w:val="bottom"/>
            <w:hideMark/>
          </w:tcPr>
          <w:p w14:paraId="61E351FA"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2.5</w:t>
            </w:r>
          </w:p>
        </w:tc>
        <w:tc>
          <w:tcPr>
            <w:tcW w:w="1045" w:type="dxa"/>
            <w:tcBorders>
              <w:top w:val="nil"/>
              <w:left w:val="nil"/>
              <w:bottom w:val="single" w:sz="4" w:space="0" w:color="auto"/>
              <w:right w:val="single" w:sz="4" w:space="0" w:color="auto"/>
            </w:tcBorders>
            <w:shd w:val="clear" w:color="auto" w:fill="auto"/>
            <w:noWrap/>
            <w:vAlign w:val="bottom"/>
            <w:hideMark/>
          </w:tcPr>
          <w:p w14:paraId="68CCD9D5"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15CD9D71"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0C1DC275"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6CB9C424"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2DA6776A"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663FEB5B"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74A7A2D1"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340F483F"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495377E5"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64QAM</w:t>
            </w:r>
          </w:p>
        </w:tc>
        <w:tc>
          <w:tcPr>
            <w:tcW w:w="884" w:type="dxa"/>
            <w:tcBorders>
              <w:top w:val="nil"/>
              <w:left w:val="nil"/>
              <w:bottom w:val="single" w:sz="4" w:space="0" w:color="auto"/>
              <w:right w:val="single" w:sz="4" w:space="0" w:color="auto"/>
            </w:tcBorders>
            <w:shd w:val="clear" w:color="auto" w:fill="auto"/>
            <w:noWrap/>
            <w:vAlign w:val="bottom"/>
            <w:hideMark/>
          </w:tcPr>
          <w:p w14:paraId="222B7252"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1045" w:type="dxa"/>
            <w:tcBorders>
              <w:top w:val="nil"/>
              <w:left w:val="nil"/>
              <w:bottom w:val="single" w:sz="4" w:space="0" w:color="auto"/>
              <w:right w:val="single" w:sz="4" w:space="0" w:color="auto"/>
            </w:tcBorders>
            <w:shd w:val="clear" w:color="auto" w:fill="auto"/>
            <w:noWrap/>
            <w:vAlign w:val="bottom"/>
            <w:hideMark/>
          </w:tcPr>
          <w:p w14:paraId="77CD7D5E"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214F673A"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7E37DB15"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3FDCAB9E"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0FB090F6"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03B5E891"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lang w:val="en-US"/>
              </w:rPr>
              <w:t>1.5</w:t>
            </w:r>
          </w:p>
        </w:tc>
      </w:tr>
      <w:tr w:rsidR="00C61B32" w:rsidRPr="00C61B32" w14:paraId="4A492607" w14:textId="77777777" w:rsidTr="00C61B32">
        <w:trPr>
          <w:trHeight w:val="300"/>
          <w:jc w:val="center"/>
        </w:trPr>
        <w:tc>
          <w:tcPr>
            <w:tcW w:w="1280" w:type="dxa"/>
            <w:vMerge/>
            <w:tcBorders>
              <w:top w:val="nil"/>
              <w:left w:val="single" w:sz="4" w:space="0" w:color="auto"/>
              <w:bottom w:val="single" w:sz="4" w:space="0" w:color="auto"/>
              <w:right w:val="single" w:sz="4" w:space="0" w:color="auto"/>
            </w:tcBorders>
            <w:vAlign w:val="center"/>
            <w:hideMark/>
          </w:tcPr>
          <w:p w14:paraId="5E1E2934" w14:textId="77777777" w:rsidR="00C61B32" w:rsidRPr="00C61B32" w:rsidRDefault="00C61B32" w:rsidP="00C61B32">
            <w:pPr>
              <w:spacing w:after="0"/>
              <w:rPr>
                <w:rFonts w:ascii="Calibri" w:hAnsi="Calibri" w:cs="Calibri"/>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461FA4B4" w14:textId="77777777" w:rsidR="00C61B32" w:rsidRPr="00C61B32" w:rsidRDefault="00C61B32" w:rsidP="00C61B32">
            <w:pPr>
              <w:spacing w:after="0"/>
              <w:rPr>
                <w:rFonts w:ascii="Calibri" w:hAnsi="Calibri" w:cs="Calibri"/>
                <w:color w:val="000000"/>
                <w:sz w:val="16"/>
                <w:szCs w:val="16"/>
                <w:lang w:val="en-US"/>
              </w:rPr>
            </w:pPr>
            <w:r w:rsidRPr="00C61B32">
              <w:rPr>
                <w:rFonts w:ascii="Calibri" w:hAnsi="Calibri" w:cs="Calibri"/>
                <w:color w:val="000000"/>
                <w:sz w:val="16"/>
                <w:szCs w:val="16"/>
                <w:lang w:val="en-US"/>
              </w:rPr>
              <w:t>256QAM</w:t>
            </w:r>
          </w:p>
        </w:tc>
        <w:tc>
          <w:tcPr>
            <w:tcW w:w="884" w:type="dxa"/>
            <w:tcBorders>
              <w:top w:val="nil"/>
              <w:left w:val="nil"/>
              <w:bottom w:val="single" w:sz="4" w:space="0" w:color="auto"/>
              <w:right w:val="single" w:sz="4" w:space="0" w:color="auto"/>
            </w:tcBorders>
            <w:shd w:val="clear" w:color="auto" w:fill="auto"/>
            <w:noWrap/>
            <w:vAlign w:val="bottom"/>
            <w:hideMark/>
          </w:tcPr>
          <w:p w14:paraId="46FE6E0C"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1045" w:type="dxa"/>
            <w:tcBorders>
              <w:top w:val="nil"/>
              <w:left w:val="nil"/>
              <w:bottom w:val="single" w:sz="4" w:space="0" w:color="auto"/>
              <w:right w:val="single" w:sz="4" w:space="0" w:color="auto"/>
            </w:tcBorders>
            <w:shd w:val="clear" w:color="auto" w:fill="auto"/>
            <w:noWrap/>
            <w:vAlign w:val="bottom"/>
            <w:hideMark/>
          </w:tcPr>
          <w:p w14:paraId="29D0A857"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952" w:type="dxa"/>
            <w:tcBorders>
              <w:top w:val="nil"/>
              <w:left w:val="nil"/>
              <w:bottom w:val="single" w:sz="4" w:space="0" w:color="auto"/>
              <w:right w:val="single" w:sz="4" w:space="0" w:color="auto"/>
            </w:tcBorders>
            <w:shd w:val="clear" w:color="auto" w:fill="auto"/>
            <w:noWrap/>
            <w:vAlign w:val="bottom"/>
            <w:hideMark/>
          </w:tcPr>
          <w:p w14:paraId="44D6CD40" w14:textId="77777777" w:rsidR="00C61B32" w:rsidRPr="00C61B32" w:rsidRDefault="00C61B32" w:rsidP="00C61B32">
            <w:pPr>
              <w:spacing w:after="0"/>
              <w:jc w:val="right"/>
              <w:rPr>
                <w:rFonts w:ascii="Calibri" w:hAnsi="Calibri" w:cs="Calibri"/>
                <w:color w:val="000000"/>
                <w:sz w:val="16"/>
                <w:szCs w:val="16"/>
                <w:highlight w:val="green"/>
                <w:lang w:val="en-US"/>
              </w:rPr>
            </w:pPr>
            <w:r w:rsidRPr="00C61B32">
              <w:rPr>
                <w:rFonts w:ascii="Calibri" w:hAnsi="Calibri" w:cs="Calibri"/>
                <w:color w:val="000000"/>
                <w:sz w:val="16"/>
                <w:szCs w:val="16"/>
                <w:highlight w:val="green"/>
                <w:lang w:val="en-US"/>
              </w:rPr>
              <w:t>3</w:t>
            </w:r>
          </w:p>
        </w:tc>
        <w:tc>
          <w:tcPr>
            <w:tcW w:w="240" w:type="dxa"/>
            <w:tcBorders>
              <w:top w:val="nil"/>
              <w:left w:val="nil"/>
              <w:bottom w:val="nil"/>
              <w:right w:val="nil"/>
            </w:tcBorders>
            <w:shd w:val="clear" w:color="auto" w:fill="auto"/>
            <w:noWrap/>
            <w:vAlign w:val="bottom"/>
            <w:hideMark/>
          </w:tcPr>
          <w:p w14:paraId="7F8CDA33" w14:textId="77777777" w:rsidR="00C61B32" w:rsidRPr="00C61B32" w:rsidRDefault="00C61B32" w:rsidP="00C61B32">
            <w:pPr>
              <w:spacing w:after="0"/>
              <w:jc w:val="right"/>
              <w:rPr>
                <w:rFonts w:ascii="Calibri" w:hAnsi="Calibri" w:cs="Calibri"/>
                <w:color w:val="000000"/>
                <w:sz w:val="16"/>
                <w:szCs w:val="16"/>
                <w:lang w:val="en-US"/>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14:paraId="599BE171"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1045" w:type="dxa"/>
            <w:tcBorders>
              <w:top w:val="nil"/>
              <w:left w:val="nil"/>
              <w:bottom w:val="single" w:sz="4" w:space="0" w:color="auto"/>
              <w:right w:val="single" w:sz="4" w:space="0" w:color="auto"/>
            </w:tcBorders>
            <w:shd w:val="clear" w:color="auto" w:fill="auto"/>
            <w:noWrap/>
            <w:vAlign w:val="bottom"/>
            <w:hideMark/>
          </w:tcPr>
          <w:p w14:paraId="4C24A343" w14:textId="77777777" w:rsidR="00C61B32" w:rsidRPr="00C61B32" w:rsidRDefault="00C61B32" w:rsidP="00C61B32">
            <w:pPr>
              <w:spacing w:after="0"/>
              <w:jc w:val="right"/>
              <w:rPr>
                <w:rFonts w:ascii="Calibri" w:hAnsi="Calibri" w:cs="Calibri"/>
                <w:color w:val="000000"/>
                <w:sz w:val="16"/>
                <w:szCs w:val="16"/>
                <w:highlight w:val="yellow"/>
                <w:lang w:val="en-US"/>
              </w:rPr>
            </w:pPr>
            <w:r w:rsidRPr="00C61B32">
              <w:rPr>
                <w:rFonts w:ascii="Calibri" w:hAnsi="Calibri" w:cs="Calibri"/>
                <w:color w:val="000000"/>
                <w:sz w:val="16"/>
                <w:szCs w:val="16"/>
                <w:highlight w:val="yellow"/>
                <w:lang w:val="en-US"/>
              </w:rPr>
              <w:t>0</w:t>
            </w:r>
          </w:p>
        </w:tc>
        <w:tc>
          <w:tcPr>
            <w:tcW w:w="952" w:type="dxa"/>
            <w:tcBorders>
              <w:top w:val="nil"/>
              <w:left w:val="nil"/>
              <w:bottom w:val="single" w:sz="4" w:space="0" w:color="auto"/>
              <w:right w:val="single" w:sz="4" w:space="0" w:color="auto"/>
            </w:tcBorders>
            <w:shd w:val="clear" w:color="auto" w:fill="auto"/>
            <w:noWrap/>
            <w:vAlign w:val="bottom"/>
            <w:hideMark/>
          </w:tcPr>
          <w:p w14:paraId="34981ACE" w14:textId="77777777" w:rsidR="00C61B32" w:rsidRPr="00C61B32" w:rsidRDefault="00C61B32" w:rsidP="00C61B32">
            <w:pPr>
              <w:spacing w:after="0"/>
              <w:jc w:val="right"/>
              <w:rPr>
                <w:rFonts w:ascii="Calibri" w:hAnsi="Calibri" w:cs="Calibri"/>
                <w:color w:val="000000"/>
                <w:sz w:val="16"/>
                <w:szCs w:val="16"/>
                <w:lang w:val="en-US"/>
              </w:rPr>
            </w:pPr>
            <w:r w:rsidRPr="00C61B32">
              <w:rPr>
                <w:rFonts w:ascii="Calibri" w:hAnsi="Calibri" w:cs="Calibri"/>
                <w:color w:val="000000"/>
                <w:sz w:val="16"/>
                <w:szCs w:val="16"/>
                <w:highlight w:val="yellow"/>
                <w:lang w:val="en-US"/>
              </w:rPr>
              <w:t>0</w:t>
            </w:r>
          </w:p>
        </w:tc>
      </w:tr>
    </w:tbl>
    <w:p w14:paraId="59AF277C" w14:textId="2F8A9B16" w:rsidR="00C61B32" w:rsidRDefault="00C61B32" w:rsidP="004322FC">
      <w:pPr>
        <w:rPr>
          <w:lang w:val="en-US"/>
        </w:rPr>
      </w:pPr>
    </w:p>
    <w:p w14:paraId="1DE502EA" w14:textId="01B0F59A" w:rsidR="00C61B32" w:rsidRPr="008D3BDE" w:rsidRDefault="008D3BDE" w:rsidP="004322FC">
      <w:pPr>
        <w:rPr>
          <w:b/>
          <w:bCs/>
          <w:lang w:val="en-US"/>
        </w:rPr>
      </w:pPr>
      <w:r w:rsidRPr="008D3BDE">
        <w:rPr>
          <w:b/>
          <w:bCs/>
          <w:lang w:val="en-US"/>
        </w:rPr>
        <w:t>Observation:  With the significant MPR defined for PC1.5, it is not expected that the coverage enhancement expectations expressed in the WID can be met.</w:t>
      </w:r>
    </w:p>
    <w:p w14:paraId="4EAC7476" w14:textId="209F6685" w:rsidR="008D3BDE" w:rsidRDefault="008D3BDE" w:rsidP="004322FC">
      <w:pPr>
        <w:rPr>
          <w:lang w:val="en-US"/>
        </w:rPr>
      </w:pPr>
      <w:r>
        <w:rPr>
          <w:lang w:val="en-US"/>
        </w:rPr>
        <w:t>In addition, the PC1.5 MPR for TxDiv and UL MIMO was studied for Band n41.  Band n79 has a different frequency range</w:t>
      </w:r>
      <w:r w:rsidR="00481B30">
        <w:rPr>
          <w:lang w:val="en-US"/>
        </w:rPr>
        <w:t xml:space="preserve"> (almost 2x different)</w:t>
      </w:r>
      <w:r>
        <w:rPr>
          <w:lang w:val="en-US"/>
        </w:rPr>
        <w:t xml:space="preserve"> with </w:t>
      </w:r>
      <w:r w:rsidR="00481B30">
        <w:rPr>
          <w:lang w:val="en-US"/>
        </w:rPr>
        <w:t xml:space="preserve">significantly </w:t>
      </w:r>
      <w:r>
        <w:rPr>
          <w:lang w:val="en-US"/>
        </w:rPr>
        <w:t>different PA and front-end performance characteristics.  It is therefore suggested that MPR needs to be further studied for Band n79.</w:t>
      </w:r>
    </w:p>
    <w:p w14:paraId="2D164580" w14:textId="3A782C73" w:rsidR="008D3BDE" w:rsidRDefault="008D3BDE" w:rsidP="004322FC">
      <w:pPr>
        <w:rPr>
          <w:b/>
          <w:bCs/>
          <w:lang w:val="en-US"/>
        </w:rPr>
      </w:pPr>
      <w:r w:rsidRPr="008D3BDE">
        <w:rPr>
          <w:b/>
          <w:bCs/>
          <w:lang w:val="en-US"/>
        </w:rPr>
        <w:t>Proposal:  PC 1.5 MPR needs to be further studied in the context of Band n79.</w:t>
      </w:r>
    </w:p>
    <w:p w14:paraId="60E761EA" w14:textId="77777777" w:rsidR="008D3BDE" w:rsidRDefault="008D3BDE" w:rsidP="008D3BDE">
      <w:pPr>
        <w:rPr>
          <w:lang w:val="en-US"/>
        </w:rPr>
      </w:pPr>
      <w:r>
        <w:rPr>
          <w:lang w:val="en-US"/>
        </w:rPr>
        <w:t xml:space="preserve">The previous study on PC 1.5 MPR for TxDiv and UL MIMO was conducted for Band n41.  Since the work item specified a dual PA configuration, i.e., 2x26 dBm, MPR was derived based on measurements provided by vendors.  MPR is specified in order to allow the UE to meet ACLR, SEM, spurious emissions as well as EVM and in-band emissions.  The difference between PC1.5 and PC2 is the usage of two PA’s and the increase in maximum power by 3 dB.  The usage of two PA’s introduces reverse IMD distortion due to the coupling between the two transmitter paths, primarily due to the assumed 18 dB (10 dB antenna isolation and 4 dB front-end loss for each PA) coupling from the output of one PA to the output of the other PA.  This was found to impact EVM as reported by multiple companies.  The 3 dB increase in output power also drives an increase in MPR for PC1.5 compared to PC2 since the SEM is specified in absolute power.  There was far less data presented to quantify the MPR required to meet out-of-band emissions; mostly, claims were made without data shown to justify them.  </w:t>
      </w:r>
    </w:p>
    <w:p w14:paraId="27A42AFF" w14:textId="77777777" w:rsidR="008D3BDE" w:rsidRDefault="008D3BDE" w:rsidP="008D3BDE">
      <w:pPr>
        <w:rPr>
          <w:lang w:val="en-US"/>
        </w:rPr>
      </w:pPr>
      <w:r>
        <w:rPr>
          <w:lang w:val="en-US"/>
        </w:rPr>
        <w:t>Data for out-of-band emissions was provided in [</w:t>
      </w:r>
      <w:r w:rsidRPr="00347A4B">
        <w:rPr>
          <w:lang w:val="en-US"/>
        </w:rPr>
        <w:t>2</w:t>
      </w:r>
      <w:r>
        <w:rPr>
          <w:lang w:val="en-US"/>
        </w:rPr>
        <w:t>] and is reproduced below</w:t>
      </w:r>
    </w:p>
    <w:p w14:paraId="60124789" w14:textId="77777777" w:rsidR="008D3BDE" w:rsidRDefault="008D3BDE" w:rsidP="008D3BDE">
      <w:pPr>
        <w:rPr>
          <w:lang w:val="en-US"/>
        </w:rPr>
      </w:pPr>
      <w:r w:rsidRPr="0072363A">
        <w:rPr>
          <w:noProof/>
        </w:rPr>
        <w:drawing>
          <wp:inline distT="0" distB="0" distL="0" distR="0" wp14:anchorId="017DBF9D" wp14:editId="502C9F9C">
            <wp:extent cx="6115685" cy="249549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495499"/>
                    </a:xfrm>
                    <a:prstGeom prst="rect">
                      <a:avLst/>
                    </a:prstGeom>
                    <a:noFill/>
                    <a:ln>
                      <a:noFill/>
                    </a:ln>
                  </pic:spPr>
                </pic:pic>
              </a:graphicData>
            </a:graphic>
          </wp:inline>
        </w:drawing>
      </w:r>
    </w:p>
    <w:p w14:paraId="384F36E0" w14:textId="77777777" w:rsidR="008D3BDE" w:rsidRDefault="008D3BDE" w:rsidP="008D3BDE">
      <w:pPr>
        <w:rPr>
          <w:lang w:val="en-US"/>
        </w:rPr>
      </w:pPr>
      <w:r>
        <w:rPr>
          <w:lang w:val="en-US"/>
        </w:rPr>
        <w:t xml:space="preserve">This table shows the increase in emissions for 2 PA PC1.5 (labeled “2Tx increase”) and the margin to the requirement with no additional MPR for DFT (labeled “DFT Margin @MPR0”) and the margin to the requirements with 2 dB </w:t>
      </w:r>
      <w:r>
        <w:rPr>
          <w:lang w:val="en-US"/>
        </w:rPr>
        <w:lastRenderedPageBreak/>
        <w:t xml:space="preserve">additional MPR for CP-OFDM (labeled “CP Margin @MPR2) for various waveforms against out-of-band emission requirements with two different PA bias configurations.  </w:t>
      </w:r>
    </w:p>
    <w:p w14:paraId="51F8FCA0" w14:textId="77777777" w:rsidR="008D3BDE" w:rsidRDefault="008D3BDE" w:rsidP="008D3BDE">
      <w:pPr>
        <w:rPr>
          <w:lang w:val="en-US"/>
        </w:rPr>
      </w:pPr>
      <w:r w:rsidRPr="00BA7FAD">
        <w:rPr>
          <w:highlight w:val="cyan"/>
          <w:lang w:val="en-US"/>
        </w:rPr>
        <w:t>The result is between 0 and 2 dB of additional MPR is needed</w:t>
      </w:r>
      <w:r>
        <w:rPr>
          <w:lang w:val="en-US"/>
        </w:rPr>
        <w:t xml:space="preserve"> depending on the waveform and the particular emission requirement allowing for both PA biasing schemes representative of what is needed for smartphones.  </w:t>
      </w:r>
    </w:p>
    <w:p w14:paraId="58006A61" w14:textId="77777777" w:rsidR="008D3BDE" w:rsidRDefault="008D3BDE" w:rsidP="008D3BDE">
      <w:pPr>
        <w:rPr>
          <w:lang w:val="en-US"/>
        </w:rPr>
      </w:pPr>
      <w:r>
        <w:rPr>
          <w:lang w:val="en-US"/>
        </w:rPr>
        <w:t xml:space="preserve">Similarly, data for EVM was provided in [3], [4], and [5].  In [3], EVM for inner waveforms was measured as a function of antenna isolation to capture the effect of RIMD3.  In fact, it was shown that </w:t>
      </w:r>
      <w:r w:rsidRPr="00BA7FAD">
        <w:rPr>
          <w:highlight w:val="cyan"/>
          <w:lang w:val="en-US"/>
        </w:rPr>
        <w:t>no additional backoff was needed</w:t>
      </w:r>
      <w:r>
        <w:rPr>
          <w:lang w:val="en-US"/>
        </w:rPr>
        <w:t xml:space="preserve"> for PC1.5 compared to PC2 even with antenna isolation of 10 dB for the existing EVM budget citing the improvement in NR image compared to LTE as justification for headroom in the budget.  In [4] measurement data is also provided to illustrate the impact of RIMD3 on EVM.  In fact, the EVM degradation shown in [4] is smaller than that shown in [3].  For example, the EVM for DFT-S-OFDM inner waveforms with QPSK modulation is shown to be 1.18% in [4] whereas a similar waveform was indicated to have 4.17% EVM degradation in [3].  Despite having a smaller degradation, the proposal in [4] is </w:t>
      </w:r>
      <w:r w:rsidRPr="000218D1">
        <w:rPr>
          <w:highlight w:val="cyan"/>
          <w:lang w:val="en-US"/>
        </w:rPr>
        <w:t>3 dB additional MPR for edge and outer waveforms and an additional 2 dB for inner waveforms</w:t>
      </w:r>
      <w:r>
        <w:rPr>
          <w:lang w:val="en-US"/>
        </w:rPr>
        <w:t xml:space="preserve">, whereas [3] proposes that no additional backoff is needed.  It is also labeled in the table header of Table 5 in [4] that the 2 dB or 3 dB is the “Total Relaxation”, while the caption reads “Additional MPR relaxation.”  The observation 4 also points out that there are other limitations (ACLR, OOBE, and SEM) that justify the additional relaxation, but there is no data provided to substantiate this.  The only data provided in this paper is for EVM where the reported degradation is smaller than that observed in [3] where already no additional MPR is required according to the claims in [3].  Finally, in [5] EVM measurements are provided for 64QAM and 256QAM CP-OFDM waveforms with full RB allocation.  It is commented that the EVM is based on a PA budget where the budget for 256QAM is 1.8%.  Measurements for ET and fixed-bias PA are shown where the ET PA requires 6 dB backoff and the fixed bias PA requires 8 dB backoff to meet the 1.8% criterion, but the proposal in this paper and the agreed specification for 256QAM CP-OFDM is 9.5 dB backoff.  It is not explained why an additional margin of 1.5 dB for fixed bias and 3.5 dB for ET is proposed compared to the published measurement.  For 64QAM assuming a 4% PA EVM budget, the ET PA nearly meets this at full power can drops to 2.9% with 2 dB backoff while the fixed bias PA achieves this with 4 to 5 dB backoff.  It is commented that lower order modulations such as 64QAM are limited by other requirements besides EVM, but data is not provided in the paper.  Nevertheless, the proposal in [5] is </w:t>
      </w:r>
      <w:r w:rsidRPr="000218D1">
        <w:rPr>
          <w:highlight w:val="cyan"/>
          <w:lang w:val="en-US"/>
        </w:rPr>
        <w:t>generally 0.5 to 1 dB additional MPR for inner waveforms and 1 to 2 dB additional MPR for edge and outer waveforms</w:t>
      </w:r>
      <w:r>
        <w:rPr>
          <w:lang w:val="en-US"/>
        </w:rPr>
        <w:t>, which is much lower than the final specification.</w:t>
      </w:r>
    </w:p>
    <w:p w14:paraId="22FDE66E" w14:textId="77777777" w:rsidR="008D3BDE" w:rsidRDefault="008D3BDE" w:rsidP="008D3BDE">
      <w:pPr>
        <w:rPr>
          <w:lang w:val="en-US"/>
        </w:rPr>
      </w:pPr>
      <w:r>
        <w:rPr>
          <w:lang w:val="en-US"/>
        </w:rPr>
        <w:t>Reviewing the papers providing measurements, there does not appear to be a clear path to the ultimately agreed MPR specification.  The papers are often incomplete providing only partial data and in some cases the data does not align with the proposals.  The most likely explanation is that there is limited technical basis for the final specification but rather the proponent company simply gave up in the interest of completing the specification as suggested by the comment in [2] “In the interest of completion of the Rel-16 specification, it is proposed that MPR for PC1.5 for outer allocations be based on PC2 values from [9] plus 3dB.”</w:t>
      </w:r>
    </w:p>
    <w:p w14:paraId="2F4E04CE" w14:textId="2B31826E" w:rsidR="008D3BDE" w:rsidRDefault="00347A4B" w:rsidP="004322FC">
      <w:pPr>
        <w:rPr>
          <w:b/>
          <w:bCs/>
          <w:lang w:val="en-US"/>
        </w:rPr>
      </w:pPr>
      <w:r>
        <w:rPr>
          <w:b/>
          <w:bCs/>
          <w:lang w:val="en-US"/>
        </w:rPr>
        <w:t xml:space="preserve">Observation:  Most of the provided measurements </w:t>
      </w:r>
      <w:r w:rsidR="00481B30">
        <w:rPr>
          <w:b/>
          <w:bCs/>
          <w:lang w:val="en-US"/>
        </w:rPr>
        <w:t xml:space="preserve">and proposals </w:t>
      </w:r>
      <w:r>
        <w:rPr>
          <w:b/>
          <w:bCs/>
          <w:lang w:val="en-US"/>
        </w:rPr>
        <w:t xml:space="preserve">for PC 1.5 </w:t>
      </w:r>
      <w:r w:rsidR="00481B30">
        <w:rPr>
          <w:b/>
          <w:bCs/>
          <w:lang w:val="en-US"/>
        </w:rPr>
        <w:t>indicate</w:t>
      </w:r>
      <w:r>
        <w:rPr>
          <w:b/>
          <w:bCs/>
          <w:lang w:val="en-US"/>
        </w:rPr>
        <w:t xml:space="preserve"> a smaller MPR than was eventually specified.</w:t>
      </w:r>
      <w:r w:rsidR="00481B30">
        <w:rPr>
          <w:b/>
          <w:bCs/>
          <w:lang w:val="en-US"/>
        </w:rPr>
        <w:t xml:space="preserve">  There appears to be scant technical justification for the specified values.</w:t>
      </w:r>
    </w:p>
    <w:p w14:paraId="3EA22251" w14:textId="2F69704F" w:rsidR="008D3BDE" w:rsidRDefault="008D3BDE" w:rsidP="004322FC">
      <w:pPr>
        <w:pStyle w:val="Heading2"/>
        <w:rPr>
          <w:lang w:val="en-US"/>
        </w:rPr>
      </w:pPr>
      <w:r>
        <w:rPr>
          <w:lang w:val="en-US"/>
        </w:rPr>
        <w:t xml:space="preserve">A-MPR </w:t>
      </w:r>
    </w:p>
    <w:p w14:paraId="7B0651D9" w14:textId="6861C95E" w:rsidR="008D7D34" w:rsidRDefault="008D7D34" w:rsidP="008D7D34">
      <w:pPr>
        <w:rPr>
          <w:lang w:val="en-US"/>
        </w:rPr>
      </w:pPr>
      <w:r>
        <w:rPr>
          <w:lang w:val="en-US"/>
        </w:rPr>
        <w:t>There are no additional spurious emission requirement or other NS-related requirements for Band n79.  However, with increased power level, it may be necessary to revisit coexistence requirement with other bands and protection of other services such as radio altimeters.</w:t>
      </w:r>
    </w:p>
    <w:p w14:paraId="0A770A0C" w14:textId="60EA6F38" w:rsidR="008D7D34" w:rsidRPr="008D7D34" w:rsidRDefault="008D7D34" w:rsidP="008D7D34">
      <w:pPr>
        <w:rPr>
          <w:b/>
          <w:bCs/>
          <w:lang w:val="en-US"/>
        </w:rPr>
      </w:pPr>
      <w:r w:rsidRPr="008D7D34">
        <w:rPr>
          <w:b/>
          <w:bCs/>
          <w:lang w:val="en-US"/>
        </w:rPr>
        <w:t>Proposal:  There is no current additional spurious emission requirement for Band n79.  However, increasing the power level to 29 dBm may motivate the need to revisit UE coexistence protection to other bands and coexistence to other services such as radio altimeters.</w:t>
      </w:r>
    </w:p>
    <w:p w14:paraId="3F8BEA58" w14:textId="31DA50C3" w:rsidR="009C37D0" w:rsidRDefault="00FA01C7" w:rsidP="009C37D0">
      <w:pPr>
        <w:pStyle w:val="Heading1"/>
        <w:tabs>
          <w:tab w:val="clear" w:pos="432"/>
          <w:tab w:val="num" w:pos="522"/>
        </w:tabs>
        <w:ind w:left="522" w:hanging="522"/>
        <w:rPr>
          <w:lang w:val="en-US"/>
        </w:rPr>
      </w:pPr>
      <w:r>
        <w:rPr>
          <w:lang w:val="en-US"/>
        </w:rPr>
        <w:t>Conclusion</w:t>
      </w:r>
    </w:p>
    <w:p w14:paraId="1F5920CF" w14:textId="043CE84E" w:rsidR="009D4E19" w:rsidRPr="009D4E19" w:rsidRDefault="009D4E19" w:rsidP="009D4E19">
      <w:pPr>
        <w:rPr>
          <w:lang w:val="en-US"/>
        </w:rPr>
      </w:pPr>
      <w:r>
        <w:rPr>
          <w:lang w:val="en-US"/>
        </w:rPr>
        <w:t>Power class 1.5 for Band n79 is discussed in this contribution.  The MPR for PC 1.5 was studied as part of the work for Band n41.  Even for Band n41, the agreed MPR is so large that it negates the benefit of PC 1.5 compared to PC2.  Moreover, the data presented to derive the MPR for Band n41 seems to indicate a smaller MPR could be achieved.  Finally, due to the different frequency range of Band n79 compared to Band n41, the MPR should be reconsidered.  A-MPR may also need to be studied for Band n79.  At higher power levels, coexistence emission requirements are more difficult to meet.  The obsevations and proposals in this contribution apply to both handheld mobile and FWA devices.</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193D30E3" w14:textId="77777777" w:rsidR="009D4E19" w:rsidRPr="009D4E19" w:rsidRDefault="00483E05" w:rsidP="001219FC">
      <w:pPr>
        <w:numPr>
          <w:ilvl w:val="0"/>
          <w:numId w:val="2"/>
        </w:numPr>
        <w:tabs>
          <w:tab w:val="left" w:pos="1080"/>
        </w:tabs>
        <w:rPr>
          <w:lang w:val="en-US" w:eastAsia="x-none"/>
        </w:rPr>
      </w:pPr>
      <w:bookmarkStart w:id="0" w:name="_Hlk859252"/>
      <w:r w:rsidRPr="009D4E19">
        <w:rPr>
          <w:lang w:val="en-US" w:eastAsia="x-none"/>
        </w:rPr>
        <w:t>R</w:t>
      </w:r>
      <w:r w:rsidR="008F11DF" w:rsidRPr="009D4E19">
        <w:rPr>
          <w:lang w:val="en-US" w:eastAsia="x-none"/>
        </w:rPr>
        <w:t>P-2</w:t>
      </w:r>
      <w:r w:rsidR="009D4E19" w:rsidRPr="009D4E19">
        <w:rPr>
          <w:lang w:val="en-US" w:eastAsia="x-none"/>
        </w:rPr>
        <w:t>10843</w:t>
      </w:r>
      <w:r w:rsidR="008F11DF" w:rsidRPr="009D4E19">
        <w:rPr>
          <w:lang w:val="en-US" w:eastAsia="x-none"/>
        </w:rPr>
        <w:t>, “</w:t>
      </w:r>
      <w:r w:rsidR="000218D1" w:rsidRPr="009D4E19">
        <w:rPr>
          <w:lang w:val="en-US" w:eastAsia="x-none"/>
        </w:rPr>
        <w:t xml:space="preserve">WID on </w:t>
      </w:r>
      <w:r w:rsidR="009D4E19" w:rsidRPr="009D4E19">
        <w:rPr>
          <w:lang w:val="en-US" w:eastAsia="x-none"/>
        </w:rPr>
        <w:t>High ower UE (power class 1.5) for NR band n79,” CMCC</w:t>
      </w:r>
    </w:p>
    <w:p w14:paraId="049B06B0" w14:textId="4712C9D0" w:rsidR="000218D1" w:rsidRDefault="000218D1" w:rsidP="001219FC">
      <w:pPr>
        <w:numPr>
          <w:ilvl w:val="0"/>
          <w:numId w:val="2"/>
        </w:numPr>
        <w:tabs>
          <w:tab w:val="left" w:pos="1080"/>
        </w:tabs>
        <w:rPr>
          <w:lang w:val="en-US" w:eastAsia="x-none"/>
        </w:rPr>
      </w:pPr>
      <w:r>
        <w:rPr>
          <w:lang w:val="en-US"/>
        </w:rPr>
        <w:t>R4-2011782, “</w:t>
      </w:r>
      <w:r w:rsidRPr="000218D1">
        <w:rPr>
          <w:lang w:val="en-US"/>
        </w:rPr>
        <w:t>MPR and NS_04 A-MPR for 29 dBm</w:t>
      </w:r>
      <w:r>
        <w:rPr>
          <w:lang w:val="en-US"/>
        </w:rPr>
        <w:t>,” T-Mobile USA, Inc., Qorvo</w:t>
      </w:r>
    </w:p>
    <w:p w14:paraId="36D501A3" w14:textId="18729DCA" w:rsidR="000218D1" w:rsidRDefault="000218D1" w:rsidP="001219FC">
      <w:pPr>
        <w:numPr>
          <w:ilvl w:val="0"/>
          <w:numId w:val="2"/>
        </w:numPr>
        <w:tabs>
          <w:tab w:val="left" w:pos="1080"/>
        </w:tabs>
        <w:rPr>
          <w:lang w:val="en-US" w:eastAsia="x-none"/>
        </w:rPr>
      </w:pPr>
      <w:r>
        <w:rPr>
          <w:lang w:val="en-US"/>
        </w:rPr>
        <w:t>R4-2006639, “</w:t>
      </w:r>
      <w:r w:rsidRPr="000218D1">
        <w:rPr>
          <w:lang w:val="en-US"/>
        </w:rPr>
        <w:t>[29dBm] RIMD impact on EVM and MPR for UL MIMO and Tx Diversity</w:t>
      </w:r>
      <w:r>
        <w:rPr>
          <w:lang w:val="en-US"/>
        </w:rPr>
        <w:t xml:space="preserve">,” </w:t>
      </w:r>
      <w:r w:rsidRPr="000218D1">
        <w:rPr>
          <w:lang w:val="en-US"/>
        </w:rPr>
        <w:t>Skyworks Solutions, Inc.</w:t>
      </w:r>
    </w:p>
    <w:p w14:paraId="4811FF22" w14:textId="2365DC57" w:rsidR="000218D1" w:rsidRDefault="000218D1" w:rsidP="001219FC">
      <w:pPr>
        <w:numPr>
          <w:ilvl w:val="0"/>
          <w:numId w:val="2"/>
        </w:numPr>
        <w:tabs>
          <w:tab w:val="left" w:pos="1080"/>
        </w:tabs>
        <w:rPr>
          <w:lang w:val="en-US" w:eastAsia="x-none"/>
        </w:rPr>
      </w:pPr>
      <w:r>
        <w:rPr>
          <w:lang w:val="en-US"/>
        </w:rPr>
        <w:t>R4-2008330, “</w:t>
      </w:r>
      <w:r w:rsidRPr="000218D1">
        <w:rPr>
          <w:lang w:val="en-US"/>
        </w:rPr>
        <w:t>Analysis of MPR and EVM based on reverse IMD for PC1.5 UL-MIMO</w:t>
      </w:r>
      <w:r>
        <w:rPr>
          <w:lang w:val="en-US"/>
        </w:rPr>
        <w:t>,” LG Electronics</w:t>
      </w:r>
    </w:p>
    <w:p w14:paraId="15C2BF90" w14:textId="3001DD91" w:rsidR="000218D1" w:rsidRDefault="000218D1" w:rsidP="001219FC">
      <w:pPr>
        <w:numPr>
          <w:ilvl w:val="0"/>
          <w:numId w:val="2"/>
        </w:numPr>
        <w:tabs>
          <w:tab w:val="left" w:pos="1080"/>
        </w:tabs>
        <w:rPr>
          <w:lang w:val="en-US" w:eastAsia="x-none"/>
        </w:rPr>
      </w:pPr>
      <w:r>
        <w:rPr>
          <w:lang w:val="en-US"/>
        </w:rPr>
        <w:t>R4-2009943, “</w:t>
      </w:r>
      <w:r w:rsidRPr="000218D1">
        <w:rPr>
          <w:lang w:val="en-US"/>
        </w:rPr>
        <w:t>PC1.5 UL MIMO MPR</w:t>
      </w:r>
      <w:r>
        <w:rPr>
          <w:lang w:val="en-US"/>
        </w:rPr>
        <w:t xml:space="preserve">,” Apple Inc. </w:t>
      </w:r>
      <w:bookmarkEnd w:id="0"/>
    </w:p>
    <w:sectPr w:rsidR="000218D1"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4E05B" w14:textId="77777777" w:rsidR="00306BCE" w:rsidRDefault="00306BCE">
      <w:r>
        <w:separator/>
      </w:r>
    </w:p>
  </w:endnote>
  <w:endnote w:type="continuationSeparator" w:id="0">
    <w:p w14:paraId="2486DF21" w14:textId="77777777" w:rsidR="00306BCE" w:rsidRDefault="0030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3A29E" w14:textId="77777777" w:rsidR="00306BCE" w:rsidRDefault="00306BCE">
      <w:r>
        <w:separator/>
      </w:r>
    </w:p>
  </w:footnote>
  <w:footnote w:type="continuationSeparator" w:id="0">
    <w:p w14:paraId="68527614" w14:textId="77777777" w:rsidR="00306BCE" w:rsidRDefault="00306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1"/>
  </w:num>
  <w:num w:numId="5">
    <w:abstractNumId w:val="15"/>
  </w:num>
  <w:num w:numId="6">
    <w:abstractNumId w:val="5"/>
  </w:num>
  <w:num w:numId="7">
    <w:abstractNumId w:val="1"/>
  </w:num>
  <w:num w:numId="8">
    <w:abstractNumId w:val="17"/>
  </w:num>
  <w:num w:numId="9">
    <w:abstractNumId w:val="6"/>
  </w:num>
  <w:num w:numId="10">
    <w:abstractNumId w:val="13"/>
  </w:num>
  <w:num w:numId="11">
    <w:abstractNumId w:val="23"/>
  </w:num>
  <w:num w:numId="12">
    <w:abstractNumId w:val="4"/>
  </w:num>
  <w:num w:numId="13">
    <w:abstractNumId w:val="12"/>
  </w:num>
  <w:num w:numId="14">
    <w:abstractNumId w:val="2"/>
  </w:num>
  <w:num w:numId="15">
    <w:abstractNumId w:val="11"/>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 w:numId="24">
    <w:abstractNumId w:val="19"/>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BCE"/>
    <w:rsid w:val="00306C15"/>
    <w:rsid w:val="0030710A"/>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5CCA"/>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BA"/>
    <w:rsid w:val="009470D1"/>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1601</Words>
  <Characters>9130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2021-04-02T22:03:00Z</dcterms:created>
  <dcterms:modified xsi:type="dcterms:W3CDTF">2021-04-02T22:03:00Z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