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2F6E6C" w:rsidRPr="002F6E6C">
        <w:rPr>
          <w:rFonts w:ascii="Arial" w:hAnsi="Arial" w:cs="Arial"/>
          <w:b/>
          <w:sz w:val="24"/>
          <w:lang w:val="en-US" w:eastAsia="zh-CN"/>
        </w:rPr>
        <w:t>R4-2107030</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7622" w:rsidRPr="00297622">
        <w:rPr>
          <w:rFonts w:ascii="Arial" w:eastAsia="宋体" w:hAnsi="Arial"/>
          <w:b/>
          <w:sz w:val="24"/>
          <w:lang w:val="en-US" w:eastAsia="zh-CN"/>
        </w:rPr>
        <w:t>Discussion on general issues for NTN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97622">
        <w:rPr>
          <w:rFonts w:ascii="Arial" w:eastAsia="宋体" w:hAnsi="Arial"/>
          <w:b/>
          <w:sz w:val="24"/>
          <w:lang w:val="en-US" w:eastAsia="zh-CN"/>
        </w:rPr>
        <w:t>8.8.4.1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97622" w:rsidRDefault="00D624B0" w:rsidP="00297622">
      <w:pPr>
        <w:overflowPunct w:val="0"/>
        <w:autoSpaceDE w:val="0"/>
        <w:autoSpaceDN w:val="0"/>
        <w:adjustRightInd w:val="0"/>
        <w:spacing w:before="120" w:after="120"/>
        <w:textAlignment w:val="baseline"/>
        <w:rPr>
          <w:rFonts w:eastAsia="宋体"/>
          <w:lang w:eastAsia="zh-CN"/>
        </w:rPr>
      </w:pPr>
      <w:r>
        <w:rPr>
          <w:rFonts w:eastAsia="宋体"/>
          <w:lang w:eastAsia="zh-CN"/>
        </w:rPr>
        <w:t>The general issues for NTN RRM requirements are discussed in RAN4#</w:t>
      </w:r>
      <w:r w:rsidR="005A5D4F">
        <w:rPr>
          <w:rFonts w:eastAsia="宋体"/>
          <w:lang w:eastAsia="zh-CN"/>
        </w:rPr>
        <w:t>98-e, and the outcomes are captured in the agreed WF [1]. Based on our understanding, RAN4 should further discuss the following general issues for NTN RRM:</w:t>
      </w:r>
    </w:p>
    <w:p w:rsidR="005A5D4F" w:rsidRPr="005A5D4F" w:rsidRDefault="005A5D4F" w:rsidP="005A5D4F">
      <w:pPr>
        <w:pStyle w:val="af8"/>
        <w:numPr>
          <w:ilvl w:val="0"/>
          <w:numId w:val="12"/>
        </w:numPr>
        <w:overflowPunct w:val="0"/>
        <w:autoSpaceDE w:val="0"/>
        <w:autoSpaceDN w:val="0"/>
        <w:adjustRightInd w:val="0"/>
        <w:spacing w:before="120" w:after="120"/>
        <w:textAlignment w:val="baseline"/>
        <w:rPr>
          <w:rFonts w:eastAsia="宋体"/>
          <w:lang w:eastAsia="zh-CN"/>
        </w:rPr>
      </w:pPr>
      <w:r>
        <w:rPr>
          <w:rFonts w:eastAsia="宋体"/>
          <w:lang w:eastAsia="zh-CN"/>
        </w:rPr>
        <w:t xml:space="preserve">RP for time and frequency </w:t>
      </w:r>
    </w:p>
    <w:p w:rsidR="0034102D" w:rsidRDefault="005A5D4F"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G</w:t>
      </w:r>
      <w:r>
        <w:rPr>
          <w:rFonts w:eastAsia="宋体"/>
          <w:lang w:eastAsia="zh-CN"/>
        </w:rPr>
        <w:t xml:space="preserve">NSS requirements </w:t>
      </w:r>
    </w:p>
    <w:p w:rsidR="005A5D4F" w:rsidRDefault="005A5D4F" w:rsidP="005A5D4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PVT assumption </w:t>
      </w:r>
    </w:p>
    <w:p w:rsidR="005A5D4F" w:rsidRDefault="005A5D4F" w:rsidP="005A5D4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Frequency sync requirements</w:t>
      </w:r>
    </w:p>
    <w:p w:rsidR="005A5D4F" w:rsidRPr="005A5D4F" w:rsidRDefault="005A5D4F" w:rsidP="005A5D4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Beam management requirements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above open issues</w:t>
      </w:r>
      <w:r w:rsidR="001629C9">
        <w:rPr>
          <w:rFonts w:eastAsia="宋体"/>
          <w:lang w:eastAsia="zh-CN"/>
        </w:rPr>
        <w:t xml:space="preserve"> for NTN RRM</w:t>
      </w:r>
      <w:r>
        <w:rPr>
          <w:rFonts w:eastAsia="宋体"/>
          <w:lang w:eastAsia="zh-CN"/>
        </w:rPr>
        <w:t>.</w:t>
      </w:r>
    </w:p>
    <w:p w:rsidR="00754DE9" w:rsidRDefault="00B06084" w:rsidP="00754DE9">
      <w:pPr>
        <w:pStyle w:val="1"/>
        <w:jc w:val="both"/>
        <w:rPr>
          <w:lang w:val="en-US"/>
        </w:rPr>
      </w:pPr>
      <w:r>
        <w:rPr>
          <w:lang w:val="en-US"/>
        </w:rPr>
        <w:t>Discussion</w:t>
      </w:r>
    </w:p>
    <w:p w:rsidR="001629C9" w:rsidRDefault="001629C9" w:rsidP="001629C9">
      <w:pPr>
        <w:pStyle w:val="2"/>
        <w:rPr>
          <w:lang w:eastAsia="zh-CN"/>
        </w:rPr>
      </w:pPr>
      <w:r>
        <w:rPr>
          <w:lang w:eastAsia="zh-CN"/>
        </w:rPr>
        <w:t xml:space="preserve">RP for time and frequency </w:t>
      </w:r>
    </w:p>
    <w:tbl>
      <w:tblPr>
        <w:tblStyle w:val="af4"/>
        <w:tblW w:w="0" w:type="auto"/>
        <w:tblLook w:val="04A0" w:firstRow="1" w:lastRow="0" w:firstColumn="1" w:lastColumn="0" w:noHBand="0" w:noVBand="1"/>
      </w:tblPr>
      <w:tblGrid>
        <w:gridCol w:w="9621"/>
      </w:tblGrid>
      <w:tr w:rsidR="001629C9" w:rsidTr="001629C9">
        <w:tc>
          <w:tcPr>
            <w:tcW w:w="9621" w:type="dxa"/>
          </w:tcPr>
          <w:p w:rsidR="001629C9" w:rsidRPr="001629C9" w:rsidRDefault="001629C9" w:rsidP="001629C9">
            <w:pPr>
              <w:spacing w:before="120" w:after="120"/>
              <w:ind w:left="720"/>
              <w:rPr>
                <w:rFonts w:eastAsiaTheme="minorEastAsia"/>
                <w:lang w:val="en-US" w:eastAsia="zh-CN"/>
              </w:rPr>
            </w:pPr>
            <w:r w:rsidRPr="001629C9">
              <w:rPr>
                <w:rFonts w:eastAsiaTheme="minorEastAsia"/>
                <w:lang w:val="en-US" w:eastAsia="zh-CN"/>
              </w:rPr>
              <w:t>Sub-topic 1-1: RP to be considered for time and frequency synchronization</w:t>
            </w:r>
          </w:p>
          <w:p w:rsidR="001629C9" w:rsidRPr="001629C9" w:rsidRDefault="001629C9" w:rsidP="001629C9">
            <w:pPr>
              <w:numPr>
                <w:ilvl w:val="1"/>
                <w:numId w:val="24"/>
              </w:numPr>
              <w:spacing w:before="120" w:after="120"/>
              <w:rPr>
                <w:rFonts w:eastAsiaTheme="minorEastAsia"/>
                <w:lang w:val="en-US" w:eastAsia="zh-CN"/>
              </w:rPr>
            </w:pPr>
            <w:r w:rsidRPr="001629C9">
              <w:rPr>
                <w:rFonts w:eastAsiaTheme="minorEastAsia"/>
                <w:lang w:val="en-US" w:eastAsia="zh-CN"/>
              </w:rPr>
              <w:t>Issue 1-1: Send information LS to RAN1</w:t>
            </w:r>
          </w:p>
          <w:p w:rsidR="001629C9" w:rsidRPr="001629C9" w:rsidRDefault="001629C9" w:rsidP="001629C9">
            <w:pPr>
              <w:numPr>
                <w:ilvl w:val="2"/>
                <w:numId w:val="24"/>
              </w:numPr>
              <w:spacing w:before="120" w:after="120"/>
              <w:rPr>
                <w:rFonts w:eastAsiaTheme="minorEastAsia"/>
                <w:lang w:val="en-US" w:eastAsia="zh-CN"/>
              </w:rPr>
            </w:pPr>
            <w:r w:rsidRPr="001629C9">
              <w:rPr>
                <w:rFonts w:eastAsiaTheme="minorEastAsia"/>
                <w:lang w:val="en-US" w:eastAsia="zh-CN"/>
              </w:rPr>
              <w:t>Defer the LS. Further discuss the impacts of different reference points on RRM requirements and inform RAN1 in case any common observations are identified.</w:t>
            </w:r>
          </w:p>
          <w:p w:rsidR="001629C9" w:rsidRPr="001629C9" w:rsidRDefault="001629C9" w:rsidP="001629C9">
            <w:pPr>
              <w:numPr>
                <w:ilvl w:val="1"/>
                <w:numId w:val="24"/>
              </w:numPr>
              <w:spacing w:before="120" w:after="120"/>
              <w:rPr>
                <w:rFonts w:eastAsiaTheme="minorEastAsia"/>
                <w:lang w:val="en-US" w:eastAsia="zh-CN"/>
              </w:rPr>
            </w:pPr>
            <w:r w:rsidRPr="001629C9">
              <w:rPr>
                <w:rFonts w:eastAsiaTheme="minorEastAsia"/>
                <w:lang w:val="en-US" w:eastAsia="zh-CN"/>
              </w:rPr>
              <w:t xml:space="preserve">Issue 1-2: Possibility of using satellite and </w:t>
            </w:r>
            <w:proofErr w:type="spellStart"/>
            <w:r w:rsidRPr="001629C9">
              <w:rPr>
                <w:rFonts w:eastAsiaTheme="minorEastAsia"/>
                <w:lang w:val="en-US" w:eastAsia="zh-CN"/>
              </w:rPr>
              <w:t>gNB</w:t>
            </w:r>
            <w:proofErr w:type="spellEnd"/>
            <w:r w:rsidRPr="001629C9">
              <w:rPr>
                <w:rFonts w:eastAsiaTheme="minorEastAsia"/>
                <w:lang w:val="en-US" w:eastAsia="zh-CN"/>
              </w:rPr>
              <w:t xml:space="preserve"> as time and frequency reference</w:t>
            </w:r>
          </w:p>
          <w:p w:rsidR="001629C9" w:rsidRPr="001629C9" w:rsidRDefault="001629C9" w:rsidP="001629C9">
            <w:pPr>
              <w:numPr>
                <w:ilvl w:val="2"/>
                <w:numId w:val="24"/>
              </w:numPr>
              <w:spacing w:before="120" w:after="120"/>
              <w:rPr>
                <w:rFonts w:eastAsiaTheme="minorEastAsia"/>
                <w:lang w:val="en-US" w:eastAsia="zh-CN"/>
              </w:rPr>
            </w:pPr>
            <w:r w:rsidRPr="001629C9">
              <w:rPr>
                <w:rFonts w:eastAsiaTheme="minorEastAsia"/>
                <w:lang w:eastAsia="zh-CN"/>
              </w:rPr>
              <w:t>Further investigate the impact of different timing and frequency reference points based on RAN1 design on the RRM requirements. Inform RAN1 if any issues are identified.</w:t>
            </w:r>
          </w:p>
        </w:tc>
      </w:tr>
    </w:tbl>
    <w:p w:rsidR="001629C9" w:rsidRDefault="001629C9" w:rsidP="001629C9">
      <w:pPr>
        <w:spacing w:before="120" w:after="120"/>
        <w:rPr>
          <w:rFonts w:eastAsiaTheme="minorEastAsia"/>
          <w:lang w:eastAsia="zh-CN"/>
        </w:rPr>
      </w:pPr>
      <w:r>
        <w:rPr>
          <w:rFonts w:eastAsiaTheme="minorEastAsia"/>
          <w:lang w:eastAsia="zh-CN"/>
        </w:rPr>
        <w:t xml:space="preserve">In RAN4#98-e, some companies suggested to send LS to RAN1 regarding the Reference Point for </w:t>
      </w:r>
      <w:r w:rsidR="0093223E">
        <w:rPr>
          <w:rFonts w:eastAsiaTheme="minorEastAsia"/>
          <w:lang w:eastAsia="zh-CN"/>
        </w:rPr>
        <w:t xml:space="preserve">Time and Frequency synchronization [2]. </w:t>
      </w:r>
      <w:r w:rsidR="001F6B96">
        <w:rPr>
          <w:rFonts w:eastAsiaTheme="minorEastAsia"/>
          <w:lang w:eastAsia="zh-CN"/>
        </w:rPr>
        <w:t xml:space="preserve">The observations in [2] are mainly about </w:t>
      </w:r>
    </w:p>
    <w:p w:rsidR="001F6B96" w:rsidRPr="001F6B96" w:rsidRDefault="001F6B96" w:rsidP="001F6B96">
      <w:pPr>
        <w:pStyle w:val="af8"/>
        <w:numPr>
          <w:ilvl w:val="0"/>
          <w:numId w:val="12"/>
        </w:numPr>
        <w:spacing w:before="120" w:after="120"/>
        <w:rPr>
          <w:rFonts w:eastAsiaTheme="minorEastAsia"/>
          <w:lang w:eastAsia="zh-CN"/>
        </w:rPr>
      </w:pPr>
      <w:r>
        <w:rPr>
          <w:rFonts w:eastAsiaTheme="minorEastAsia"/>
          <w:lang w:eastAsia="zh-CN"/>
        </w:rPr>
        <w:t xml:space="preserve">The DL-UL delay and Doppler shift experienced by the </w:t>
      </w:r>
      <w:proofErr w:type="spellStart"/>
      <w:r>
        <w:rPr>
          <w:rFonts w:eastAsiaTheme="minorEastAsia"/>
          <w:lang w:eastAsia="zh-CN"/>
        </w:rPr>
        <w:t>gNB</w:t>
      </w:r>
      <w:proofErr w:type="spellEnd"/>
      <w:r>
        <w:rPr>
          <w:rFonts w:eastAsiaTheme="minorEastAsia"/>
          <w:lang w:eastAsia="zh-CN"/>
        </w:rPr>
        <w:t xml:space="preserve"> in UL</w:t>
      </w:r>
    </w:p>
    <w:p w:rsidR="001F6B96" w:rsidRDefault="001F6B96" w:rsidP="001F6B96">
      <w:pPr>
        <w:pStyle w:val="af8"/>
        <w:numPr>
          <w:ilvl w:val="0"/>
          <w:numId w:val="12"/>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mpact on standardization and </w:t>
      </w:r>
      <w:proofErr w:type="spellStart"/>
      <w:r>
        <w:rPr>
          <w:rFonts w:eastAsiaTheme="minorEastAsia"/>
          <w:lang w:eastAsia="zh-CN"/>
        </w:rPr>
        <w:t>gNB</w:t>
      </w:r>
      <w:proofErr w:type="spellEnd"/>
      <w:r>
        <w:rPr>
          <w:rFonts w:eastAsiaTheme="minorEastAsia"/>
          <w:lang w:eastAsia="zh-CN"/>
        </w:rPr>
        <w:t xml:space="preserve"> implementation from different RP definitions</w:t>
      </w:r>
    </w:p>
    <w:p w:rsidR="001F6B96" w:rsidRPr="001F6B96" w:rsidRDefault="001F6B96" w:rsidP="001F6B96">
      <w:pPr>
        <w:pStyle w:val="af8"/>
        <w:numPr>
          <w:ilvl w:val="0"/>
          <w:numId w:val="12"/>
        </w:numPr>
        <w:spacing w:before="120" w:after="120"/>
        <w:rPr>
          <w:rFonts w:eastAsiaTheme="minorEastAsia"/>
          <w:lang w:eastAsia="zh-CN"/>
        </w:rPr>
      </w:pPr>
      <w:r>
        <w:rPr>
          <w:rFonts w:eastAsiaTheme="minorEastAsia"/>
          <w:lang w:eastAsia="zh-CN"/>
        </w:rPr>
        <w:t xml:space="preserve">Information to be signaled to UE to enable RP at </w:t>
      </w:r>
      <w:proofErr w:type="spellStart"/>
      <w:r>
        <w:rPr>
          <w:rFonts w:eastAsiaTheme="minorEastAsia"/>
          <w:lang w:eastAsia="zh-CN"/>
        </w:rPr>
        <w:t>gNB</w:t>
      </w:r>
      <w:proofErr w:type="spellEnd"/>
    </w:p>
    <w:p w:rsidR="001629C9" w:rsidRDefault="001F6B96" w:rsidP="001629C9">
      <w:pPr>
        <w:spacing w:before="120" w:after="120"/>
        <w:rPr>
          <w:rFonts w:eastAsiaTheme="minorEastAsia"/>
          <w:lang w:val="en-US" w:eastAsia="zh-CN"/>
        </w:rPr>
      </w:pPr>
      <w:r>
        <w:rPr>
          <w:rFonts w:eastAsiaTheme="minorEastAsia"/>
          <w:lang w:val="en-US" w:eastAsia="zh-CN"/>
        </w:rPr>
        <w:t>In our view, the definition of RP for time and frequency sync is mainly RAN1 issue,</w:t>
      </w:r>
      <w:r w:rsidR="00FF7B1C">
        <w:rPr>
          <w:rFonts w:eastAsiaTheme="minorEastAsia"/>
          <w:lang w:val="en-US" w:eastAsia="zh-CN"/>
        </w:rPr>
        <w:t xml:space="preserve"> and from RAN4 RRM requirements point of view, there is not much impact, i.e. most likely the same requirement could apply regardless of whether the RP is placed at the </w:t>
      </w:r>
      <w:proofErr w:type="spellStart"/>
      <w:r w:rsidR="00FF7B1C">
        <w:rPr>
          <w:rFonts w:eastAsiaTheme="minorEastAsia"/>
          <w:lang w:val="en-US" w:eastAsia="zh-CN"/>
        </w:rPr>
        <w:t>gNB</w:t>
      </w:r>
      <w:proofErr w:type="spellEnd"/>
      <w:r w:rsidR="00FF7B1C">
        <w:rPr>
          <w:rFonts w:eastAsiaTheme="minorEastAsia"/>
          <w:lang w:val="en-US" w:eastAsia="zh-CN"/>
        </w:rPr>
        <w:t xml:space="preserve"> or satellite side. </w:t>
      </w:r>
    </w:p>
    <w:p w:rsidR="002551CF" w:rsidRDefault="00FF7B1C" w:rsidP="001629C9">
      <w:pPr>
        <w:spacing w:before="120" w:after="120"/>
        <w:rPr>
          <w:rFonts w:eastAsiaTheme="minorEastAsia"/>
          <w:lang w:val="en-US" w:eastAsia="zh-CN"/>
        </w:rPr>
      </w:pPr>
      <w:r>
        <w:rPr>
          <w:rFonts w:eastAsiaTheme="minorEastAsia"/>
          <w:lang w:val="en-US" w:eastAsia="zh-CN"/>
        </w:rPr>
        <w:t xml:space="preserve">On the other hand, where to place the RP does have impact on the </w:t>
      </w:r>
      <w:proofErr w:type="spellStart"/>
      <w:r>
        <w:rPr>
          <w:rFonts w:eastAsiaTheme="minorEastAsia"/>
          <w:lang w:val="en-US" w:eastAsia="zh-CN"/>
        </w:rPr>
        <w:t>gNB</w:t>
      </w:r>
      <w:proofErr w:type="spellEnd"/>
      <w:r>
        <w:rPr>
          <w:rFonts w:eastAsiaTheme="minorEastAsia"/>
          <w:lang w:val="en-US" w:eastAsia="zh-CN"/>
        </w:rPr>
        <w:t xml:space="preserve"> implementation, so RAN4 can consider to send LS to RAN1 in this regards. Specifically, we share the same observation </w:t>
      </w:r>
      <w:r w:rsidR="002551CF">
        <w:rPr>
          <w:rFonts w:eastAsiaTheme="minorEastAsia"/>
          <w:lang w:val="en-US" w:eastAsia="zh-CN"/>
        </w:rPr>
        <w:t>as</w:t>
      </w:r>
      <w:r>
        <w:rPr>
          <w:rFonts w:eastAsiaTheme="minorEastAsia"/>
          <w:lang w:val="en-US" w:eastAsia="zh-CN"/>
        </w:rPr>
        <w:t xml:space="preserve"> [2] about the time varying DL-UL delay</w:t>
      </w:r>
      <w:r w:rsidR="002551CF">
        <w:rPr>
          <w:rFonts w:eastAsiaTheme="minorEastAsia"/>
          <w:lang w:val="en-US" w:eastAsia="zh-CN"/>
        </w:rPr>
        <w:t xml:space="preserve"> if the time sync RP is placed at satellite, which may prevent re-using the existing </w:t>
      </w:r>
      <w:proofErr w:type="spellStart"/>
      <w:r w:rsidR="002551CF">
        <w:rPr>
          <w:rFonts w:eastAsiaTheme="minorEastAsia"/>
          <w:lang w:val="en-US" w:eastAsia="zh-CN"/>
        </w:rPr>
        <w:t>gNB</w:t>
      </w:r>
      <w:proofErr w:type="spellEnd"/>
      <w:r w:rsidR="002551CF">
        <w:rPr>
          <w:rFonts w:eastAsiaTheme="minorEastAsia"/>
          <w:lang w:val="en-US" w:eastAsia="zh-CN"/>
        </w:rPr>
        <w:t xml:space="preserve"> implementation for NTN.</w:t>
      </w:r>
    </w:p>
    <w:p w:rsidR="002551CF" w:rsidRDefault="002551CF" w:rsidP="001629C9">
      <w:pPr>
        <w:spacing w:before="120" w:after="120"/>
        <w:rPr>
          <w:rFonts w:eastAsiaTheme="minorEastAsia"/>
          <w:lang w:val="en-US" w:eastAsia="zh-CN"/>
        </w:rPr>
      </w:pPr>
      <w:r>
        <w:rPr>
          <w:rFonts w:eastAsiaTheme="minorEastAsia"/>
          <w:lang w:val="en-US" w:eastAsia="zh-CN"/>
        </w:rPr>
        <w:lastRenderedPageBreak/>
        <w:t xml:space="preserve">For the time varying Doppler shift, we do not think it would impact </w:t>
      </w:r>
      <w:proofErr w:type="spellStart"/>
      <w:r>
        <w:rPr>
          <w:rFonts w:eastAsiaTheme="minorEastAsia"/>
          <w:lang w:val="en-US" w:eastAsia="zh-CN"/>
        </w:rPr>
        <w:t>gNB</w:t>
      </w:r>
      <w:proofErr w:type="spellEnd"/>
      <w:r>
        <w:rPr>
          <w:rFonts w:eastAsiaTheme="minorEastAsia"/>
          <w:lang w:val="en-US" w:eastAsia="zh-CN"/>
        </w:rPr>
        <w:t xml:space="preserve"> implementation, since the </w:t>
      </w:r>
      <w:proofErr w:type="spellStart"/>
      <w:r>
        <w:rPr>
          <w:rFonts w:eastAsiaTheme="minorEastAsia"/>
          <w:lang w:val="en-US" w:eastAsia="zh-CN"/>
        </w:rPr>
        <w:t>gNB</w:t>
      </w:r>
      <w:proofErr w:type="spellEnd"/>
      <w:r>
        <w:rPr>
          <w:rFonts w:eastAsiaTheme="minorEastAsia"/>
          <w:lang w:val="en-US" w:eastAsia="zh-CN"/>
        </w:rPr>
        <w:t xml:space="preserve"> today may already need to handle the time varying Doppler shift from UE, e.g. in HST scenarios. </w:t>
      </w:r>
      <w:r w:rsidR="009F2FD7">
        <w:rPr>
          <w:rFonts w:eastAsiaTheme="minorEastAsia"/>
          <w:lang w:val="en-US" w:eastAsia="zh-CN"/>
        </w:rPr>
        <w:t xml:space="preserve">We also do not see it relevant to RAN4 what information to signal to UE when RP is placed at </w:t>
      </w:r>
      <w:proofErr w:type="spellStart"/>
      <w:r w:rsidR="009F2FD7">
        <w:rPr>
          <w:rFonts w:eastAsiaTheme="minorEastAsia"/>
          <w:lang w:val="en-US" w:eastAsia="zh-CN"/>
        </w:rPr>
        <w:t>gNB</w:t>
      </w:r>
      <w:proofErr w:type="spellEnd"/>
      <w:r w:rsidR="009F2FD7">
        <w:rPr>
          <w:rFonts w:eastAsiaTheme="minorEastAsia"/>
          <w:lang w:val="en-US" w:eastAsia="zh-CN"/>
        </w:rPr>
        <w:t xml:space="preserve">, e.g. whether the GW location or the delay on the feeder link should be broadcasted to UE. This should have no impact the </w:t>
      </w:r>
      <w:proofErr w:type="spellStart"/>
      <w:r w:rsidR="009F2FD7">
        <w:rPr>
          <w:rFonts w:eastAsiaTheme="minorEastAsia"/>
          <w:lang w:val="en-US" w:eastAsia="zh-CN"/>
        </w:rPr>
        <w:t>gNB</w:t>
      </w:r>
      <w:proofErr w:type="spellEnd"/>
      <w:r w:rsidR="009F2FD7">
        <w:rPr>
          <w:rFonts w:eastAsiaTheme="minorEastAsia"/>
          <w:lang w:val="en-US" w:eastAsia="zh-CN"/>
        </w:rPr>
        <w:t xml:space="preserve"> implementation.  </w:t>
      </w:r>
    </w:p>
    <w:p w:rsidR="001629C9" w:rsidRDefault="009F2FD7" w:rsidP="001629C9">
      <w:pPr>
        <w:spacing w:before="120" w:after="120"/>
        <w:rPr>
          <w:rFonts w:eastAsiaTheme="minorEastAsia"/>
          <w:lang w:eastAsia="zh-CN"/>
        </w:rPr>
      </w:pPr>
      <w:r>
        <w:rPr>
          <w:rFonts w:eastAsiaTheme="minorEastAsia"/>
          <w:lang w:eastAsia="zh-CN"/>
        </w:rPr>
        <w:t>Based on above, we have the following proposal.</w:t>
      </w:r>
    </w:p>
    <w:p w:rsidR="009F2FD7" w:rsidRPr="009F2FD7" w:rsidRDefault="009F2FD7" w:rsidP="001629C9">
      <w:pPr>
        <w:spacing w:before="120" w:after="120"/>
        <w:rPr>
          <w:rFonts w:eastAsiaTheme="minorEastAsia"/>
          <w:b/>
          <w:lang w:eastAsia="zh-CN"/>
        </w:rPr>
      </w:pPr>
      <w:r w:rsidRPr="009F2FD7">
        <w:rPr>
          <w:rFonts w:eastAsiaTheme="minorEastAsia"/>
          <w:b/>
          <w:lang w:eastAsia="zh-CN"/>
        </w:rPr>
        <w:t>Proposal 1: RAN4 can consider to send LS to RAN1 regarding the observed implementation impact of the DL-UL delay</w:t>
      </w:r>
      <w:r>
        <w:rPr>
          <w:rFonts w:eastAsiaTheme="minorEastAsia"/>
          <w:b/>
          <w:lang w:eastAsia="zh-CN"/>
        </w:rPr>
        <w:t xml:space="preserve"> depending on the RP for time synchronization.</w:t>
      </w:r>
    </w:p>
    <w:p w:rsidR="001629C9" w:rsidRDefault="001629C9" w:rsidP="009F2FD7">
      <w:pPr>
        <w:pStyle w:val="2"/>
        <w:rPr>
          <w:lang w:eastAsia="zh-CN"/>
        </w:rPr>
      </w:pPr>
      <w:r>
        <w:rPr>
          <w:rFonts w:hint="eastAsia"/>
          <w:lang w:eastAsia="zh-CN"/>
        </w:rPr>
        <w:t>G</w:t>
      </w:r>
      <w:r>
        <w:rPr>
          <w:lang w:eastAsia="zh-CN"/>
        </w:rPr>
        <w:t xml:space="preserve">NSS requirements </w:t>
      </w:r>
    </w:p>
    <w:p w:rsidR="003A5BAA" w:rsidRPr="003A5BAA" w:rsidRDefault="003A5BAA" w:rsidP="003A5BAA">
      <w:pPr>
        <w:pStyle w:val="3"/>
        <w:rPr>
          <w:lang w:eastAsia="zh-CN"/>
        </w:rPr>
      </w:pPr>
      <w:r>
        <w:rPr>
          <w:rFonts w:hint="eastAsia"/>
          <w:lang w:eastAsia="zh-CN"/>
        </w:rPr>
        <w:t>GN</w:t>
      </w:r>
      <w:r>
        <w:rPr>
          <w:lang w:eastAsia="zh-CN"/>
        </w:rPr>
        <w:t>SS usage</w:t>
      </w:r>
    </w:p>
    <w:tbl>
      <w:tblPr>
        <w:tblStyle w:val="af4"/>
        <w:tblW w:w="0" w:type="auto"/>
        <w:tblLook w:val="04A0" w:firstRow="1" w:lastRow="0" w:firstColumn="1" w:lastColumn="0" w:noHBand="0" w:noVBand="1"/>
      </w:tblPr>
      <w:tblGrid>
        <w:gridCol w:w="9621"/>
      </w:tblGrid>
      <w:tr w:rsidR="009F2FD7" w:rsidTr="009F2FD7">
        <w:tc>
          <w:tcPr>
            <w:tcW w:w="9621" w:type="dxa"/>
          </w:tcPr>
          <w:p w:rsidR="00AE6371" w:rsidRPr="003A5BAA" w:rsidRDefault="00AE6371" w:rsidP="003A5BAA">
            <w:pPr>
              <w:numPr>
                <w:ilvl w:val="1"/>
                <w:numId w:val="25"/>
              </w:numPr>
              <w:overflowPunct w:val="0"/>
              <w:autoSpaceDE w:val="0"/>
              <w:autoSpaceDN w:val="0"/>
              <w:adjustRightInd w:val="0"/>
              <w:spacing w:beforeLines="0" w:before="120" w:afterLines="0" w:after="120"/>
              <w:textAlignment w:val="baseline"/>
              <w:rPr>
                <w:rFonts w:eastAsia="宋体"/>
                <w:lang w:val="en-US" w:eastAsia="zh-CN"/>
              </w:rPr>
            </w:pPr>
            <w:r w:rsidRPr="003A5BAA">
              <w:rPr>
                <w:rFonts w:eastAsia="宋体"/>
                <w:lang w:val="en-US" w:eastAsia="zh-CN"/>
              </w:rPr>
              <w:t>Issue 2-1: Definition of GNSS requirements</w:t>
            </w:r>
          </w:p>
          <w:p w:rsidR="009F2FD7" w:rsidRPr="003A5BAA" w:rsidRDefault="00AE6371" w:rsidP="009F2FD7">
            <w:pPr>
              <w:numPr>
                <w:ilvl w:val="2"/>
                <w:numId w:val="25"/>
              </w:numPr>
              <w:overflowPunct w:val="0"/>
              <w:autoSpaceDE w:val="0"/>
              <w:autoSpaceDN w:val="0"/>
              <w:adjustRightInd w:val="0"/>
              <w:spacing w:beforeLines="0" w:before="120" w:afterLines="0" w:after="120"/>
              <w:textAlignment w:val="baseline"/>
              <w:rPr>
                <w:rFonts w:eastAsia="宋体"/>
                <w:lang w:val="en-US" w:eastAsia="zh-CN"/>
              </w:rPr>
            </w:pPr>
            <w:r w:rsidRPr="003A5BAA">
              <w:rPr>
                <w:rFonts w:eastAsia="宋体"/>
                <w:lang w:val="en-US" w:eastAsia="zh-CN"/>
              </w:rPr>
              <w:t>Requirements shall be defined with on-board GNSS as the baseline. FFS on how to handle satellites/HAPS without on-board GNSS</w:t>
            </w:r>
          </w:p>
        </w:tc>
      </w:tr>
    </w:tbl>
    <w:p w:rsidR="009F2FD7" w:rsidRDefault="003A5BAA" w:rsidP="009F2FD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our view, other WGs have already taken the assumption that the ephemeris of the satellite</w:t>
      </w:r>
      <w:r w:rsidR="00AE6371">
        <w:rPr>
          <w:rFonts w:eastAsia="宋体"/>
          <w:lang w:eastAsia="zh-CN"/>
        </w:rPr>
        <w:t>/HAPS</w:t>
      </w:r>
      <w:r>
        <w:rPr>
          <w:rFonts w:eastAsia="宋体"/>
          <w:lang w:eastAsia="zh-CN"/>
        </w:rPr>
        <w:t xml:space="preserve"> will be made available to the UE. For example, in RAN1 it is agreed that UE should support UE specific TA calculation based </w:t>
      </w:r>
      <w:r w:rsidRPr="003A5BAA">
        <w:rPr>
          <w:rFonts w:eastAsia="宋体"/>
          <w:lang w:eastAsia="zh-CN"/>
        </w:rPr>
        <w:t>at least on its GNSS-acquired position and the serving satellite ephemeris</w:t>
      </w:r>
      <w:r>
        <w:rPr>
          <w:rFonts w:eastAsia="宋体"/>
          <w:lang w:eastAsia="zh-CN"/>
        </w:rPr>
        <w:t xml:space="preserve">. In RAN2 it is agreed that </w:t>
      </w:r>
      <w:r w:rsidRPr="003A5BAA">
        <w:rPr>
          <w:rFonts w:eastAsia="宋体"/>
          <w:lang w:eastAsia="zh-CN"/>
        </w:rPr>
        <w:t>Satellite/HAPS ephemeris based cell selection and reselection should be defined for NTN</w:t>
      </w:r>
      <w:r w:rsidR="00AE6371">
        <w:rPr>
          <w:rFonts w:eastAsia="宋体"/>
          <w:lang w:eastAsia="zh-CN"/>
        </w:rPr>
        <w:t>.</w:t>
      </w:r>
    </w:p>
    <w:p w:rsidR="00AE6371" w:rsidRDefault="00AE6371" w:rsidP="009F2FD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Therefore, RAN4 should also take the assumption that ephemeris of the satellite/HAPS is made available to UE when defining the RRM requirements. What matters to RAN4 requirements is the accuracy of the ephemeris but not whether the satellite or HAPS has on-board GNSS or not, so we suggest RAN4 not to further discuss the issue.</w:t>
      </w:r>
    </w:p>
    <w:p w:rsidR="00AE6371" w:rsidRPr="00AE6371" w:rsidRDefault="00AE6371" w:rsidP="009F2FD7">
      <w:pPr>
        <w:overflowPunct w:val="0"/>
        <w:autoSpaceDE w:val="0"/>
        <w:autoSpaceDN w:val="0"/>
        <w:adjustRightInd w:val="0"/>
        <w:spacing w:beforeLines="0" w:before="120" w:afterLines="0" w:after="120"/>
        <w:textAlignment w:val="baseline"/>
        <w:rPr>
          <w:rFonts w:eastAsia="宋体"/>
          <w:b/>
          <w:lang w:eastAsia="zh-CN"/>
        </w:rPr>
      </w:pPr>
      <w:r w:rsidRPr="00AE6371">
        <w:rPr>
          <w:rFonts w:eastAsia="宋体"/>
          <w:b/>
          <w:lang w:eastAsia="zh-CN"/>
        </w:rPr>
        <w:t>Proposal 2: RAN4 assumes that ephemeris of the satellite/HAPS is made available to UE in defining the RRM requirements. No further discussion on whether the satellite or HAPS has on-board GNSS.</w:t>
      </w:r>
    </w:p>
    <w:p w:rsidR="003A5BAA" w:rsidRDefault="00AE6371" w:rsidP="00AE6371">
      <w:pPr>
        <w:pStyle w:val="3"/>
        <w:rPr>
          <w:lang w:eastAsia="zh-CN"/>
        </w:rPr>
      </w:pPr>
      <w:r>
        <w:rPr>
          <w:lang w:eastAsia="zh-CN"/>
        </w:rPr>
        <w:t>GNSS accuracy</w:t>
      </w:r>
    </w:p>
    <w:tbl>
      <w:tblPr>
        <w:tblStyle w:val="af4"/>
        <w:tblW w:w="0" w:type="auto"/>
        <w:tblLook w:val="04A0" w:firstRow="1" w:lastRow="0" w:firstColumn="1" w:lastColumn="0" w:noHBand="0" w:noVBand="1"/>
      </w:tblPr>
      <w:tblGrid>
        <w:gridCol w:w="9621"/>
      </w:tblGrid>
      <w:tr w:rsidR="00AE6371" w:rsidTr="00AE6371">
        <w:tc>
          <w:tcPr>
            <w:tcW w:w="9621" w:type="dxa"/>
          </w:tcPr>
          <w:p w:rsidR="00AE6371" w:rsidRPr="00AE6371" w:rsidRDefault="00AE6371" w:rsidP="00AE6371">
            <w:pPr>
              <w:numPr>
                <w:ilvl w:val="1"/>
                <w:numId w:val="28"/>
              </w:numPr>
              <w:overflowPunct w:val="0"/>
              <w:autoSpaceDE w:val="0"/>
              <w:autoSpaceDN w:val="0"/>
              <w:adjustRightInd w:val="0"/>
              <w:spacing w:beforeLines="0" w:before="120" w:afterLines="0" w:after="120"/>
              <w:textAlignment w:val="baseline"/>
              <w:rPr>
                <w:rFonts w:eastAsia="宋体"/>
                <w:lang w:val="en-US" w:eastAsia="zh-CN"/>
              </w:rPr>
            </w:pPr>
            <w:r w:rsidRPr="00AE6371">
              <w:rPr>
                <w:rFonts w:eastAsia="宋体"/>
                <w:lang w:val="en-US" w:eastAsia="zh-CN"/>
              </w:rPr>
              <w:t>Issue 2-2: Impact of GNSS accuracy on RRM requirements</w:t>
            </w:r>
          </w:p>
          <w:p w:rsidR="00AE6371" w:rsidRPr="00AE6371" w:rsidRDefault="00AE6371" w:rsidP="00AE6371">
            <w:pPr>
              <w:numPr>
                <w:ilvl w:val="2"/>
                <w:numId w:val="28"/>
              </w:numPr>
              <w:overflowPunct w:val="0"/>
              <w:autoSpaceDE w:val="0"/>
              <w:autoSpaceDN w:val="0"/>
              <w:adjustRightInd w:val="0"/>
              <w:spacing w:beforeLines="0" w:before="120" w:afterLines="0" w:after="120"/>
              <w:textAlignment w:val="baseline"/>
              <w:rPr>
                <w:rFonts w:eastAsia="宋体"/>
                <w:lang w:val="en-US" w:eastAsia="zh-CN"/>
              </w:rPr>
            </w:pPr>
            <w:r w:rsidRPr="00AE6371">
              <w:rPr>
                <w:rFonts w:eastAsia="宋体"/>
                <w:lang w:val="en-US" w:eastAsia="zh-CN"/>
              </w:rPr>
              <w:t>RRM requirements can be assumed to be impacted by GNSS accuracy. Degree of impact and specific RRM requirements that are impacted are FFS.</w:t>
            </w:r>
          </w:p>
          <w:p w:rsidR="00AE6371" w:rsidRPr="00AE6371" w:rsidRDefault="00AE6371" w:rsidP="00AE6371">
            <w:pPr>
              <w:numPr>
                <w:ilvl w:val="1"/>
                <w:numId w:val="28"/>
              </w:numPr>
              <w:overflowPunct w:val="0"/>
              <w:autoSpaceDE w:val="0"/>
              <w:autoSpaceDN w:val="0"/>
              <w:adjustRightInd w:val="0"/>
              <w:spacing w:beforeLines="0" w:before="120" w:afterLines="0" w:after="120"/>
              <w:textAlignment w:val="baseline"/>
              <w:rPr>
                <w:rFonts w:eastAsia="宋体"/>
                <w:lang w:val="en-US" w:eastAsia="zh-CN"/>
              </w:rPr>
            </w:pPr>
            <w:r w:rsidRPr="00AE6371">
              <w:rPr>
                <w:rFonts w:eastAsia="宋体"/>
                <w:lang w:val="en-US" w:eastAsia="zh-CN"/>
              </w:rPr>
              <w:t>Issue 2-3: GNSS accuracy requirements</w:t>
            </w:r>
          </w:p>
          <w:p w:rsidR="00AE6371" w:rsidRPr="00AE6371" w:rsidRDefault="00AE6371" w:rsidP="00AE6371">
            <w:pPr>
              <w:numPr>
                <w:ilvl w:val="2"/>
                <w:numId w:val="28"/>
              </w:numPr>
              <w:overflowPunct w:val="0"/>
              <w:autoSpaceDE w:val="0"/>
              <w:autoSpaceDN w:val="0"/>
              <w:adjustRightInd w:val="0"/>
              <w:spacing w:beforeLines="0" w:before="120" w:afterLines="0" w:after="120"/>
              <w:textAlignment w:val="baseline"/>
              <w:rPr>
                <w:rFonts w:eastAsia="宋体"/>
                <w:lang w:val="en-US" w:eastAsia="zh-CN"/>
              </w:rPr>
            </w:pPr>
            <w:r w:rsidRPr="00AE6371">
              <w:rPr>
                <w:rFonts w:eastAsia="宋体"/>
                <w:lang w:eastAsia="zh-CN"/>
              </w:rPr>
              <w:t>GNSS accuracy is taken as an assumption to define other requirements. Explicit accuracy requirements are outside the scope of RAN4.</w:t>
            </w:r>
          </w:p>
          <w:p w:rsidR="00AE6371" w:rsidRPr="00AE6371" w:rsidRDefault="00AE6371" w:rsidP="00AE6371">
            <w:pPr>
              <w:numPr>
                <w:ilvl w:val="1"/>
                <w:numId w:val="28"/>
              </w:numPr>
              <w:overflowPunct w:val="0"/>
              <w:autoSpaceDE w:val="0"/>
              <w:autoSpaceDN w:val="0"/>
              <w:adjustRightInd w:val="0"/>
              <w:spacing w:beforeLines="0" w:before="120" w:afterLines="0" w:after="120"/>
              <w:textAlignment w:val="baseline"/>
              <w:rPr>
                <w:rFonts w:eastAsia="宋体"/>
                <w:lang w:val="en-US" w:eastAsia="zh-CN"/>
              </w:rPr>
            </w:pPr>
            <w:r w:rsidRPr="00AE6371">
              <w:rPr>
                <w:rFonts w:eastAsia="宋体"/>
                <w:lang w:val="en-US" w:eastAsia="zh-CN"/>
              </w:rPr>
              <w:t>Issue 2-4: Reference GNSS scenario</w:t>
            </w:r>
          </w:p>
          <w:p w:rsidR="00AE6371" w:rsidRPr="00AE6371" w:rsidRDefault="00AE6371" w:rsidP="009F2FD7">
            <w:pPr>
              <w:numPr>
                <w:ilvl w:val="2"/>
                <w:numId w:val="28"/>
              </w:numPr>
              <w:overflowPunct w:val="0"/>
              <w:autoSpaceDE w:val="0"/>
              <w:autoSpaceDN w:val="0"/>
              <w:adjustRightInd w:val="0"/>
              <w:spacing w:beforeLines="0" w:before="120" w:afterLines="0" w:after="120"/>
              <w:textAlignment w:val="baseline"/>
              <w:rPr>
                <w:rFonts w:eastAsia="宋体"/>
                <w:lang w:val="en-US" w:eastAsia="zh-CN"/>
              </w:rPr>
            </w:pPr>
            <w:r w:rsidRPr="00AE6371">
              <w:rPr>
                <w:rFonts w:eastAsia="宋体"/>
                <w:lang w:eastAsia="zh-CN"/>
              </w:rPr>
              <w:t>Companies should define typical and worst-case scenarios. FFS which one will be used for defining RRM requirements.</w:t>
            </w:r>
          </w:p>
        </w:tc>
      </w:tr>
    </w:tbl>
    <w:p w:rsidR="00AE6371" w:rsidRDefault="00AE6371" w:rsidP="009F2FD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or Issue 2-2, we think at least the UL timing requirements would be impacted by the GNSS accuracy. In addition, the mobility requirements</w:t>
      </w:r>
      <w:r w:rsidRPr="00AE6371">
        <w:rPr>
          <w:rFonts w:eastAsia="宋体"/>
          <w:lang w:eastAsia="zh-CN"/>
        </w:rPr>
        <w:t xml:space="preserve"> </w:t>
      </w:r>
      <w:r>
        <w:rPr>
          <w:rFonts w:eastAsia="宋体"/>
          <w:lang w:eastAsia="zh-CN"/>
        </w:rPr>
        <w:t>may also be possibly impacted, e.g. the location based measurement.</w:t>
      </w:r>
    </w:p>
    <w:p w:rsidR="00AE6371" w:rsidRDefault="00AE6371" w:rsidP="009F2FD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However, we do not think RAN4 should strive to make a list of impacted requirements. Instead, RAN4 </w:t>
      </w:r>
      <w:r w:rsidR="00D72C71">
        <w:rPr>
          <w:rFonts w:eastAsia="宋体"/>
          <w:lang w:eastAsia="zh-CN"/>
        </w:rPr>
        <w:t xml:space="preserve">should discuss what RRM requirements should be defined for NTN (the initial list was already agreed under Issue 1-4 in [1]), and when discussing each requirement, RAN4 could check whether and how it is impacted by GNSS accuracy. For example, the GNSS accuracy will be considered in the UL timing requirements. </w:t>
      </w:r>
    </w:p>
    <w:p w:rsidR="00D72C71" w:rsidRDefault="00D72C71" w:rsidP="009F2FD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Therefore, RAN4 does not need to further discuss Issue 2-2 as a general issue. </w:t>
      </w:r>
    </w:p>
    <w:p w:rsidR="00D72C71" w:rsidRPr="00D72C71" w:rsidRDefault="00D72C71" w:rsidP="009F2FD7">
      <w:pPr>
        <w:overflowPunct w:val="0"/>
        <w:autoSpaceDE w:val="0"/>
        <w:autoSpaceDN w:val="0"/>
        <w:adjustRightInd w:val="0"/>
        <w:spacing w:beforeLines="0" w:before="120" w:afterLines="0" w:after="120"/>
        <w:textAlignment w:val="baseline"/>
        <w:rPr>
          <w:rFonts w:eastAsia="宋体"/>
          <w:b/>
          <w:lang w:eastAsia="zh-CN"/>
        </w:rPr>
      </w:pPr>
      <w:r w:rsidRPr="00D72C71">
        <w:rPr>
          <w:rFonts w:eastAsia="宋体" w:hint="eastAsia"/>
          <w:b/>
          <w:lang w:eastAsia="zh-CN"/>
        </w:rPr>
        <w:t>P</w:t>
      </w:r>
      <w:r w:rsidRPr="00D72C71">
        <w:rPr>
          <w:rFonts w:eastAsia="宋体"/>
          <w:b/>
          <w:lang w:eastAsia="zh-CN"/>
        </w:rPr>
        <w:t xml:space="preserve">roposal 3: RAN4 not to identify the list of RRM requirements impacted by GNSS accuracy, but the impact of GNSS accuracy should be considered when defining each requirement. </w:t>
      </w:r>
    </w:p>
    <w:p w:rsidR="003A5BAA" w:rsidRDefault="00D72C71" w:rsidP="009F2FD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lastRenderedPageBreak/>
        <w:t>F</w:t>
      </w:r>
      <w:r>
        <w:rPr>
          <w:rFonts w:eastAsia="宋体"/>
          <w:lang w:eastAsia="zh-CN"/>
        </w:rPr>
        <w:t xml:space="preserve">or Issue 2-4, </w:t>
      </w:r>
      <w:r w:rsidR="005D2F78">
        <w:rPr>
          <w:rFonts w:eastAsia="宋体"/>
          <w:lang w:eastAsia="zh-CN"/>
        </w:rPr>
        <w:t xml:space="preserve">many companies supported to use GNSS requirements in 38.171 as the assumption for GNSS accuracy, and the open issue is whether typical and worst-case scenario should be assumed. </w:t>
      </w:r>
    </w:p>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Table 1, we listed the GNSS accuracy requirements in 38.171</w:t>
      </w:r>
      <w:r w:rsidR="00F32F2F">
        <w:rPr>
          <w:rFonts w:eastAsia="宋体"/>
          <w:lang w:eastAsia="zh-CN"/>
        </w:rPr>
        <w:t>.</w:t>
      </w:r>
    </w:p>
    <w:p w:rsidR="00F32F2F" w:rsidRPr="00F32F2F" w:rsidRDefault="00F32F2F" w:rsidP="00F32F2F">
      <w:pPr>
        <w:overflowPunct w:val="0"/>
        <w:autoSpaceDE w:val="0"/>
        <w:autoSpaceDN w:val="0"/>
        <w:adjustRightInd w:val="0"/>
        <w:spacing w:beforeLines="0" w:before="120" w:afterLines="0" w:after="120"/>
        <w:jc w:val="center"/>
        <w:textAlignment w:val="baseline"/>
        <w:rPr>
          <w:rFonts w:eastAsia="宋体"/>
          <w:b/>
          <w:lang w:eastAsia="zh-CN"/>
        </w:rPr>
      </w:pPr>
      <w:r w:rsidRPr="00F32F2F">
        <w:rPr>
          <w:rFonts w:eastAsia="宋体"/>
          <w:b/>
          <w:lang w:eastAsia="zh-CN"/>
        </w:rPr>
        <w:t>Table 1: GNSS positioning accuracy requirements in 38.171</w:t>
      </w:r>
    </w:p>
    <w:tbl>
      <w:tblPr>
        <w:tblStyle w:val="af4"/>
        <w:tblW w:w="0" w:type="auto"/>
        <w:tblLook w:val="04A0" w:firstRow="1" w:lastRow="0" w:firstColumn="1" w:lastColumn="0" w:noHBand="0" w:noVBand="1"/>
      </w:tblPr>
      <w:tblGrid>
        <w:gridCol w:w="1201"/>
        <w:gridCol w:w="7192"/>
        <w:gridCol w:w="1228"/>
      </w:tblGrid>
      <w:tr w:rsidR="005D2F78" w:rsidTr="005D2F78">
        <w:tc>
          <w:tcPr>
            <w:tcW w:w="0" w:type="auto"/>
          </w:tcPr>
          <w:p w:rsidR="005D2F78" w:rsidRPr="005D2F78" w:rsidRDefault="005D2F78" w:rsidP="009F2FD7">
            <w:pPr>
              <w:overflowPunct w:val="0"/>
              <w:autoSpaceDE w:val="0"/>
              <w:autoSpaceDN w:val="0"/>
              <w:adjustRightInd w:val="0"/>
              <w:spacing w:beforeLines="0" w:before="120" w:afterLines="0" w:after="120"/>
              <w:textAlignment w:val="baseline"/>
              <w:rPr>
                <w:rFonts w:eastAsia="宋体"/>
                <w:b/>
                <w:lang w:eastAsia="zh-CN"/>
              </w:rPr>
            </w:pPr>
            <w:r w:rsidRPr="005D2F78">
              <w:rPr>
                <w:rFonts w:eastAsia="宋体" w:hint="eastAsia"/>
                <w:b/>
                <w:lang w:eastAsia="zh-CN"/>
              </w:rPr>
              <w:t>S</w:t>
            </w:r>
            <w:r w:rsidRPr="005D2F78">
              <w:rPr>
                <w:rFonts w:eastAsia="宋体"/>
                <w:b/>
                <w:lang w:eastAsia="zh-CN"/>
              </w:rPr>
              <w:t xml:space="preserve">cenario </w:t>
            </w:r>
          </w:p>
        </w:tc>
        <w:tc>
          <w:tcPr>
            <w:tcW w:w="0" w:type="auto"/>
          </w:tcPr>
          <w:p w:rsidR="005D2F78" w:rsidRPr="005D2F78" w:rsidRDefault="005D2F78" w:rsidP="005D2F78">
            <w:pPr>
              <w:overflowPunct w:val="0"/>
              <w:autoSpaceDE w:val="0"/>
              <w:autoSpaceDN w:val="0"/>
              <w:adjustRightInd w:val="0"/>
              <w:spacing w:beforeLines="0" w:before="120" w:afterLines="0" w:after="120"/>
              <w:textAlignment w:val="baseline"/>
              <w:rPr>
                <w:rFonts w:eastAsia="宋体"/>
                <w:b/>
                <w:lang w:eastAsia="zh-CN"/>
              </w:rPr>
            </w:pPr>
            <w:r w:rsidRPr="005D2F78">
              <w:rPr>
                <w:rFonts w:eastAsia="宋体"/>
                <w:b/>
                <w:lang w:eastAsia="zh-CN"/>
              </w:rPr>
              <w:t>Description</w:t>
            </w:r>
            <w:r w:rsidRPr="005D2F78">
              <w:rPr>
                <w:rFonts w:eastAsia="宋体" w:hint="eastAsia"/>
                <w:b/>
                <w:lang w:eastAsia="zh-CN"/>
              </w:rPr>
              <w:t xml:space="preserve"> </w:t>
            </w:r>
          </w:p>
        </w:tc>
        <w:tc>
          <w:tcPr>
            <w:tcW w:w="0" w:type="auto"/>
          </w:tcPr>
          <w:p w:rsidR="005D2F78" w:rsidRPr="005D2F78" w:rsidRDefault="005D2F78" w:rsidP="009F2FD7">
            <w:pPr>
              <w:overflowPunct w:val="0"/>
              <w:autoSpaceDE w:val="0"/>
              <w:autoSpaceDN w:val="0"/>
              <w:adjustRightInd w:val="0"/>
              <w:spacing w:beforeLines="0" w:before="120" w:afterLines="0" w:after="120"/>
              <w:textAlignment w:val="baseline"/>
              <w:rPr>
                <w:rFonts w:eastAsia="宋体"/>
                <w:b/>
                <w:lang w:eastAsia="zh-CN"/>
              </w:rPr>
            </w:pPr>
            <w:r w:rsidRPr="005D2F78">
              <w:rPr>
                <w:rFonts w:eastAsia="宋体" w:hint="eastAsia"/>
                <w:b/>
                <w:lang w:eastAsia="zh-CN"/>
              </w:rPr>
              <w:t>A</w:t>
            </w:r>
            <w:r w:rsidRPr="005D2F78">
              <w:rPr>
                <w:rFonts w:eastAsia="宋体"/>
                <w:b/>
                <w:lang w:eastAsia="zh-CN"/>
              </w:rPr>
              <w:t>ccuracy</w:t>
            </w:r>
            <w:r>
              <w:rPr>
                <w:rFonts w:eastAsia="宋体"/>
                <w:b/>
                <w:lang w:eastAsia="zh-CN"/>
              </w:rPr>
              <w:t xml:space="preserve"> (m)</w:t>
            </w:r>
          </w:p>
        </w:tc>
      </w:tr>
      <w:tr w:rsidR="005D2F78" w:rsidTr="005D2F78">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N</w:t>
            </w:r>
            <w:r>
              <w:rPr>
                <w:rFonts w:eastAsia="宋体"/>
                <w:lang w:eastAsia="zh-CN"/>
              </w:rPr>
              <w:t>ominal</w:t>
            </w:r>
          </w:p>
        </w:tc>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sidRPr="00033949">
              <w:t>Nominal accuracy requirement verifies the accuracy of A-GNSS position estimate in ideal conditions. The primarily aim of the test is to ensure good accuracy for a position estimate when satellite signal conditions allow it.</w:t>
            </w:r>
          </w:p>
        </w:tc>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30/</w:t>
            </w:r>
            <w:r>
              <w:rPr>
                <w:rFonts w:eastAsia="宋体"/>
                <w:lang w:eastAsia="zh-CN"/>
              </w:rPr>
              <w:t>15</w:t>
            </w:r>
          </w:p>
        </w:tc>
      </w:tr>
      <w:tr w:rsidR="005D2F78" w:rsidTr="005D2F78">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D</w:t>
            </w:r>
            <w:r>
              <w:rPr>
                <w:rFonts w:eastAsia="宋体"/>
                <w:lang w:eastAsia="zh-CN"/>
              </w:rPr>
              <w:t>ynamic range</w:t>
            </w:r>
          </w:p>
        </w:tc>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sidRPr="00033949">
              <w:t>The aim of a dynamic range requirement is to ensure that a GNSS receiver performs well when visible satellites have rather different signal levels.</w:t>
            </w:r>
          </w:p>
        </w:tc>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1</w:t>
            </w:r>
            <w:r>
              <w:rPr>
                <w:rFonts w:eastAsia="宋体"/>
                <w:lang w:eastAsia="zh-CN"/>
              </w:rPr>
              <w:t>00/100</w:t>
            </w:r>
          </w:p>
        </w:tc>
      </w:tr>
      <w:tr w:rsidR="005D2F78" w:rsidTr="005D2F78">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Multi-path</w:t>
            </w:r>
          </w:p>
        </w:tc>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sidRPr="00033949">
              <w:rPr>
                <w:iCs/>
              </w:rPr>
              <w:t>The purpose of the test case is to</w:t>
            </w:r>
            <w:r w:rsidRPr="00033949">
              <w:t xml:space="preserve"> verify the receiver's tolerance to multipath while keeping the test setup simple.</w:t>
            </w:r>
          </w:p>
        </w:tc>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1</w:t>
            </w:r>
            <w:r>
              <w:rPr>
                <w:rFonts w:eastAsia="宋体"/>
                <w:lang w:eastAsia="zh-CN"/>
              </w:rPr>
              <w:t>00/100</w:t>
            </w:r>
          </w:p>
        </w:tc>
      </w:tr>
      <w:tr w:rsidR="005D2F78" w:rsidTr="005D2F78">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Moving </w:t>
            </w:r>
          </w:p>
        </w:tc>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sidRPr="00033949">
              <w:rPr>
                <w:iCs/>
              </w:rPr>
              <w:t xml:space="preserve">The purpose of the test case is to verify </w:t>
            </w:r>
            <w:r w:rsidRPr="00033949">
              <w:t>the receiver's capability to produce GNSS measurements or location fixes on a regular basis, and to follow when it is located in a vehicle that slows down, turns or accelerates.</w:t>
            </w:r>
          </w:p>
        </w:tc>
        <w:tc>
          <w:tcPr>
            <w:tcW w:w="0" w:type="auto"/>
          </w:tcPr>
          <w:p w:rsidR="005D2F78" w:rsidRDefault="005D2F78" w:rsidP="009F2FD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1</w:t>
            </w:r>
            <w:r>
              <w:rPr>
                <w:rFonts w:eastAsia="宋体"/>
                <w:lang w:eastAsia="zh-CN"/>
              </w:rPr>
              <w:t>00/50</w:t>
            </w:r>
          </w:p>
        </w:tc>
      </w:tr>
    </w:tbl>
    <w:p w:rsidR="005D2F78" w:rsidRDefault="00F32F2F" w:rsidP="009F2FD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We suggest to take the worst case from Table 1 as the assumption of GNSS accuracy for defining RRM requirements. If we use the nominal requirements, it means the assumption may not hold in non-ideal scenario, which may limit the use cases of NTN. </w:t>
      </w:r>
    </w:p>
    <w:p w:rsidR="0072405C" w:rsidRDefault="0072405C" w:rsidP="0072405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One related issue is the frequency/period of the GNSS positioning. It is noted that most of the accuracy requirements in 38.171 are for first fix, while the moving scenario is for periodic positioning update. It can be expected that when NTN UE performs GNSS positioning more frequently, a more accurate positioning estimation can be assumed. On the other hand, the actual frequency of GNSS positioning can be left to UE implementation, as long as UE can meet the RRM requirements defined based on certain accuracy. </w:t>
      </w:r>
    </w:p>
    <w:p w:rsidR="00F32F2F" w:rsidRPr="00F32F2F" w:rsidRDefault="00F32F2F" w:rsidP="009F2FD7">
      <w:pPr>
        <w:overflowPunct w:val="0"/>
        <w:autoSpaceDE w:val="0"/>
        <w:autoSpaceDN w:val="0"/>
        <w:adjustRightInd w:val="0"/>
        <w:spacing w:beforeLines="0" w:before="120" w:afterLines="0" w:after="120"/>
        <w:textAlignment w:val="baseline"/>
        <w:rPr>
          <w:rFonts w:eastAsia="宋体"/>
          <w:b/>
          <w:lang w:eastAsia="zh-CN"/>
        </w:rPr>
      </w:pPr>
      <w:r w:rsidRPr="00F32F2F">
        <w:rPr>
          <w:rFonts w:eastAsia="宋体"/>
          <w:b/>
          <w:lang w:eastAsia="zh-CN"/>
        </w:rPr>
        <w:t>Proposal 4: Take the worst case from 38.171 as the assumption of GNSS accuracy for defining RRM requirements.</w:t>
      </w:r>
    </w:p>
    <w:p w:rsidR="001629C9" w:rsidRDefault="001629C9" w:rsidP="0072405C">
      <w:pPr>
        <w:pStyle w:val="2"/>
        <w:rPr>
          <w:lang w:eastAsia="zh-CN"/>
        </w:rPr>
      </w:pPr>
      <w:r>
        <w:rPr>
          <w:lang w:eastAsia="zh-CN"/>
        </w:rPr>
        <w:t xml:space="preserve">PVT assumption </w:t>
      </w:r>
    </w:p>
    <w:tbl>
      <w:tblPr>
        <w:tblStyle w:val="af4"/>
        <w:tblW w:w="0" w:type="auto"/>
        <w:tblLook w:val="04A0" w:firstRow="1" w:lastRow="0" w:firstColumn="1" w:lastColumn="0" w:noHBand="0" w:noVBand="1"/>
      </w:tblPr>
      <w:tblGrid>
        <w:gridCol w:w="9621"/>
      </w:tblGrid>
      <w:tr w:rsidR="0072405C" w:rsidTr="0072405C">
        <w:tc>
          <w:tcPr>
            <w:tcW w:w="9621" w:type="dxa"/>
          </w:tcPr>
          <w:p w:rsidR="00F5554E" w:rsidRPr="0072405C" w:rsidRDefault="002A2688" w:rsidP="0072405C">
            <w:pPr>
              <w:numPr>
                <w:ilvl w:val="1"/>
                <w:numId w:val="29"/>
              </w:numPr>
              <w:spacing w:before="120" w:after="120"/>
              <w:rPr>
                <w:rFonts w:eastAsiaTheme="minorEastAsia"/>
                <w:lang w:val="en-US" w:eastAsia="zh-CN"/>
              </w:rPr>
            </w:pPr>
            <w:r w:rsidRPr="0072405C">
              <w:rPr>
                <w:rFonts w:eastAsiaTheme="minorEastAsia"/>
                <w:lang w:val="en-US" w:eastAsia="zh-CN"/>
              </w:rPr>
              <w:t>Issue 3-1: NTN PVT Accuracy Aspects</w:t>
            </w:r>
          </w:p>
          <w:p w:rsidR="0072405C" w:rsidRPr="0072405C" w:rsidRDefault="002A2688" w:rsidP="0072405C">
            <w:pPr>
              <w:numPr>
                <w:ilvl w:val="2"/>
                <w:numId w:val="29"/>
              </w:numPr>
              <w:spacing w:before="120" w:after="120"/>
              <w:rPr>
                <w:rFonts w:eastAsiaTheme="minorEastAsia"/>
                <w:lang w:val="en-US" w:eastAsia="zh-CN"/>
              </w:rPr>
            </w:pPr>
            <w:r w:rsidRPr="0072405C">
              <w:rPr>
                <w:rFonts w:eastAsiaTheme="minorEastAsia"/>
                <w:lang w:val="en-US" w:eastAsia="zh-CN"/>
              </w:rPr>
              <w:t>Postpone discussion until RAN1 has reached a decision</w:t>
            </w:r>
          </w:p>
        </w:tc>
      </w:tr>
    </w:tbl>
    <w:p w:rsidR="00B82723" w:rsidRPr="002250C5" w:rsidRDefault="0072405C" w:rsidP="0072405C">
      <w:pPr>
        <w:spacing w:before="120" w:after="120"/>
        <w:rPr>
          <w:rFonts w:eastAsiaTheme="minorEastAsia"/>
          <w:lang w:eastAsia="zh-CN"/>
        </w:rPr>
      </w:pPr>
      <w:r w:rsidRPr="002250C5">
        <w:rPr>
          <w:rFonts w:eastAsiaTheme="minorEastAsia"/>
          <w:lang w:eastAsia="zh-CN"/>
        </w:rPr>
        <w:t xml:space="preserve">In our understanding, </w:t>
      </w:r>
      <w:r w:rsidR="00B82723" w:rsidRPr="002250C5">
        <w:rPr>
          <w:rFonts w:eastAsiaTheme="minorEastAsia"/>
          <w:lang w:eastAsia="zh-CN"/>
        </w:rPr>
        <w:t xml:space="preserve">what matters to RRM requirements is how accurate UE can obtain the position and velocity information of a satellite over time, and that assumption could impact e.g. the UL timing requirements or the location based mobility requirements. </w:t>
      </w:r>
    </w:p>
    <w:p w:rsidR="0072405C" w:rsidRPr="002250C5" w:rsidRDefault="00B82723" w:rsidP="0072405C">
      <w:pPr>
        <w:spacing w:before="120" w:after="120"/>
        <w:rPr>
          <w:rFonts w:eastAsiaTheme="minorEastAsia"/>
          <w:lang w:eastAsia="zh-CN"/>
        </w:rPr>
      </w:pPr>
      <w:r w:rsidRPr="002250C5">
        <w:rPr>
          <w:rFonts w:eastAsiaTheme="minorEastAsia"/>
          <w:lang w:eastAsia="zh-CN"/>
        </w:rPr>
        <w:t>The</w:t>
      </w:r>
      <w:r w:rsidR="0072405C" w:rsidRPr="002250C5">
        <w:rPr>
          <w:rFonts w:eastAsiaTheme="minorEastAsia"/>
          <w:lang w:eastAsia="zh-CN"/>
        </w:rPr>
        <w:t xml:space="preserve"> PVT accuracy will be determined by the format and frequency/period of ephemeris information, which is being discussed in RAN1. </w:t>
      </w:r>
      <w:r w:rsidR="002250C5" w:rsidRPr="002250C5">
        <w:rPr>
          <w:rFonts w:eastAsiaTheme="minorEastAsia"/>
          <w:lang w:eastAsia="zh-CN"/>
        </w:rPr>
        <w:t xml:space="preserve">Therefore, </w:t>
      </w:r>
      <w:r w:rsidRPr="002250C5">
        <w:rPr>
          <w:rFonts w:eastAsiaTheme="minorEastAsia"/>
          <w:lang w:eastAsia="zh-CN"/>
        </w:rPr>
        <w:t xml:space="preserve">RAN4 </w:t>
      </w:r>
      <w:r w:rsidR="002250C5" w:rsidRPr="002250C5">
        <w:rPr>
          <w:rFonts w:eastAsiaTheme="minorEastAsia"/>
          <w:lang w:eastAsia="zh-CN"/>
        </w:rPr>
        <w:t>should</w:t>
      </w:r>
      <w:r w:rsidRPr="002250C5">
        <w:rPr>
          <w:rFonts w:eastAsiaTheme="minorEastAsia"/>
          <w:lang w:eastAsia="zh-CN"/>
        </w:rPr>
        <w:t xml:space="preserve"> study the assumption on PVT accuracy for RRM requirements after RAN1 decides on the format and frequency/period of ephemeris information</w:t>
      </w:r>
      <w:r w:rsidR="002250C5" w:rsidRPr="002250C5">
        <w:rPr>
          <w:rFonts w:eastAsiaTheme="minorEastAsia"/>
          <w:lang w:eastAsia="zh-CN"/>
        </w:rPr>
        <w:t>.</w:t>
      </w:r>
    </w:p>
    <w:p w:rsidR="002250C5" w:rsidRDefault="002250C5" w:rsidP="002250C5">
      <w:pPr>
        <w:pStyle w:val="2"/>
      </w:pPr>
      <w:r>
        <w:t>Frequency sync requirements</w:t>
      </w:r>
    </w:p>
    <w:tbl>
      <w:tblPr>
        <w:tblStyle w:val="af4"/>
        <w:tblW w:w="0" w:type="auto"/>
        <w:tblLook w:val="04A0" w:firstRow="1" w:lastRow="0" w:firstColumn="1" w:lastColumn="0" w:noHBand="0" w:noVBand="1"/>
      </w:tblPr>
      <w:tblGrid>
        <w:gridCol w:w="9621"/>
      </w:tblGrid>
      <w:tr w:rsidR="002250C5" w:rsidTr="001C70A0">
        <w:tc>
          <w:tcPr>
            <w:tcW w:w="9621" w:type="dxa"/>
          </w:tcPr>
          <w:p w:rsidR="002250C5" w:rsidRPr="00397BAC" w:rsidRDefault="002250C5" w:rsidP="002250C5">
            <w:pPr>
              <w:numPr>
                <w:ilvl w:val="1"/>
                <w:numId w:val="31"/>
              </w:numPr>
              <w:autoSpaceDE w:val="0"/>
              <w:autoSpaceDN w:val="0"/>
              <w:adjustRightInd w:val="0"/>
              <w:spacing w:before="120" w:after="120"/>
              <w:rPr>
                <w:rFonts w:eastAsiaTheme="minorEastAsia"/>
                <w:lang w:val="en-US" w:eastAsia="zh-CN"/>
              </w:rPr>
            </w:pPr>
            <w:r w:rsidRPr="00397BAC">
              <w:rPr>
                <w:rFonts w:eastAsiaTheme="minorEastAsia"/>
                <w:lang w:val="en-US" w:eastAsia="zh-CN"/>
              </w:rPr>
              <w:t>Issue 5-1: Will be handled in the RF session</w:t>
            </w:r>
          </w:p>
          <w:p w:rsidR="002250C5" w:rsidRPr="00397BAC" w:rsidRDefault="002250C5" w:rsidP="002250C5">
            <w:pPr>
              <w:numPr>
                <w:ilvl w:val="1"/>
                <w:numId w:val="31"/>
              </w:numPr>
              <w:autoSpaceDE w:val="0"/>
              <w:autoSpaceDN w:val="0"/>
              <w:adjustRightInd w:val="0"/>
              <w:spacing w:before="120" w:after="120"/>
              <w:rPr>
                <w:rFonts w:eastAsiaTheme="minorEastAsia"/>
                <w:lang w:val="en-US" w:eastAsia="zh-CN"/>
              </w:rPr>
            </w:pPr>
            <w:r w:rsidRPr="00397BAC">
              <w:rPr>
                <w:rFonts w:eastAsiaTheme="minorEastAsia"/>
                <w:lang w:val="en-US" w:eastAsia="zh-CN"/>
              </w:rPr>
              <w:t>Issue 5-2: Time/Frequency pre-compensation accuracy requirements</w:t>
            </w:r>
          </w:p>
          <w:p w:rsidR="002250C5" w:rsidRPr="00397BAC" w:rsidRDefault="002250C5" w:rsidP="002250C5">
            <w:pPr>
              <w:numPr>
                <w:ilvl w:val="2"/>
                <w:numId w:val="31"/>
              </w:numPr>
              <w:overflowPunct w:val="0"/>
              <w:autoSpaceDE w:val="0"/>
              <w:autoSpaceDN w:val="0"/>
              <w:adjustRightInd w:val="0"/>
              <w:spacing w:before="120" w:after="120"/>
              <w:textAlignment w:val="baseline"/>
              <w:rPr>
                <w:rFonts w:eastAsiaTheme="minorEastAsia"/>
                <w:lang w:val="en-US" w:eastAsia="zh-CN"/>
              </w:rPr>
            </w:pPr>
            <w:r w:rsidRPr="00397BAC">
              <w:rPr>
                <w:rFonts w:eastAsiaTheme="minorEastAsia"/>
                <w:lang w:eastAsia="zh-CN"/>
              </w:rPr>
              <w:t>Tentative agreement: RAN4 to investigate factors that can affect time/frequency pre-compensation accuracy requirements. Specific requirements are FFS</w:t>
            </w:r>
          </w:p>
        </w:tc>
      </w:tr>
    </w:tbl>
    <w:p w:rsidR="002250C5" w:rsidRDefault="002250C5" w:rsidP="002250C5">
      <w:pPr>
        <w:spacing w:before="120" w:after="120"/>
        <w:rPr>
          <w:rFonts w:eastAsiaTheme="minorEastAsia"/>
          <w:lang w:eastAsia="zh-CN"/>
        </w:rPr>
      </w:pPr>
      <w:r>
        <w:rPr>
          <w:rFonts w:eastAsiaTheme="minorEastAsia"/>
          <w:lang w:eastAsia="zh-CN"/>
        </w:rPr>
        <w:lastRenderedPageBreak/>
        <w:t xml:space="preserve">It is a common understanding that the frequency accuracy is an RF requirement and this is agreed for Issue 5-1. In this sense, we do not see the need for RAN4 to define any RRM requirements regarding the </w:t>
      </w:r>
      <w:r w:rsidRPr="00397BAC">
        <w:rPr>
          <w:rFonts w:eastAsiaTheme="minorEastAsia"/>
          <w:lang w:eastAsia="zh-CN"/>
        </w:rPr>
        <w:t>frequency pre-compensation accuracy requirements</w:t>
      </w:r>
      <w:r>
        <w:rPr>
          <w:rFonts w:eastAsiaTheme="minorEastAsia"/>
          <w:lang w:eastAsia="zh-CN"/>
        </w:rPr>
        <w:t>.</w:t>
      </w:r>
    </w:p>
    <w:p w:rsidR="002250C5" w:rsidRDefault="002250C5" w:rsidP="002250C5">
      <w:pPr>
        <w:spacing w:before="120" w:after="120"/>
        <w:rPr>
          <w:rFonts w:eastAsiaTheme="minorEastAsia"/>
          <w:lang w:eastAsia="zh-CN"/>
        </w:rPr>
      </w:pPr>
      <w:r>
        <w:rPr>
          <w:rFonts w:eastAsiaTheme="minorEastAsia"/>
          <w:lang w:eastAsia="zh-CN"/>
        </w:rPr>
        <w:t xml:space="preserve">On the time </w:t>
      </w:r>
      <w:r w:rsidRPr="00397BAC">
        <w:rPr>
          <w:rFonts w:eastAsiaTheme="minorEastAsia"/>
          <w:lang w:eastAsia="zh-CN"/>
        </w:rPr>
        <w:t>pre-compensation accuracy requirements</w:t>
      </w:r>
      <w:r>
        <w:rPr>
          <w:rFonts w:eastAsiaTheme="minorEastAsia"/>
          <w:lang w:eastAsia="zh-CN"/>
        </w:rPr>
        <w:t>, we understand the pre-compensation is done by UE specific TA calculation, and the requirements for this process is being discussed as part of the UL timing requirements, so we do not see the need to further discuss this as a general issue.</w:t>
      </w:r>
    </w:p>
    <w:p w:rsidR="002250C5" w:rsidRPr="002250C5" w:rsidRDefault="002250C5" w:rsidP="002250C5">
      <w:pPr>
        <w:spacing w:before="120" w:after="120"/>
        <w:rPr>
          <w:rFonts w:eastAsiaTheme="minorEastAsia"/>
          <w:b/>
          <w:lang w:eastAsia="zh-CN"/>
        </w:rPr>
      </w:pPr>
      <w:r w:rsidRPr="002250C5">
        <w:rPr>
          <w:rFonts w:eastAsiaTheme="minorEastAsia"/>
          <w:b/>
          <w:lang w:eastAsia="zh-CN"/>
        </w:rPr>
        <w:t>Proposal 5: RAN4 not to further discuss time/frequency pre-compensation accuracy requirements</w:t>
      </w:r>
      <w:r>
        <w:rPr>
          <w:rFonts w:eastAsiaTheme="minorEastAsia"/>
          <w:b/>
          <w:lang w:eastAsia="zh-CN"/>
        </w:rPr>
        <w:t xml:space="preserve"> as a general issue</w:t>
      </w:r>
      <w:r w:rsidRPr="002250C5">
        <w:rPr>
          <w:rFonts w:eastAsiaTheme="minorEastAsia"/>
          <w:b/>
          <w:lang w:eastAsia="zh-CN"/>
        </w:rPr>
        <w:t>.</w:t>
      </w:r>
    </w:p>
    <w:p w:rsidR="001629C9" w:rsidRPr="005A5D4F" w:rsidRDefault="001629C9" w:rsidP="002250C5">
      <w:pPr>
        <w:pStyle w:val="2"/>
        <w:rPr>
          <w:lang w:eastAsia="zh-CN"/>
        </w:rPr>
      </w:pPr>
      <w:r>
        <w:rPr>
          <w:lang w:eastAsia="zh-CN"/>
        </w:rPr>
        <w:t xml:space="preserve">Beam management requirements </w:t>
      </w:r>
    </w:p>
    <w:tbl>
      <w:tblPr>
        <w:tblStyle w:val="af4"/>
        <w:tblW w:w="0" w:type="auto"/>
        <w:tblLook w:val="04A0" w:firstRow="1" w:lastRow="0" w:firstColumn="1" w:lastColumn="0" w:noHBand="0" w:noVBand="1"/>
      </w:tblPr>
      <w:tblGrid>
        <w:gridCol w:w="9621"/>
      </w:tblGrid>
      <w:tr w:rsidR="002250C5" w:rsidTr="002250C5">
        <w:tc>
          <w:tcPr>
            <w:tcW w:w="9621" w:type="dxa"/>
          </w:tcPr>
          <w:p w:rsidR="00F5554E" w:rsidRPr="002250C5" w:rsidRDefault="002A2688" w:rsidP="002250C5">
            <w:pPr>
              <w:numPr>
                <w:ilvl w:val="1"/>
                <w:numId w:val="32"/>
              </w:numPr>
              <w:spacing w:before="120" w:after="120"/>
              <w:rPr>
                <w:lang w:val="en-US"/>
              </w:rPr>
            </w:pPr>
            <w:r w:rsidRPr="002250C5">
              <w:rPr>
                <w:lang w:val="en-US"/>
              </w:rPr>
              <w:t>Issue 7-1: RRM requirements for beam switching</w:t>
            </w:r>
          </w:p>
          <w:p w:rsidR="00F5554E" w:rsidRPr="002250C5" w:rsidRDefault="002A2688" w:rsidP="002250C5">
            <w:pPr>
              <w:numPr>
                <w:ilvl w:val="2"/>
                <w:numId w:val="32"/>
              </w:numPr>
              <w:spacing w:before="120" w:after="120"/>
              <w:rPr>
                <w:lang w:val="en-US"/>
              </w:rPr>
            </w:pPr>
            <w:r w:rsidRPr="002250C5">
              <w:t>RAN4 is to study the RRM requirements for beam switching once RAN1 has determined the final PCI mapping mechanism for NTN scenario.</w:t>
            </w:r>
          </w:p>
          <w:p w:rsidR="002250C5" w:rsidRPr="002250C5" w:rsidRDefault="002A2688" w:rsidP="001629C9">
            <w:pPr>
              <w:numPr>
                <w:ilvl w:val="2"/>
                <w:numId w:val="32"/>
              </w:numPr>
              <w:spacing w:before="120" w:after="120"/>
              <w:rPr>
                <w:lang w:val="en-US"/>
              </w:rPr>
            </w:pPr>
            <w:r w:rsidRPr="002250C5">
              <w:t>Further clarification and input from RAN1 and RAN2 is necessary, especially on beam/BWP/PCI mapping mechanisms and details.</w:t>
            </w:r>
          </w:p>
        </w:tc>
      </w:tr>
    </w:tbl>
    <w:p w:rsidR="001629C9" w:rsidRDefault="002250C5" w:rsidP="001629C9">
      <w:pPr>
        <w:spacing w:before="120"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beam switching related requirements should be discussed in RAN4 after RAN1 has concluded the procedure, so we do not think there is anything that can be discussed in RAN4 at this stage.</w:t>
      </w:r>
    </w:p>
    <w:p w:rsidR="002250C5" w:rsidRDefault="002250C5" w:rsidP="001629C9">
      <w:pPr>
        <w:spacing w:before="120" w:after="120"/>
        <w:rPr>
          <w:rFonts w:eastAsiaTheme="minorEastAsia"/>
          <w:lang w:val="en-US" w:eastAsia="zh-CN"/>
        </w:rPr>
      </w:pPr>
      <w:r>
        <w:rPr>
          <w:rFonts w:eastAsiaTheme="minorEastAsia"/>
          <w:lang w:val="en-US" w:eastAsia="zh-CN"/>
        </w:rPr>
        <w:t>On the other hand, it is noted that in RAN1#104-e, a number of issues were listed for further study.</w:t>
      </w:r>
    </w:p>
    <w:tbl>
      <w:tblPr>
        <w:tblStyle w:val="af4"/>
        <w:tblW w:w="0" w:type="auto"/>
        <w:tblLook w:val="04A0" w:firstRow="1" w:lastRow="0" w:firstColumn="1" w:lastColumn="0" w:noHBand="0" w:noVBand="1"/>
      </w:tblPr>
      <w:tblGrid>
        <w:gridCol w:w="9621"/>
      </w:tblGrid>
      <w:tr w:rsidR="002250C5" w:rsidTr="002250C5">
        <w:tc>
          <w:tcPr>
            <w:tcW w:w="9621" w:type="dxa"/>
          </w:tcPr>
          <w:p w:rsidR="002250C5" w:rsidRPr="0058565B" w:rsidRDefault="002250C5" w:rsidP="002250C5">
            <w:pPr>
              <w:shd w:val="clear" w:color="auto" w:fill="FFFFFF"/>
              <w:spacing w:before="120" w:after="120"/>
              <w:rPr>
                <w:rFonts w:eastAsia="宋体"/>
                <w:color w:val="000000"/>
                <w:u w:val="single"/>
                <w:lang w:val="en-US" w:eastAsia="zh-CN"/>
              </w:rPr>
            </w:pPr>
            <w:r w:rsidRPr="0058565B">
              <w:rPr>
                <w:rFonts w:eastAsia="宋体"/>
                <w:color w:val="000000"/>
                <w:u w:val="single"/>
                <w:lang w:val="en-US" w:eastAsia="zh-CN"/>
              </w:rPr>
              <w:t>Conclusion:</w:t>
            </w:r>
          </w:p>
          <w:p w:rsidR="002250C5" w:rsidRPr="0058565B" w:rsidRDefault="002250C5" w:rsidP="002250C5">
            <w:pPr>
              <w:shd w:val="clear" w:color="auto" w:fill="FFFFFF"/>
              <w:spacing w:before="120" w:after="120"/>
              <w:rPr>
                <w:rFonts w:eastAsia="宋体"/>
                <w:color w:val="000000"/>
                <w:lang w:val="en-US" w:eastAsia="zh-CN"/>
              </w:rPr>
            </w:pPr>
            <w:r w:rsidRPr="0058565B">
              <w:rPr>
                <w:rFonts w:eastAsia="宋体"/>
                <w:color w:val="000000"/>
                <w:lang w:eastAsia="zh-CN"/>
              </w:rPr>
              <w:t>Discuss</w:t>
            </w:r>
            <w:r>
              <w:rPr>
                <w:rFonts w:eastAsia="宋体"/>
                <w:color w:val="000000"/>
                <w:lang w:eastAsia="zh-CN"/>
              </w:rPr>
              <w:t xml:space="preserve"> </w:t>
            </w:r>
            <w:r w:rsidRPr="0058565B">
              <w:rPr>
                <w:rFonts w:eastAsia="宋体"/>
                <w:color w:val="000000"/>
                <w:lang w:eastAsia="zh-CN"/>
              </w:rPr>
              <w:t>whether or not</w:t>
            </w:r>
            <w:r w:rsidRPr="0058565B">
              <w:rPr>
                <w:rFonts w:eastAsia="宋体"/>
                <w:color w:val="FF0000"/>
                <w:lang w:eastAsia="zh-CN"/>
              </w:rPr>
              <w:t xml:space="preserve"> </w:t>
            </w:r>
            <w:r w:rsidRPr="0058565B">
              <w:rPr>
                <w:rFonts w:eastAsia="宋体"/>
                <w:lang w:eastAsia="zh-CN"/>
              </w:rPr>
              <w:t>at least</w:t>
            </w:r>
            <w:r>
              <w:rPr>
                <w:rFonts w:eastAsia="宋体"/>
                <w:lang w:eastAsia="zh-CN"/>
              </w:rPr>
              <w:t xml:space="preserve"> </w:t>
            </w:r>
            <w:r w:rsidRPr="0058565B">
              <w:rPr>
                <w:rFonts w:eastAsia="宋体"/>
                <w:color w:val="000000"/>
                <w:lang w:eastAsia="zh-CN"/>
              </w:rPr>
              <w:t>following issues</w:t>
            </w:r>
            <w:r>
              <w:rPr>
                <w:rFonts w:eastAsia="宋体"/>
                <w:color w:val="000000"/>
                <w:lang w:eastAsia="zh-CN"/>
              </w:rPr>
              <w:t xml:space="preserve"> </w:t>
            </w:r>
            <w:r w:rsidRPr="0058565B">
              <w:rPr>
                <w:rFonts w:eastAsia="宋体"/>
                <w:color w:val="000000"/>
                <w:lang w:eastAsia="zh-CN"/>
              </w:rPr>
              <w:t>are valid and</w:t>
            </w:r>
            <w:r>
              <w:rPr>
                <w:rFonts w:eastAsia="宋体"/>
                <w:color w:val="000000"/>
                <w:lang w:eastAsia="zh-CN"/>
              </w:rPr>
              <w:t xml:space="preserve"> </w:t>
            </w:r>
            <w:r w:rsidRPr="0058565B">
              <w:rPr>
                <w:rFonts w:eastAsia="宋体"/>
                <w:color w:val="000000"/>
                <w:lang w:eastAsia="zh-CN"/>
              </w:rPr>
              <w:t>decide whether or not enhancements are needed in addition to</w:t>
            </w:r>
            <w:r>
              <w:rPr>
                <w:rFonts w:eastAsia="宋体"/>
                <w:color w:val="000000"/>
                <w:lang w:eastAsia="zh-CN"/>
              </w:rPr>
              <w:t xml:space="preserve"> </w:t>
            </w:r>
            <w:r w:rsidRPr="0058565B">
              <w:rPr>
                <w:rFonts w:eastAsia="宋体"/>
                <w:color w:val="000000"/>
                <w:lang w:eastAsia="zh-CN"/>
              </w:rPr>
              <w:t>current NR specification</w:t>
            </w:r>
            <w:r>
              <w:rPr>
                <w:rFonts w:eastAsia="宋体"/>
                <w:color w:val="000000"/>
                <w:lang w:eastAsia="zh-CN"/>
              </w:rPr>
              <w:t xml:space="preserve"> </w:t>
            </w:r>
            <w:r w:rsidRPr="0058565B">
              <w:rPr>
                <w:rFonts w:eastAsia="宋体"/>
                <w:color w:val="000000"/>
                <w:lang w:eastAsia="zh-CN"/>
              </w:rPr>
              <w:t>for</w:t>
            </w:r>
            <w:r>
              <w:rPr>
                <w:rFonts w:eastAsia="宋体"/>
                <w:color w:val="000000"/>
                <w:lang w:eastAsia="zh-CN"/>
              </w:rPr>
              <w:t xml:space="preserve"> </w:t>
            </w:r>
            <w:r w:rsidRPr="0058565B">
              <w:rPr>
                <w:rFonts w:eastAsia="宋体"/>
                <w:color w:val="000000"/>
                <w:lang w:eastAsia="zh-CN"/>
              </w:rPr>
              <w:t>supporting</w:t>
            </w:r>
            <w:r>
              <w:rPr>
                <w:rFonts w:eastAsia="宋体"/>
                <w:color w:val="000000"/>
                <w:lang w:eastAsia="zh-CN"/>
              </w:rPr>
              <w:t xml:space="preserve"> </w:t>
            </w:r>
            <w:r w:rsidRPr="0058565B">
              <w:rPr>
                <w:rFonts w:eastAsia="宋体"/>
                <w:color w:val="000000"/>
                <w:lang w:eastAsia="zh-CN"/>
              </w:rPr>
              <w:t>NTN beam management:</w:t>
            </w:r>
          </w:p>
          <w:p w:rsidR="002250C5" w:rsidRPr="00162F9E" w:rsidRDefault="002250C5" w:rsidP="002250C5">
            <w:pPr>
              <w:pStyle w:val="af8"/>
              <w:numPr>
                <w:ilvl w:val="0"/>
                <w:numId w:val="33"/>
              </w:numPr>
              <w:shd w:val="clear" w:color="auto" w:fill="FFFFFF"/>
              <w:overflowPunct w:val="0"/>
              <w:autoSpaceDE w:val="0"/>
              <w:autoSpaceDN w:val="0"/>
              <w:adjustRightInd w:val="0"/>
              <w:spacing w:beforeLines="0" w:before="120" w:afterLines="0" w:after="120"/>
              <w:contextualSpacing/>
              <w:textAlignment w:val="baseline"/>
              <w:rPr>
                <w:color w:val="000000"/>
                <w:lang w:eastAsia="zh-CN"/>
              </w:rPr>
            </w:pPr>
            <w:r w:rsidRPr="00162F9E">
              <w:rPr>
                <w:color w:val="000000"/>
                <w:lang w:eastAsia="zh-CN"/>
              </w:rPr>
              <w:t>Issue 1: NR BWP is not directly associated with a beam. Thus, when using TCI to change beam from beam 1 to beam 2, it does not trigger NR BWP switching. However, in NTN FRF&gt;1 case, beam switching may result in a BWP switching.</w:t>
            </w:r>
          </w:p>
          <w:p w:rsidR="002250C5" w:rsidRPr="00162F9E" w:rsidRDefault="002250C5" w:rsidP="002250C5">
            <w:pPr>
              <w:pStyle w:val="af8"/>
              <w:numPr>
                <w:ilvl w:val="0"/>
                <w:numId w:val="33"/>
              </w:numPr>
              <w:shd w:val="clear" w:color="auto" w:fill="FFFFFF"/>
              <w:overflowPunct w:val="0"/>
              <w:autoSpaceDE w:val="0"/>
              <w:autoSpaceDN w:val="0"/>
              <w:adjustRightInd w:val="0"/>
              <w:spacing w:beforeLines="0" w:before="120" w:afterLines="0" w:after="120"/>
              <w:contextualSpacing/>
              <w:textAlignment w:val="baseline"/>
              <w:rPr>
                <w:color w:val="000000"/>
                <w:lang w:eastAsia="zh-CN"/>
              </w:rPr>
            </w:pPr>
            <w:r w:rsidRPr="00162F9E">
              <w:rPr>
                <w:color w:val="000000"/>
                <w:lang w:eastAsia="zh-CN"/>
              </w:rPr>
              <w:t>Issue 2: NR BWP switching in UL and DL are not jointly triggered for FDD. However, in NTN FRF&gt;1 FDD scenario, beam switching may result in a BWP switching in both DL and UL.</w:t>
            </w:r>
          </w:p>
          <w:p w:rsidR="002250C5" w:rsidRPr="00162F9E" w:rsidRDefault="002250C5" w:rsidP="002250C5">
            <w:pPr>
              <w:pStyle w:val="af8"/>
              <w:numPr>
                <w:ilvl w:val="0"/>
                <w:numId w:val="33"/>
              </w:numPr>
              <w:shd w:val="clear" w:color="auto" w:fill="FFFFFF"/>
              <w:overflowPunct w:val="0"/>
              <w:autoSpaceDE w:val="0"/>
              <w:autoSpaceDN w:val="0"/>
              <w:adjustRightInd w:val="0"/>
              <w:spacing w:beforeLines="0" w:before="120" w:afterLines="0" w:after="120"/>
              <w:contextualSpacing/>
              <w:textAlignment w:val="baseline"/>
              <w:rPr>
                <w:color w:val="000000"/>
                <w:lang w:eastAsia="zh-CN"/>
              </w:rPr>
            </w:pPr>
            <w:r w:rsidRPr="00162F9E">
              <w:rPr>
                <w:color w:val="000000"/>
                <w:lang w:eastAsia="zh-CN"/>
              </w:rPr>
              <w:t>Issue 3: NR dynamic BWP switching requires data scheduling. While in NTN FRF&gt;1 scenario, we may need a fast BWP switching triggering without data scheduling.</w:t>
            </w:r>
          </w:p>
          <w:p w:rsidR="002250C5" w:rsidRPr="00162F9E" w:rsidRDefault="002250C5" w:rsidP="002250C5">
            <w:pPr>
              <w:pStyle w:val="af8"/>
              <w:numPr>
                <w:ilvl w:val="0"/>
                <w:numId w:val="33"/>
              </w:numPr>
              <w:shd w:val="clear" w:color="auto" w:fill="FFFFFF"/>
              <w:overflowPunct w:val="0"/>
              <w:autoSpaceDE w:val="0"/>
              <w:autoSpaceDN w:val="0"/>
              <w:adjustRightInd w:val="0"/>
              <w:spacing w:beforeLines="0" w:before="120" w:afterLines="0" w:after="120"/>
              <w:contextualSpacing/>
              <w:textAlignment w:val="baseline"/>
              <w:rPr>
                <w:color w:val="000000"/>
                <w:lang w:eastAsia="zh-CN"/>
              </w:rPr>
            </w:pPr>
            <w:r w:rsidRPr="00162F9E">
              <w:rPr>
                <w:color w:val="000000"/>
                <w:lang w:eastAsia="zh-CN"/>
              </w:rPr>
              <w:t>Issue 4: NR BWP switching does not require re-synchronization. However, in NTN FRF&gt;1 scenario, when a satellite beam switching is triggered, UE may need to perform re-synchronization in the switched BWP. </w:t>
            </w:r>
          </w:p>
          <w:p w:rsidR="002250C5" w:rsidRPr="00162F9E" w:rsidRDefault="002250C5" w:rsidP="002250C5">
            <w:pPr>
              <w:pStyle w:val="af8"/>
              <w:numPr>
                <w:ilvl w:val="0"/>
                <w:numId w:val="33"/>
              </w:numPr>
              <w:shd w:val="clear" w:color="auto" w:fill="FFFFFF"/>
              <w:overflowPunct w:val="0"/>
              <w:autoSpaceDE w:val="0"/>
              <w:autoSpaceDN w:val="0"/>
              <w:adjustRightInd w:val="0"/>
              <w:spacing w:beforeLines="0" w:before="120" w:afterLines="0" w:after="120"/>
              <w:contextualSpacing/>
              <w:textAlignment w:val="baseline"/>
              <w:rPr>
                <w:color w:val="000000"/>
                <w:lang w:eastAsia="zh-CN"/>
              </w:rPr>
            </w:pPr>
            <w:r w:rsidRPr="00162F9E">
              <w:rPr>
                <w:color w:val="000000"/>
                <w:lang w:eastAsia="zh-CN"/>
              </w:rPr>
              <w:t>Issue 5: Since satellite beam switching can be frequent and often highly predictable, mechanisms of configured BWP switching (can be a sequence of BWPs) may be preferred but current NR does not allow it.</w:t>
            </w:r>
          </w:p>
          <w:p w:rsidR="002250C5" w:rsidRPr="00162F9E" w:rsidRDefault="002250C5" w:rsidP="002250C5">
            <w:pPr>
              <w:pStyle w:val="af8"/>
              <w:numPr>
                <w:ilvl w:val="0"/>
                <w:numId w:val="33"/>
              </w:numPr>
              <w:shd w:val="clear" w:color="auto" w:fill="FFFFFF"/>
              <w:overflowPunct w:val="0"/>
              <w:autoSpaceDE w:val="0"/>
              <w:autoSpaceDN w:val="0"/>
              <w:adjustRightInd w:val="0"/>
              <w:spacing w:beforeLines="0" w:before="120" w:afterLines="0" w:after="120"/>
              <w:contextualSpacing/>
              <w:textAlignment w:val="baseline"/>
              <w:rPr>
                <w:color w:val="000000"/>
                <w:lang w:eastAsia="zh-CN"/>
              </w:rPr>
            </w:pPr>
            <w:r w:rsidRPr="00162F9E">
              <w:rPr>
                <w:color w:val="000000"/>
                <w:lang w:eastAsia="zh-CN"/>
              </w:rPr>
              <w:t>Issue 6: How to deal with BWP switching triggered by </w:t>
            </w:r>
            <w:proofErr w:type="spellStart"/>
            <w:r w:rsidRPr="00162F9E">
              <w:rPr>
                <w:color w:val="000000"/>
                <w:lang w:eastAsia="zh-CN"/>
              </w:rPr>
              <w:t>bwpInactivityTimer</w:t>
            </w:r>
            <w:proofErr w:type="spellEnd"/>
            <w:r w:rsidRPr="00162F9E">
              <w:rPr>
                <w:color w:val="000000"/>
                <w:lang w:eastAsia="zh-CN"/>
              </w:rPr>
              <w:t>, RA procedure, or simply a need to increase throughput instead of for beam-level mobility.</w:t>
            </w:r>
          </w:p>
          <w:p w:rsidR="002250C5" w:rsidRPr="002250C5" w:rsidRDefault="002250C5" w:rsidP="001629C9">
            <w:pPr>
              <w:pStyle w:val="af8"/>
              <w:numPr>
                <w:ilvl w:val="0"/>
                <w:numId w:val="33"/>
              </w:numPr>
              <w:shd w:val="clear" w:color="auto" w:fill="FFFFFF"/>
              <w:overflowPunct w:val="0"/>
              <w:autoSpaceDE w:val="0"/>
              <w:autoSpaceDN w:val="0"/>
              <w:adjustRightInd w:val="0"/>
              <w:spacing w:beforeLines="0" w:before="120" w:afterLines="0" w:after="120"/>
              <w:contextualSpacing/>
              <w:textAlignment w:val="baseline"/>
              <w:rPr>
                <w:color w:val="000000"/>
                <w:lang w:eastAsia="zh-CN"/>
              </w:rPr>
            </w:pPr>
            <w:r w:rsidRPr="00162F9E">
              <w:rPr>
                <w:color w:val="000000"/>
                <w:lang w:eastAsia="zh-CN"/>
              </w:rPr>
              <w:t xml:space="preserve">Issue 7: NR BWP switching/beam switching is done with UE specific </w:t>
            </w:r>
            <w:proofErr w:type="spellStart"/>
            <w:r w:rsidRPr="00162F9E">
              <w:rPr>
                <w:color w:val="000000"/>
                <w:lang w:eastAsia="zh-CN"/>
              </w:rPr>
              <w:t>signalling</w:t>
            </w:r>
            <w:proofErr w:type="spellEnd"/>
            <w:r w:rsidRPr="00162F9E">
              <w:rPr>
                <w:color w:val="000000"/>
                <w:lang w:eastAsia="zh-CN"/>
              </w:rPr>
              <w:t xml:space="preserve"> due to UE </w:t>
            </w:r>
            <w:proofErr w:type="gramStart"/>
            <w:r w:rsidRPr="00162F9E">
              <w:rPr>
                <w:color w:val="000000"/>
                <w:lang w:eastAsia="zh-CN"/>
              </w:rPr>
              <w:t>movement’s</w:t>
            </w:r>
            <w:proofErr w:type="gramEnd"/>
            <w:r w:rsidRPr="00162F9E">
              <w:rPr>
                <w:color w:val="000000"/>
                <w:lang w:eastAsia="zh-CN"/>
              </w:rPr>
              <w:t xml:space="preserve">. However, in NTN scenario, a satellite BWP/beam switching is common for set of UEs, we may need to a common BWP/beam switching mechanism to save the </w:t>
            </w:r>
            <w:proofErr w:type="spellStart"/>
            <w:r w:rsidRPr="00162F9E">
              <w:rPr>
                <w:color w:val="000000"/>
                <w:lang w:eastAsia="zh-CN"/>
              </w:rPr>
              <w:t>signalling</w:t>
            </w:r>
            <w:proofErr w:type="spellEnd"/>
            <w:r w:rsidRPr="00162F9E">
              <w:rPr>
                <w:color w:val="000000"/>
                <w:lang w:eastAsia="zh-CN"/>
              </w:rPr>
              <w:t xml:space="preserve"> overhead.</w:t>
            </w:r>
          </w:p>
        </w:tc>
      </w:tr>
    </w:tbl>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2250C5">
        <w:rPr>
          <w:rFonts w:eastAsia="宋体"/>
          <w:lang w:eastAsia="zh-CN"/>
        </w:rPr>
        <w:t>general issues for NTN RRM</w:t>
      </w:r>
      <w:r w:rsidR="00210C78">
        <w:rPr>
          <w:rFonts w:eastAsia="宋体"/>
          <w:lang w:eastAsia="zh-CN"/>
        </w:rPr>
        <w:t>.</w:t>
      </w:r>
    </w:p>
    <w:p w:rsidR="002250C5" w:rsidRPr="009F2FD7" w:rsidRDefault="002250C5" w:rsidP="002250C5">
      <w:pPr>
        <w:spacing w:before="120" w:after="120"/>
        <w:rPr>
          <w:rFonts w:eastAsiaTheme="minorEastAsia"/>
          <w:b/>
          <w:lang w:eastAsia="zh-CN"/>
        </w:rPr>
      </w:pPr>
      <w:r w:rsidRPr="009F2FD7">
        <w:rPr>
          <w:rFonts w:eastAsiaTheme="minorEastAsia"/>
          <w:b/>
          <w:lang w:eastAsia="zh-CN"/>
        </w:rPr>
        <w:t>Proposal 1: RAN4 can consider to send LS to RAN1 regarding the observed implementation impact of the DL-UL delay</w:t>
      </w:r>
      <w:r>
        <w:rPr>
          <w:rFonts w:eastAsiaTheme="minorEastAsia"/>
          <w:b/>
          <w:lang w:eastAsia="zh-CN"/>
        </w:rPr>
        <w:t xml:space="preserve"> depending on the RP for time synchronization.</w:t>
      </w:r>
    </w:p>
    <w:p w:rsidR="002250C5" w:rsidRPr="00AE6371" w:rsidRDefault="002250C5" w:rsidP="002250C5">
      <w:pPr>
        <w:overflowPunct w:val="0"/>
        <w:autoSpaceDE w:val="0"/>
        <w:autoSpaceDN w:val="0"/>
        <w:adjustRightInd w:val="0"/>
        <w:spacing w:beforeLines="0" w:before="120" w:afterLines="0" w:after="120"/>
        <w:textAlignment w:val="baseline"/>
        <w:rPr>
          <w:rFonts w:eastAsia="宋体"/>
          <w:b/>
          <w:lang w:eastAsia="zh-CN"/>
        </w:rPr>
      </w:pPr>
      <w:r w:rsidRPr="00AE6371">
        <w:rPr>
          <w:rFonts w:eastAsia="宋体"/>
          <w:b/>
          <w:lang w:eastAsia="zh-CN"/>
        </w:rPr>
        <w:lastRenderedPageBreak/>
        <w:t>Proposal 2: RAN4 assumes that ephemeris of the satellite/HAPS is made available to UE in defining the RRM requirements. No further discussion on whether the satellite or HAPS has on-board GNSS.</w:t>
      </w:r>
    </w:p>
    <w:p w:rsidR="002250C5" w:rsidRPr="00D72C71" w:rsidRDefault="002250C5" w:rsidP="002250C5">
      <w:pPr>
        <w:overflowPunct w:val="0"/>
        <w:autoSpaceDE w:val="0"/>
        <w:autoSpaceDN w:val="0"/>
        <w:adjustRightInd w:val="0"/>
        <w:spacing w:beforeLines="0" w:before="120" w:afterLines="0" w:after="120"/>
        <w:textAlignment w:val="baseline"/>
        <w:rPr>
          <w:rFonts w:eastAsia="宋体"/>
          <w:b/>
          <w:lang w:eastAsia="zh-CN"/>
        </w:rPr>
      </w:pPr>
      <w:r w:rsidRPr="00D72C71">
        <w:rPr>
          <w:rFonts w:eastAsia="宋体" w:hint="eastAsia"/>
          <w:b/>
          <w:lang w:eastAsia="zh-CN"/>
        </w:rPr>
        <w:t>P</w:t>
      </w:r>
      <w:r w:rsidRPr="00D72C71">
        <w:rPr>
          <w:rFonts w:eastAsia="宋体"/>
          <w:b/>
          <w:lang w:eastAsia="zh-CN"/>
        </w:rPr>
        <w:t xml:space="preserve">roposal 3: RAN4 not to identify the list of RRM requirements impacted by GNSS accuracy, but the impact of GNSS accuracy should be considered when defining each requirement. </w:t>
      </w:r>
    </w:p>
    <w:p w:rsidR="002250C5" w:rsidRPr="00F32F2F" w:rsidRDefault="002250C5" w:rsidP="002250C5">
      <w:pPr>
        <w:overflowPunct w:val="0"/>
        <w:autoSpaceDE w:val="0"/>
        <w:autoSpaceDN w:val="0"/>
        <w:adjustRightInd w:val="0"/>
        <w:spacing w:beforeLines="0" w:before="120" w:afterLines="0" w:after="120"/>
        <w:textAlignment w:val="baseline"/>
        <w:rPr>
          <w:rFonts w:eastAsia="宋体"/>
          <w:b/>
          <w:lang w:eastAsia="zh-CN"/>
        </w:rPr>
      </w:pPr>
      <w:r w:rsidRPr="00F32F2F">
        <w:rPr>
          <w:rFonts w:eastAsia="宋体"/>
          <w:b/>
          <w:lang w:eastAsia="zh-CN"/>
        </w:rPr>
        <w:t>Proposal 4: Take the worst case from 38.171 as the assumption of GNSS accuracy for defining RRM requirements.</w:t>
      </w:r>
    </w:p>
    <w:p w:rsidR="008B10CB" w:rsidRPr="002250C5" w:rsidRDefault="002250C5" w:rsidP="00980473">
      <w:pPr>
        <w:spacing w:before="120" w:after="120"/>
        <w:rPr>
          <w:rFonts w:eastAsiaTheme="minorEastAsia"/>
          <w:b/>
          <w:lang w:eastAsia="zh-CN"/>
        </w:rPr>
      </w:pPr>
      <w:r w:rsidRPr="002250C5">
        <w:rPr>
          <w:rFonts w:eastAsiaTheme="minorEastAsia"/>
          <w:b/>
          <w:lang w:eastAsia="zh-CN"/>
        </w:rPr>
        <w:t>Proposal 5: RAN4 not to further discuss time/frequency pre-compensation accuracy requirements</w:t>
      </w:r>
      <w:r>
        <w:rPr>
          <w:rFonts w:eastAsiaTheme="minorEastAsia"/>
          <w:b/>
          <w:lang w:eastAsia="zh-CN"/>
        </w:rPr>
        <w:t xml:space="preserve"> as a general issue</w:t>
      </w:r>
      <w:r w:rsidRPr="002250C5">
        <w:rPr>
          <w:rFonts w:eastAsiaTheme="minorEastAsia"/>
          <w:b/>
          <w:lang w:eastAsia="zh-CN"/>
        </w:rPr>
        <w:t>.</w:t>
      </w:r>
    </w:p>
    <w:p w:rsidR="00C0754F" w:rsidRDefault="00C0754F" w:rsidP="00C0754F">
      <w:pPr>
        <w:pStyle w:val="1"/>
        <w:jc w:val="both"/>
        <w:rPr>
          <w:lang w:val="en-US"/>
        </w:rPr>
      </w:pPr>
      <w:r w:rsidRPr="00C0754F">
        <w:rPr>
          <w:lang w:val="en-US"/>
        </w:rPr>
        <w:t>Reference</w:t>
      </w:r>
    </w:p>
    <w:p w:rsidR="00297622" w:rsidRDefault="005A5D4F" w:rsidP="005A5D4F">
      <w:pPr>
        <w:numPr>
          <w:ilvl w:val="0"/>
          <w:numId w:val="22"/>
        </w:numPr>
        <w:spacing w:before="120" w:after="120"/>
        <w:rPr>
          <w:rFonts w:eastAsia="宋体"/>
          <w:lang w:eastAsia="zh-CN"/>
        </w:rPr>
      </w:pPr>
      <w:r>
        <w:rPr>
          <w:rFonts w:eastAsia="宋体"/>
          <w:lang w:eastAsia="zh-CN"/>
        </w:rPr>
        <w:t xml:space="preserve">R4-2013680, </w:t>
      </w:r>
      <w:r w:rsidRPr="005A5D4F">
        <w:rPr>
          <w:rFonts w:eastAsia="宋体"/>
          <w:lang w:eastAsia="zh-CN"/>
        </w:rPr>
        <w:t>WF on NR NTN RRM requirements</w:t>
      </w:r>
      <w:r w:rsidR="00297622">
        <w:rPr>
          <w:rFonts w:eastAsia="宋体"/>
          <w:lang w:eastAsia="zh-CN"/>
        </w:rPr>
        <w:t xml:space="preserve">, </w:t>
      </w:r>
      <w:proofErr w:type="spellStart"/>
      <w:r w:rsidRPr="005A5D4F">
        <w:rPr>
          <w:rFonts w:eastAsia="宋体"/>
          <w:lang w:eastAsia="zh-CN"/>
        </w:rPr>
        <w:t>Fraunhofer</w:t>
      </w:r>
      <w:proofErr w:type="spellEnd"/>
      <w:r w:rsidRPr="005A5D4F">
        <w:rPr>
          <w:rFonts w:eastAsia="宋体"/>
          <w:lang w:eastAsia="zh-CN"/>
        </w:rPr>
        <w:t xml:space="preserve"> HHI</w:t>
      </w:r>
    </w:p>
    <w:p w:rsidR="0093223E" w:rsidRPr="005A5D4F" w:rsidRDefault="0093223E" w:rsidP="0093223E">
      <w:pPr>
        <w:numPr>
          <w:ilvl w:val="0"/>
          <w:numId w:val="22"/>
        </w:numPr>
        <w:spacing w:before="120" w:after="120"/>
        <w:rPr>
          <w:rFonts w:eastAsia="宋体"/>
          <w:lang w:eastAsia="zh-CN"/>
        </w:rPr>
      </w:pPr>
      <w:r w:rsidRPr="0093223E">
        <w:rPr>
          <w:rFonts w:eastAsia="宋体"/>
          <w:lang w:eastAsia="zh-CN"/>
        </w:rPr>
        <w:t>R4-2101864</w:t>
      </w:r>
      <w:r>
        <w:rPr>
          <w:rFonts w:eastAsia="宋体"/>
          <w:lang w:eastAsia="zh-CN"/>
        </w:rPr>
        <w:t xml:space="preserve">, </w:t>
      </w:r>
      <w:r w:rsidRPr="0093223E">
        <w:rPr>
          <w:rFonts w:eastAsia="宋体"/>
          <w:lang w:eastAsia="zh-CN"/>
        </w:rPr>
        <w:t>Architecture and reference point</w:t>
      </w:r>
      <w:r>
        <w:rPr>
          <w:rFonts w:eastAsia="宋体"/>
          <w:lang w:eastAsia="zh-CN"/>
        </w:rPr>
        <w:t>, Ericsson</w:t>
      </w:r>
    </w:p>
    <w:sectPr w:rsidR="0093223E" w:rsidRPr="005A5D4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31A" w:rsidRDefault="0030031A">
      <w:pPr>
        <w:spacing w:before="120" w:after="120"/>
      </w:pPr>
      <w:r>
        <w:separator/>
      </w:r>
    </w:p>
  </w:endnote>
  <w:endnote w:type="continuationSeparator" w:id="0">
    <w:p w:rsidR="0030031A" w:rsidRDefault="0030031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F2F" w:rsidRDefault="00F32F2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32F2F" w:rsidRDefault="00F32F2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F2F" w:rsidRDefault="00F32F2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F6E6C">
      <w:rPr>
        <w:rStyle w:val="af1"/>
      </w:rPr>
      <w:t>1</w:t>
    </w:r>
    <w:r>
      <w:rPr>
        <w:rStyle w:val="af1"/>
      </w:rPr>
      <w:fldChar w:fldCharType="end"/>
    </w:r>
  </w:p>
  <w:p w:rsidR="00F32F2F" w:rsidRDefault="00F32F2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31A" w:rsidRDefault="0030031A">
      <w:pPr>
        <w:spacing w:before="120" w:after="120"/>
      </w:pPr>
      <w:r>
        <w:separator/>
      </w:r>
    </w:p>
  </w:footnote>
  <w:footnote w:type="continuationSeparator" w:id="0">
    <w:p w:rsidR="0030031A" w:rsidRDefault="0030031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5.2pt" o:bullet="t">
        <v:imagedata r:id="rId1" o:title="artD557"/>
      </v:shape>
    </w:pict>
  </w:numPicBullet>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267495"/>
    <w:multiLevelType w:val="hybridMultilevel"/>
    <w:tmpl w:val="9B4C4E3A"/>
    <w:lvl w:ilvl="0" w:tplc="6DA0EAF4">
      <w:start w:val="1"/>
      <w:numFmt w:val="bullet"/>
      <w:lvlText w:val="•"/>
      <w:lvlJc w:val="left"/>
      <w:pPr>
        <w:tabs>
          <w:tab w:val="num" w:pos="720"/>
        </w:tabs>
        <w:ind w:left="720" w:hanging="360"/>
      </w:pPr>
      <w:rPr>
        <w:rFonts w:ascii="Arial" w:hAnsi="Arial" w:hint="default"/>
      </w:rPr>
    </w:lvl>
    <w:lvl w:ilvl="1" w:tplc="30C8BD7C">
      <w:start w:val="1"/>
      <w:numFmt w:val="bullet"/>
      <w:lvlText w:val="•"/>
      <w:lvlJc w:val="left"/>
      <w:pPr>
        <w:tabs>
          <w:tab w:val="num" w:pos="1440"/>
        </w:tabs>
        <w:ind w:left="1440" w:hanging="360"/>
      </w:pPr>
      <w:rPr>
        <w:rFonts w:ascii="Arial" w:hAnsi="Arial" w:hint="default"/>
      </w:rPr>
    </w:lvl>
    <w:lvl w:ilvl="2" w:tplc="F7DC4D8C">
      <w:numFmt w:val="bullet"/>
      <w:lvlText w:val="•"/>
      <w:lvlJc w:val="left"/>
      <w:pPr>
        <w:tabs>
          <w:tab w:val="num" w:pos="2160"/>
        </w:tabs>
        <w:ind w:left="2160" w:hanging="360"/>
      </w:pPr>
      <w:rPr>
        <w:rFonts w:ascii="Arial" w:hAnsi="Arial" w:hint="default"/>
      </w:rPr>
    </w:lvl>
    <w:lvl w:ilvl="3" w:tplc="4A4A8F30" w:tentative="1">
      <w:start w:val="1"/>
      <w:numFmt w:val="bullet"/>
      <w:lvlText w:val="•"/>
      <w:lvlJc w:val="left"/>
      <w:pPr>
        <w:tabs>
          <w:tab w:val="num" w:pos="2880"/>
        </w:tabs>
        <w:ind w:left="2880" w:hanging="360"/>
      </w:pPr>
      <w:rPr>
        <w:rFonts w:ascii="Arial" w:hAnsi="Arial" w:hint="default"/>
      </w:rPr>
    </w:lvl>
    <w:lvl w:ilvl="4" w:tplc="CFEAC24C" w:tentative="1">
      <w:start w:val="1"/>
      <w:numFmt w:val="bullet"/>
      <w:lvlText w:val="•"/>
      <w:lvlJc w:val="left"/>
      <w:pPr>
        <w:tabs>
          <w:tab w:val="num" w:pos="3600"/>
        </w:tabs>
        <w:ind w:left="3600" w:hanging="360"/>
      </w:pPr>
      <w:rPr>
        <w:rFonts w:ascii="Arial" w:hAnsi="Arial" w:hint="default"/>
      </w:rPr>
    </w:lvl>
    <w:lvl w:ilvl="5" w:tplc="91283F28" w:tentative="1">
      <w:start w:val="1"/>
      <w:numFmt w:val="bullet"/>
      <w:lvlText w:val="•"/>
      <w:lvlJc w:val="left"/>
      <w:pPr>
        <w:tabs>
          <w:tab w:val="num" w:pos="4320"/>
        </w:tabs>
        <w:ind w:left="4320" w:hanging="360"/>
      </w:pPr>
      <w:rPr>
        <w:rFonts w:ascii="Arial" w:hAnsi="Arial" w:hint="default"/>
      </w:rPr>
    </w:lvl>
    <w:lvl w:ilvl="6" w:tplc="60AE4C30" w:tentative="1">
      <w:start w:val="1"/>
      <w:numFmt w:val="bullet"/>
      <w:lvlText w:val="•"/>
      <w:lvlJc w:val="left"/>
      <w:pPr>
        <w:tabs>
          <w:tab w:val="num" w:pos="5040"/>
        </w:tabs>
        <w:ind w:left="5040" w:hanging="360"/>
      </w:pPr>
      <w:rPr>
        <w:rFonts w:ascii="Arial" w:hAnsi="Arial" w:hint="default"/>
      </w:rPr>
    </w:lvl>
    <w:lvl w:ilvl="7" w:tplc="6520E862" w:tentative="1">
      <w:start w:val="1"/>
      <w:numFmt w:val="bullet"/>
      <w:lvlText w:val="•"/>
      <w:lvlJc w:val="left"/>
      <w:pPr>
        <w:tabs>
          <w:tab w:val="num" w:pos="5760"/>
        </w:tabs>
        <w:ind w:left="5760" w:hanging="360"/>
      </w:pPr>
      <w:rPr>
        <w:rFonts w:ascii="Arial" w:hAnsi="Arial" w:hint="default"/>
      </w:rPr>
    </w:lvl>
    <w:lvl w:ilvl="8" w:tplc="8D7679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140E83"/>
    <w:multiLevelType w:val="hybridMultilevel"/>
    <w:tmpl w:val="E3F81F5A"/>
    <w:lvl w:ilvl="0" w:tplc="4A6EBDA0">
      <w:start w:val="1"/>
      <w:numFmt w:val="bullet"/>
      <w:lvlText w:val="•"/>
      <w:lvlJc w:val="left"/>
      <w:pPr>
        <w:tabs>
          <w:tab w:val="num" w:pos="720"/>
        </w:tabs>
        <w:ind w:left="720" w:hanging="360"/>
      </w:pPr>
      <w:rPr>
        <w:rFonts w:ascii="Arial" w:hAnsi="Arial" w:hint="default"/>
      </w:rPr>
    </w:lvl>
    <w:lvl w:ilvl="1" w:tplc="23B06194">
      <w:start w:val="1"/>
      <w:numFmt w:val="bullet"/>
      <w:lvlText w:val="•"/>
      <w:lvlJc w:val="left"/>
      <w:pPr>
        <w:tabs>
          <w:tab w:val="num" w:pos="1440"/>
        </w:tabs>
        <w:ind w:left="1440" w:hanging="360"/>
      </w:pPr>
      <w:rPr>
        <w:rFonts w:ascii="Arial" w:hAnsi="Arial" w:hint="default"/>
      </w:rPr>
    </w:lvl>
    <w:lvl w:ilvl="2" w:tplc="C2920AF6">
      <w:numFmt w:val="bullet"/>
      <w:lvlText w:val="•"/>
      <w:lvlJc w:val="left"/>
      <w:pPr>
        <w:tabs>
          <w:tab w:val="num" w:pos="2160"/>
        </w:tabs>
        <w:ind w:left="2160" w:hanging="360"/>
      </w:pPr>
      <w:rPr>
        <w:rFonts w:ascii="Arial" w:hAnsi="Arial" w:hint="default"/>
      </w:rPr>
    </w:lvl>
    <w:lvl w:ilvl="3" w:tplc="D6589B3A" w:tentative="1">
      <w:start w:val="1"/>
      <w:numFmt w:val="bullet"/>
      <w:lvlText w:val="•"/>
      <w:lvlJc w:val="left"/>
      <w:pPr>
        <w:tabs>
          <w:tab w:val="num" w:pos="2880"/>
        </w:tabs>
        <w:ind w:left="2880" w:hanging="360"/>
      </w:pPr>
      <w:rPr>
        <w:rFonts w:ascii="Arial" w:hAnsi="Arial" w:hint="default"/>
      </w:rPr>
    </w:lvl>
    <w:lvl w:ilvl="4" w:tplc="91C4B8F6" w:tentative="1">
      <w:start w:val="1"/>
      <w:numFmt w:val="bullet"/>
      <w:lvlText w:val="•"/>
      <w:lvlJc w:val="left"/>
      <w:pPr>
        <w:tabs>
          <w:tab w:val="num" w:pos="3600"/>
        </w:tabs>
        <w:ind w:left="3600" w:hanging="360"/>
      </w:pPr>
      <w:rPr>
        <w:rFonts w:ascii="Arial" w:hAnsi="Arial" w:hint="default"/>
      </w:rPr>
    </w:lvl>
    <w:lvl w:ilvl="5" w:tplc="54EAED8A" w:tentative="1">
      <w:start w:val="1"/>
      <w:numFmt w:val="bullet"/>
      <w:lvlText w:val="•"/>
      <w:lvlJc w:val="left"/>
      <w:pPr>
        <w:tabs>
          <w:tab w:val="num" w:pos="4320"/>
        </w:tabs>
        <w:ind w:left="4320" w:hanging="360"/>
      </w:pPr>
      <w:rPr>
        <w:rFonts w:ascii="Arial" w:hAnsi="Arial" w:hint="default"/>
      </w:rPr>
    </w:lvl>
    <w:lvl w:ilvl="6" w:tplc="899491EA" w:tentative="1">
      <w:start w:val="1"/>
      <w:numFmt w:val="bullet"/>
      <w:lvlText w:val="•"/>
      <w:lvlJc w:val="left"/>
      <w:pPr>
        <w:tabs>
          <w:tab w:val="num" w:pos="5040"/>
        </w:tabs>
        <w:ind w:left="5040" w:hanging="360"/>
      </w:pPr>
      <w:rPr>
        <w:rFonts w:ascii="Arial" w:hAnsi="Arial" w:hint="default"/>
      </w:rPr>
    </w:lvl>
    <w:lvl w:ilvl="7" w:tplc="3E8879FE" w:tentative="1">
      <w:start w:val="1"/>
      <w:numFmt w:val="bullet"/>
      <w:lvlText w:val="•"/>
      <w:lvlJc w:val="left"/>
      <w:pPr>
        <w:tabs>
          <w:tab w:val="num" w:pos="5760"/>
        </w:tabs>
        <w:ind w:left="5760" w:hanging="360"/>
      </w:pPr>
      <w:rPr>
        <w:rFonts w:ascii="Arial" w:hAnsi="Arial" w:hint="default"/>
      </w:rPr>
    </w:lvl>
    <w:lvl w:ilvl="8" w:tplc="A11884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650E0C"/>
    <w:multiLevelType w:val="hybridMultilevel"/>
    <w:tmpl w:val="0B842D2C"/>
    <w:lvl w:ilvl="0" w:tplc="36B088F0">
      <w:start w:val="1"/>
      <w:numFmt w:val="bullet"/>
      <w:lvlText w:val=""/>
      <w:lvlJc w:val="left"/>
      <w:pPr>
        <w:tabs>
          <w:tab w:val="num" w:pos="720"/>
        </w:tabs>
        <w:ind w:left="720" w:hanging="360"/>
      </w:pPr>
      <w:rPr>
        <w:rFonts w:ascii="Symbol" w:hAnsi="Symbol" w:hint="default"/>
      </w:rPr>
    </w:lvl>
    <w:lvl w:ilvl="1" w:tplc="D0000B38" w:tentative="1">
      <w:start w:val="1"/>
      <w:numFmt w:val="bullet"/>
      <w:lvlText w:val=""/>
      <w:lvlJc w:val="left"/>
      <w:pPr>
        <w:tabs>
          <w:tab w:val="num" w:pos="1440"/>
        </w:tabs>
        <w:ind w:left="1440" w:hanging="360"/>
      </w:pPr>
      <w:rPr>
        <w:rFonts w:ascii="Symbol" w:hAnsi="Symbol" w:hint="default"/>
      </w:rPr>
    </w:lvl>
    <w:lvl w:ilvl="2" w:tplc="D8FA75B4" w:tentative="1">
      <w:start w:val="1"/>
      <w:numFmt w:val="bullet"/>
      <w:lvlText w:val=""/>
      <w:lvlJc w:val="left"/>
      <w:pPr>
        <w:tabs>
          <w:tab w:val="num" w:pos="2160"/>
        </w:tabs>
        <w:ind w:left="2160" w:hanging="360"/>
      </w:pPr>
      <w:rPr>
        <w:rFonts w:ascii="Symbol" w:hAnsi="Symbol" w:hint="default"/>
      </w:rPr>
    </w:lvl>
    <w:lvl w:ilvl="3" w:tplc="1A1AD61A" w:tentative="1">
      <w:start w:val="1"/>
      <w:numFmt w:val="bullet"/>
      <w:lvlText w:val=""/>
      <w:lvlJc w:val="left"/>
      <w:pPr>
        <w:tabs>
          <w:tab w:val="num" w:pos="2880"/>
        </w:tabs>
        <w:ind w:left="2880" w:hanging="360"/>
      </w:pPr>
      <w:rPr>
        <w:rFonts w:ascii="Symbol" w:hAnsi="Symbol" w:hint="default"/>
      </w:rPr>
    </w:lvl>
    <w:lvl w:ilvl="4" w:tplc="246C8B5C" w:tentative="1">
      <w:start w:val="1"/>
      <w:numFmt w:val="bullet"/>
      <w:lvlText w:val=""/>
      <w:lvlJc w:val="left"/>
      <w:pPr>
        <w:tabs>
          <w:tab w:val="num" w:pos="3600"/>
        </w:tabs>
        <w:ind w:left="3600" w:hanging="360"/>
      </w:pPr>
      <w:rPr>
        <w:rFonts w:ascii="Symbol" w:hAnsi="Symbol" w:hint="default"/>
      </w:rPr>
    </w:lvl>
    <w:lvl w:ilvl="5" w:tplc="CCA8DDCA" w:tentative="1">
      <w:start w:val="1"/>
      <w:numFmt w:val="bullet"/>
      <w:lvlText w:val=""/>
      <w:lvlJc w:val="left"/>
      <w:pPr>
        <w:tabs>
          <w:tab w:val="num" w:pos="4320"/>
        </w:tabs>
        <w:ind w:left="4320" w:hanging="360"/>
      </w:pPr>
      <w:rPr>
        <w:rFonts w:ascii="Symbol" w:hAnsi="Symbol" w:hint="default"/>
      </w:rPr>
    </w:lvl>
    <w:lvl w:ilvl="6" w:tplc="45506EC8" w:tentative="1">
      <w:start w:val="1"/>
      <w:numFmt w:val="bullet"/>
      <w:lvlText w:val=""/>
      <w:lvlJc w:val="left"/>
      <w:pPr>
        <w:tabs>
          <w:tab w:val="num" w:pos="5040"/>
        </w:tabs>
        <w:ind w:left="5040" w:hanging="360"/>
      </w:pPr>
      <w:rPr>
        <w:rFonts w:ascii="Symbol" w:hAnsi="Symbol" w:hint="default"/>
      </w:rPr>
    </w:lvl>
    <w:lvl w:ilvl="7" w:tplc="54163F26" w:tentative="1">
      <w:start w:val="1"/>
      <w:numFmt w:val="bullet"/>
      <w:lvlText w:val=""/>
      <w:lvlJc w:val="left"/>
      <w:pPr>
        <w:tabs>
          <w:tab w:val="num" w:pos="5760"/>
        </w:tabs>
        <w:ind w:left="5760" w:hanging="360"/>
      </w:pPr>
      <w:rPr>
        <w:rFonts w:ascii="Symbol" w:hAnsi="Symbol" w:hint="default"/>
      </w:rPr>
    </w:lvl>
    <w:lvl w:ilvl="8" w:tplc="E7A663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606780"/>
    <w:multiLevelType w:val="hybridMultilevel"/>
    <w:tmpl w:val="EE6A0872"/>
    <w:lvl w:ilvl="0" w:tplc="3C304856">
      <w:start w:val="1"/>
      <w:numFmt w:val="bullet"/>
      <w:lvlText w:val="•"/>
      <w:lvlJc w:val="left"/>
      <w:pPr>
        <w:tabs>
          <w:tab w:val="num" w:pos="720"/>
        </w:tabs>
        <w:ind w:left="720" w:hanging="360"/>
      </w:pPr>
      <w:rPr>
        <w:rFonts w:ascii="Arial" w:hAnsi="Arial" w:hint="default"/>
      </w:rPr>
    </w:lvl>
    <w:lvl w:ilvl="1" w:tplc="6AC8FA1A">
      <w:start w:val="1"/>
      <w:numFmt w:val="bullet"/>
      <w:lvlText w:val="•"/>
      <w:lvlJc w:val="left"/>
      <w:pPr>
        <w:tabs>
          <w:tab w:val="num" w:pos="1440"/>
        </w:tabs>
        <w:ind w:left="1440" w:hanging="360"/>
      </w:pPr>
      <w:rPr>
        <w:rFonts w:ascii="Arial" w:hAnsi="Arial" w:hint="default"/>
      </w:rPr>
    </w:lvl>
    <w:lvl w:ilvl="2" w:tplc="50089608">
      <w:numFmt w:val="bullet"/>
      <w:lvlText w:val="•"/>
      <w:lvlJc w:val="left"/>
      <w:pPr>
        <w:tabs>
          <w:tab w:val="num" w:pos="2160"/>
        </w:tabs>
        <w:ind w:left="2160" w:hanging="360"/>
      </w:pPr>
      <w:rPr>
        <w:rFonts w:ascii="Arial" w:hAnsi="Arial" w:hint="default"/>
      </w:rPr>
    </w:lvl>
    <w:lvl w:ilvl="3" w:tplc="25660DD2" w:tentative="1">
      <w:start w:val="1"/>
      <w:numFmt w:val="bullet"/>
      <w:lvlText w:val="•"/>
      <w:lvlJc w:val="left"/>
      <w:pPr>
        <w:tabs>
          <w:tab w:val="num" w:pos="2880"/>
        </w:tabs>
        <w:ind w:left="2880" w:hanging="360"/>
      </w:pPr>
      <w:rPr>
        <w:rFonts w:ascii="Arial" w:hAnsi="Arial" w:hint="default"/>
      </w:rPr>
    </w:lvl>
    <w:lvl w:ilvl="4" w:tplc="B5C84F48" w:tentative="1">
      <w:start w:val="1"/>
      <w:numFmt w:val="bullet"/>
      <w:lvlText w:val="•"/>
      <w:lvlJc w:val="left"/>
      <w:pPr>
        <w:tabs>
          <w:tab w:val="num" w:pos="3600"/>
        </w:tabs>
        <w:ind w:left="3600" w:hanging="360"/>
      </w:pPr>
      <w:rPr>
        <w:rFonts w:ascii="Arial" w:hAnsi="Arial" w:hint="default"/>
      </w:rPr>
    </w:lvl>
    <w:lvl w:ilvl="5" w:tplc="D5EE81DC" w:tentative="1">
      <w:start w:val="1"/>
      <w:numFmt w:val="bullet"/>
      <w:lvlText w:val="•"/>
      <w:lvlJc w:val="left"/>
      <w:pPr>
        <w:tabs>
          <w:tab w:val="num" w:pos="4320"/>
        </w:tabs>
        <w:ind w:left="4320" w:hanging="360"/>
      </w:pPr>
      <w:rPr>
        <w:rFonts w:ascii="Arial" w:hAnsi="Arial" w:hint="default"/>
      </w:rPr>
    </w:lvl>
    <w:lvl w:ilvl="6" w:tplc="37123E3A" w:tentative="1">
      <w:start w:val="1"/>
      <w:numFmt w:val="bullet"/>
      <w:lvlText w:val="•"/>
      <w:lvlJc w:val="left"/>
      <w:pPr>
        <w:tabs>
          <w:tab w:val="num" w:pos="5040"/>
        </w:tabs>
        <w:ind w:left="5040" w:hanging="360"/>
      </w:pPr>
      <w:rPr>
        <w:rFonts w:ascii="Arial" w:hAnsi="Arial" w:hint="default"/>
      </w:rPr>
    </w:lvl>
    <w:lvl w:ilvl="7" w:tplc="8CE46B9E" w:tentative="1">
      <w:start w:val="1"/>
      <w:numFmt w:val="bullet"/>
      <w:lvlText w:val="•"/>
      <w:lvlJc w:val="left"/>
      <w:pPr>
        <w:tabs>
          <w:tab w:val="num" w:pos="5760"/>
        </w:tabs>
        <w:ind w:left="5760" w:hanging="360"/>
      </w:pPr>
      <w:rPr>
        <w:rFonts w:ascii="Arial" w:hAnsi="Arial" w:hint="default"/>
      </w:rPr>
    </w:lvl>
    <w:lvl w:ilvl="8" w:tplc="FDB0D4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6A3A26"/>
    <w:multiLevelType w:val="hybridMultilevel"/>
    <w:tmpl w:val="0EC859D6"/>
    <w:lvl w:ilvl="0" w:tplc="D53E5372">
      <w:start w:val="1"/>
      <w:numFmt w:val="bullet"/>
      <w:lvlText w:val=""/>
      <w:lvlJc w:val="left"/>
      <w:pPr>
        <w:tabs>
          <w:tab w:val="num" w:pos="1080"/>
        </w:tabs>
        <w:ind w:left="1080" w:hanging="360"/>
      </w:pPr>
      <w:rPr>
        <w:rFonts w:ascii="Symbol" w:hAnsi="Symbol" w:hint="default"/>
      </w:rPr>
    </w:lvl>
    <w:lvl w:ilvl="1" w:tplc="C64CED88" w:tentative="1">
      <w:start w:val="1"/>
      <w:numFmt w:val="bullet"/>
      <w:lvlText w:val=""/>
      <w:lvlJc w:val="left"/>
      <w:pPr>
        <w:tabs>
          <w:tab w:val="num" w:pos="1800"/>
        </w:tabs>
        <w:ind w:left="1800" w:hanging="360"/>
      </w:pPr>
      <w:rPr>
        <w:rFonts w:ascii="Symbol" w:hAnsi="Symbol" w:hint="default"/>
      </w:rPr>
    </w:lvl>
    <w:lvl w:ilvl="2" w:tplc="23780F6C" w:tentative="1">
      <w:start w:val="1"/>
      <w:numFmt w:val="bullet"/>
      <w:lvlText w:val=""/>
      <w:lvlJc w:val="left"/>
      <w:pPr>
        <w:tabs>
          <w:tab w:val="num" w:pos="2520"/>
        </w:tabs>
        <w:ind w:left="2520" w:hanging="360"/>
      </w:pPr>
      <w:rPr>
        <w:rFonts w:ascii="Symbol" w:hAnsi="Symbol" w:hint="default"/>
      </w:rPr>
    </w:lvl>
    <w:lvl w:ilvl="3" w:tplc="E946C986" w:tentative="1">
      <w:start w:val="1"/>
      <w:numFmt w:val="bullet"/>
      <w:lvlText w:val=""/>
      <w:lvlJc w:val="left"/>
      <w:pPr>
        <w:tabs>
          <w:tab w:val="num" w:pos="3240"/>
        </w:tabs>
        <w:ind w:left="3240" w:hanging="360"/>
      </w:pPr>
      <w:rPr>
        <w:rFonts w:ascii="Symbol" w:hAnsi="Symbol" w:hint="default"/>
      </w:rPr>
    </w:lvl>
    <w:lvl w:ilvl="4" w:tplc="D51E7938" w:tentative="1">
      <w:start w:val="1"/>
      <w:numFmt w:val="bullet"/>
      <w:lvlText w:val=""/>
      <w:lvlJc w:val="left"/>
      <w:pPr>
        <w:tabs>
          <w:tab w:val="num" w:pos="3960"/>
        </w:tabs>
        <w:ind w:left="3960" w:hanging="360"/>
      </w:pPr>
      <w:rPr>
        <w:rFonts w:ascii="Symbol" w:hAnsi="Symbol" w:hint="default"/>
      </w:rPr>
    </w:lvl>
    <w:lvl w:ilvl="5" w:tplc="E16EE25C" w:tentative="1">
      <w:start w:val="1"/>
      <w:numFmt w:val="bullet"/>
      <w:lvlText w:val=""/>
      <w:lvlJc w:val="left"/>
      <w:pPr>
        <w:tabs>
          <w:tab w:val="num" w:pos="4680"/>
        </w:tabs>
        <w:ind w:left="4680" w:hanging="360"/>
      </w:pPr>
      <w:rPr>
        <w:rFonts w:ascii="Symbol" w:hAnsi="Symbol" w:hint="default"/>
      </w:rPr>
    </w:lvl>
    <w:lvl w:ilvl="6" w:tplc="86CA5308" w:tentative="1">
      <w:start w:val="1"/>
      <w:numFmt w:val="bullet"/>
      <w:lvlText w:val=""/>
      <w:lvlJc w:val="left"/>
      <w:pPr>
        <w:tabs>
          <w:tab w:val="num" w:pos="5400"/>
        </w:tabs>
        <w:ind w:left="5400" w:hanging="360"/>
      </w:pPr>
      <w:rPr>
        <w:rFonts w:ascii="Symbol" w:hAnsi="Symbol" w:hint="default"/>
      </w:rPr>
    </w:lvl>
    <w:lvl w:ilvl="7" w:tplc="AF4ECB30" w:tentative="1">
      <w:start w:val="1"/>
      <w:numFmt w:val="bullet"/>
      <w:lvlText w:val=""/>
      <w:lvlJc w:val="left"/>
      <w:pPr>
        <w:tabs>
          <w:tab w:val="num" w:pos="6120"/>
        </w:tabs>
        <w:ind w:left="6120" w:hanging="360"/>
      </w:pPr>
      <w:rPr>
        <w:rFonts w:ascii="Symbol" w:hAnsi="Symbol" w:hint="default"/>
      </w:rPr>
    </w:lvl>
    <w:lvl w:ilvl="8" w:tplc="77FA1ED6" w:tentative="1">
      <w:start w:val="1"/>
      <w:numFmt w:val="bullet"/>
      <w:lvlText w:val=""/>
      <w:lvlJc w:val="left"/>
      <w:pPr>
        <w:tabs>
          <w:tab w:val="num" w:pos="6840"/>
        </w:tabs>
        <w:ind w:left="6840" w:hanging="360"/>
      </w:pPr>
      <w:rPr>
        <w:rFonts w:ascii="Symbol" w:hAnsi="Symbol" w:hint="default"/>
      </w:rPr>
    </w:lvl>
  </w:abstractNum>
  <w:abstractNum w:abstractNumId="16"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1B754A"/>
    <w:multiLevelType w:val="hybridMultilevel"/>
    <w:tmpl w:val="ED047876"/>
    <w:lvl w:ilvl="0" w:tplc="A3F442F8">
      <w:start w:val="1"/>
      <w:numFmt w:val="bullet"/>
      <w:lvlText w:val=""/>
      <w:lvlPicBulletId w:val="0"/>
      <w:lvlJc w:val="left"/>
      <w:pPr>
        <w:tabs>
          <w:tab w:val="num" w:pos="720"/>
        </w:tabs>
        <w:ind w:left="720" w:hanging="360"/>
      </w:pPr>
      <w:rPr>
        <w:rFonts w:ascii="Symbol" w:hAnsi="Symbol" w:hint="default"/>
      </w:rPr>
    </w:lvl>
    <w:lvl w:ilvl="1" w:tplc="9A8C8286">
      <w:numFmt w:val="bullet"/>
      <w:lvlText w:val="•"/>
      <w:lvlJc w:val="left"/>
      <w:pPr>
        <w:tabs>
          <w:tab w:val="num" w:pos="1440"/>
        </w:tabs>
        <w:ind w:left="1440" w:hanging="360"/>
      </w:pPr>
      <w:rPr>
        <w:rFonts w:ascii="Arial" w:hAnsi="Arial" w:hint="default"/>
      </w:rPr>
    </w:lvl>
    <w:lvl w:ilvl="2" w:tplc="B9B011D8">
      <w:numFmt w:val="bullet"/>
      <w:lvlText w:val="•"/>
      <w:lvlJc w:val="left"/>
      <w:pPr>
        <w:tabs>
          <w:tab w:val="num" w:pos="2160"/>
        </w:tabs>
        <w:ind w:left="2160" w:hanging="360"/>
      </w:pPr>
      <w:rPr>
        <w:rFonts w:ascii="Arial" w:hAnsi="Arial" w:hint="default"/>
      </w:rPr>
    </w:lvl>
    <w:lvl w:ilvl="3" w:tplc="EE0AA204" w:tentative="1">
      <w:start w:val="1"/>
      <w:numFmt w:val="bullet"/>
      <w:lvlText w:val=""/>
      <w:lvlPicBulletId w:val="0"/>
      <w:lvlJc w:val="left"/>
      <w:pPr>
        <w:tabs>
          <w:tab w:val="num" w:pos="2880"/>
        </w:tabs>
        <w:ind w:left="2880" w:hanging="360"/>
      </w:pPr>
      <w:rPr>
        <w:rFonts w:ascii="Symbol" w:hAnsi="Symbol" w:hint="default"/>
      </w:rPr>
    </w:lvl>
    <w:lvl w:ilvl="4" w:tplc="101AF420" w:tentative="1">
      <w:start w:val="1"/>
      <w:numFmt w:val="bullet"/>
      <w:lvlText w:val=""/>
      <w:lvlPicBulletId w:val="0"/>
      <w:lvlJc w:val="left"/>
      <w:pPr>
        <w:tabs>
          <w:tab w:val="num" w:pos="3600"/>
        </w:tabs>
        <w:ind w:left="3600" w:hanging="360"/>
      </w:pPr>
      <w:rPr>
        <w:rFonts w:ascii="Symbol" w:hAnsi="Symbol" w:hint="default"/>
      </w:rPr>
    </w:lvl>
    <w:lvl w:ilvl="5" w:tplc="1934627E" w:tentative="1">
      <w:start w:val="1"/>
      <w:numFmt w:val="bullet"/>
      <w:lvlText w:val=""/>
      <w:lvlPicBulletId w:val="0"/>
      <w:lvlJc w:val="left"/>
      <w:pPr>
        <w:tabs>
          <w:tab w:val="num" w:pos="4320"/>
        </w:tabs>
        <w:ind w:left="4320" w:hanging="360"/>
      </w:pPr>
      <w:rPr>
        <w:rFonts w:ascii="Symbol" w:hAnsi="Symbol" w:hint="default"/>
      </w:rPr>
    </w:lvl>
    <w:lvl w:ilvl="6" w:tplc="0E5AE298" w:tentative="1">
      <w:start w:val="1"/>
      <w:numFmt w:val="bullet"/>
      <w:lvlText w:val=""/>
      <w:lvlPicBulletId w:val="0"/>
      <w:lvlJc w:val="left"/>
      <w:pPr>
        <w:tabs>
          <w:tab w:val="num" w:pos="5040"/>
        </w:tabs>
        <w:ind w:left="5040" w:hanging="360"/>
      </w:pPr>
      <w:rPr>
        <w:rFonts w:ascii="Symbol" w:hAnsi="Symbol" w:hint="default"/>
      </w:rPr>
    </w:lvl>
    <w:lvl w:ilvl="7" w:tplc="A17A365E" w:tentative="1">
      <w:start w:val="1"/>
      <w:numFmt w:val="bullet"/>
      <w:lvlText w:val=""/>
      <w:lvlPicBulletId w:val="0"/>
      <w:lvlJc w:val="left"/>
      <w:pPr>
        <w:tabs>
          <w:tab w:val="num" w:pos="5760"/>
        </w:tabs>
        <w:ind w:left="5760" w:hanging="360"/>
      </w:pPr>
      <w:rPr>
        <w:rFonts w:ascii="Symbol" w:hAnsi="Symbol" w:hint="default"/>
      </w:rPr>
    </w:lvl>
    <w:lvl w:ilvl="8" w:tplc="3028C3B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EF7771F"/>
    <w:multiLevelType w:val="hybridMultilevel"/>
    <w:tmpl w:val="DCA67470"/>
    <w:lvl w:ilvl="0" w:tplc="4CB668C6">
      <w:start w:val="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02DC7"/>
    <w:multiLevelType w:val="hybridMultilevel"/>
    <w:tmpl w:val="E64201B2"/>
    <w:lvl w:ilvl="0" w:tplc="4E00BE02">
      <w:start w:val="1"/>
      <w:numFmt w:val="bullet"/>
      <w:lvlText w:val="•"/>
      <w:lvlJc w:val="left"/>
      <w:pPr>
        <w:tabs>
          <w:tab w:val="num" w:pos="720"/>
        </w:tabs>
        <w:ind w:left="720" w:hanging="360"/>
      </w:pPr>
      <w:rPr>
        <w:rFonts w:ascii="Arial" w:hAnsi="Arial" w:hint="default"/>
      </w:rPr>
    </w:lvl>
    <w:lvl w:ilvl="1" w:tplc="FA1A79AA">
      <w:start w:val="1"/>
      <w:numFmt w:val="bullet"/>
      <w:lvlText w:val="•"/>
      <w:lvlJc w:val="left"/>
      <w:pPr>
        <w:tabs>
          <w:tab w:val="num" w:pos="1440"/>
        </w:tabs>
        <w:ind w:left="1440" w:hanging="360"/>
      </w:pPr>
      <w:rPr>
        <w:rFonts w:ascii="Arial" w:hAnsi="Arial" w:hint="default"/>
      </w:rPr>
    </w:lvl>
    <w:lvl w:ilvl="2" w:tplc="F6BC408E">
      <w:numFmt w:val="bullet"/>
      <w:lvlText w:val="•"/>
      <w:lvlJc w:val="left"/>
      <w:pPr>
        <w:tabs>
          <w:tab w:val="num" w:pos="2160"/>
        </w:tabs>
        <w:ind w:left="2160" w:hanging="360"/>
      </w:pPr>
      <w:rPr>
        <w:rFonts w:ascii="Arial" w:hAnsi="Arial" w:hint="default"/>
      </w:rPr>
    </w:lvl>
    <w:lvl w:ilvl="3" w:tplc="FAFAD5CC" w:tentative="1">
      <w:start w:val="1"/>
      <w:numFmt w:val="bullet"/>
      <w:lvlText w:val="•"/>
      <w:lvlJc w:val="left"/>
      <w:pPr>
        <w:tabs>
          <w:tab w:val="num" w:pos="2880"/>
        </w:tabs>
        <w:ind w:left="2880" w:hanging="360"/>
      </w:pPr>
      <w:rPr>
        <w:rFonts w:ascii="Arial" w:hAnsi="Arial" w:hint="default"/>
      </w:rPr>
    </w:lvl>
    <w:lvl w:ilvl="4" w:tplc="87345D02" w:tentative="1">
      <w:start w:val="1"/>
      <w:numFmt w:val="bullet"/>
      <w:lvlText w:val="•"/>
      <w:lvlJc w:val="left"/>
      <w:pPr>
        <w:tabs>
          <w:tab w:val="num" w:pos="3600"/>
        </w:tabs>
        <w:ind w:left="3600" w:hanging="360"/>
      </w:pPr>
      <w:rPr>
        <w:rFonts w:ascii="Arial" w:hAnsi="Arial" w:hint="default"/>
      </w:rPr>
    </w:lvl>
    <w:lvl w:ilvl="5" w:tplc="8C586F56" w:tentative="1">
      <w:start w:val="1"/>
      <w:numFmt w:val="bullet"/>
      <w:lvlText w:val="•"/>
      <w:lvlJc w:val="left"/>
      <w:pPr>
        <w:tabs>
          <w:tab w:val="num" w:pos="4320"/>
        </w:tabs>
        <w:ind w:left="4320" w:hanging="360"/>
      </w:pPr>
      <w:rPr>
        <w:rFonts w:ascii="Arial" w:hAnsi="Arial" w:hint="default"/>
      </w:rPr>
    </w:lvl>
    <w:lvl w:ilvl="6" w:tplc="B53C591A" w:tentative="1">
      <w:start w:val="1"/>
      <w:numFmt w:val="bullet"/>
      <w:lvlText w:val="•"/>
      <w:lvlJc w:val="left"/>
      <w:pPr>
        <w:tabs>
          <w:tab w:val="num" w:pos="5040"/>
        </w:tabs>
        <w:ind w:left="5040" w:hanging="360"/>
      </w:pPr>
      <w:rPr>
        <w:rFonts w:ascii="Arial" w:hAnsi="Arial" w:hint="default"/>
      </w:rPr>
    </w:lvl>
    <w:lvl w:ilvl="7" w:tplc="CC6608E8" w:tentative="1">
      <w:start w:val="1"/>
      <w:numFmt w:val="bullet"/>
      <w:lvlText w:val="•"/>
      <w:lvlJc w:val="left"/>
      <w:pPr>
        <w:tabs>
          <w:tab w:val="num" w:pos="5760"/>
        </w:tabs>
        <w:ind w:left="5760" w:hanging="360"/>
      </w:pPr>
      <w:rPr>
        <w:rFonts w:ascii="Arial" w:hAnsi="Arial" w:hint="default"/>
      </w:rPr>
    </w:lvl>
    <w:lvl w:ilvl="8" w:tplc="1B4EF2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6A91211"/>
    <w:multiLevelType w:val="hybridMultilevel"/>
    <w:tmpl w:val="99249736"/>
    <w:lvl w:ilvl="0" w:tplc="683AF2E6">
      <w:start w:val="1"/>
      <w:numFmt w:val="bullet"/>
      <w:lvlText w:val="•"/>
      <w:lvlJc w:val="left"/>
      <w:pPr>
        <w:tabs>
          <w:tab w:val="num" w:pos="720"/>
        </w:tabs>
        <w:ind w:left="720" w:hanging="360"/>
      </w:pPr>
      <w:rPr>
        <w:rFonts w:ascii="Arial" w:hAnsi="Arial" w:hint="default"/>
      </w:rPr>
    </w:lvl>
    <w:lvl w:ilvl="1" w:tplc="1BDC3F08">
      <w:start w:val="1"/>
      <w:numFmt w:val="bullet"/>
      <w:lvlText w:val="•"/>
      <w:lvlJc w:val="left"/>
      <w:pPr>
        <w:tabs>
          <w:tab w:val="num" w:pos="1440"/>
        </w:tabs>
        <w:ind w:left="1440" w:hanging="360"/>
      </w:pPr>
      <w:rPr>
        <w:rFonts w:ascii="Arial" w:hAnsi="Arial" w:hint="default"/>
      </w:rPr>
    </w:lvl>
    <w:lvl w:ilvl="2" w:tplc="8C1A300E">
      <w:numFmt w:val="bullet"/>
      <w:lvlText w:val="•"/>
      <w:lvlJc w:val="left"/>
      <w:pPr>
        <w:tabs>
          <w:tab w:val="num" w:pos="2160"/>
        </w:tabs>
        <w:ind w:left="2160" w:hanging="360"/>
      </w:pPr>
      <w:rPr>
        <w:rFonts w:ascii="Arial" w:hAnsi="Arial" w:hint="default"/>
      </w:rPr>
    </w:lvl>
    <w:lvl w:ilvl="3" w:tplc="DDF46008" w:tentative="1">
      <w:start w:val="1"/>
      <w:numFmt w:val="bullet"/>
      <w:lvlText w:val="•"/>
      <w:lvlJc w:val="left"/>
      <w:pPr>
        <w:tabs>
          <w:tab w:val="num" w:pos="2880"/>
        </w:tabs>
        <w:ind w:left="2880" w:hanging="360"/>
      </w:pPr>
      <w:rPr>
        <w:rFonts w:ascii="Arial" w:hAnsi="Arial" w:hint="default"/>
      </w:rPr>
    </w:lvl>
    <w:lvl w:ilvl="4" w:tplc="7FA20604" w:tentative="1">
      <w:start w:val="1"/>
      <w:numFmt w:val="bullet"/>
      <w:lvlText w:val="•"/>
      <w:lvlJc w:val="left"/>
      <w:pPr>
        <w:tabs>
          <w:tab w:val="num" w:pos="3600"/>
        </w:tabs>
        <w:ind w:left="3600" w:hanging="360"/>
      </w:pPr>
      <w:rPr>
        <w:rFonts w:ascii="Arial" w:hAnsi="Arial" w:hint="default"/>
      </w:rPr>
    </w:lvl>
    <w:lvl w:ilvl="5" w:tplc="3002022E" w:tentative="1">
      <w:start w:val="1"/>
      <w:numFmt w:val="bullet"/>
      <w:lvlText w:val="•"/>
      <w:lvlJc w:val="left"/>
      <w:pPr>
        <w:tabs>
          <w:tab w:val="num" w:pos="4320"/>
        </w:tabs>
        <w:ind w:left="4320" w:hanging="360"/>
      </w:pPr>
      <w:rPr>
        <w:rFonts w:ascii="Arial" w:hAnsi="Arial" w:hint="default"/>
      </w:rPr>
    </w:lvl>
    <w:lvl w:ilvl="6" w:tplc="D7DC903C" w:tentative="1">
      <w:start w:val="1"/>
      <w:numFmt w:val="bullet"/>
      <w:lvlText w:val="•"/>
      <w:lvlJc w:val="left"/>
      <w:pPr>
        <w:tabs>
          <w:tab w:val="num" w:pos="5040"/>
        </w:tabs>
        <w:ind w:left="5040" w:hanging="360"/>
      </w:pPr>
      <w:rPr>
        <w:rFonts w:ascii="Arial" w:hAnsi="Arial" w:hint="default"/>
      </w:rPr>
    </w:lvl>
    <w:lvl w:ilvl="7" w:tplc="F6CA4312" w:tentative="1">
      <w:start w:val="1"/>
      <w:numFmt w:val="bullet"/>
      <w:lvlText w:val="•"/>
      <w:lvlJc w:val="left"/>
      <w:pPr>
        <w:tabs>
          <w:tab w:val="num" w:pos="5760"/>
        </w:tabs>
        <w:ind w:left="5760" w:hanging="360"/>
      </w:pPr>
      <w:rPr>
        <w:rFonts w:ascii="Arial" w:hAnsi="Arial" w:hint="default"/>
      </w:rPr>
    </w:lvl>
    <w:lvl w:ilvl="8" w:tplc="793698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7"/>
  </w:num>
  <w:num w:numId="3">
    <w:abstractNumId w:val="30"/>
  </w:num>
  <w:num w:numId="4">
    <w:abstractNumId w:val="8"/>
  </w:num>
  <w:num w:numId="5">
    <w:abstractNumId w:val="12"/>
  </w:num>
  <w:num w:numId="6">
    <w:abstractNumId w:val="26"/>
  </w:num>
  <w:num w:numId="7">
    <w:abstractNumId w:val="19"/>
  </w:num>
  <w:num w:numId="8">
    <w:abstractNumId w:val="31"/>
    <w:lvlOverride w:ilvl="0">
      <w:startOverride w:val="1"/>
    </w:lvlOverride>
  </w:num>
  <w:num w:numId="9">
    <w:abstractNumId w:val="25"/>
  </w:num>
  <w:num w:numId="10">
    <w:abstractNumId w:val="16"/>
  </w:num>
  <w:num w:numId="11">
    <w:abstractNumId w:val="20"/>
  </w:num>
  <w:num w:numId="12">
    <w:abstractNumId w:val="6"/>
  </w:num>
  <w:num w:numId="13">
    <w:abstractNumId w:val="22"/>
  </w:num>
  <w:num w:numId="14">
    <w:abstractNumId w:val="0"/>
  </w:num>
  <w:num w:numId="15">
    <w:abstractNumId w:val="1"/>
  </w:num>
  <w:num w:numId="16">
    <w:abstractNumId w:val="3"/>
  </w:num>
  <w:num w:numId="17">
    <w:abstractNumId w:val="18"/>
  </w:num>
  <w:num w:numId="18">
    <w:abstractNumId w:val="28"/>
  </w:num>
  <w:num w:numId="19">
    <w:abstractNumId w:val="7"/>
  </w:num>
  <w:num w:numId="20">
    <w:abstractNumId w:val="17"/>
  </w:num>
  <w:num w:numId="21">
    <w:abstractNumId w:val="11"/>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1"/>
  </w:num>
  <w:num w:numId="25">
    <w:abstractNumId w:val="29"/>
  </w:num>
  <w:num w:numId="26">
    <w:abstractNumId w:val="10"/>
  </w:num>
  <w:num w:numId="27">
    <w:abstractNumId w:val="15"/>
  </w:num>
  <w:num w:numId="28">
    <w:abstractNumId w:val="24"/>
  </w:num>
  <w:num w:numId="29">
    <w:abstractNumId w:val="5"/>
  </w:num>
  <w:num w:numId="30">
    <w:abstractNumId w:val="2"/>
  </w:num>
  <w:num w:numId="31">
    <w:abstractNumId w:val="9"/>
  </w:num>
  <w:num w:numId="32">
    <w:abstractNumId w:val="14"/>
  </w:num>
  <w:num w:numId="3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9C9"/>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B96"/>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0C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1CF"/>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22"/>
    <w:rsid w:val="002976AF"/>
    <w:rsid w:val="00297836"/>
    <w:rsid w:val="00297B7D"/>
    <w:rsid w:val="002A02A9"/>
    <w:rsid w:val="002A083B"/>
    <w:rsid w:val="002A1083"/>
    <w:rsid w:val="002A1218"/>
    <w:rsid w:val="002A1923"/>
    <w:rsid w:val="002A1A1D"/>
    <w:rsid w:val="002A1AD8"/>
    <w:rsid w:val="002A1EE9"/>
    <w:rsid w:val="002A222F"/>
    <w:rsid w:val="002A2688"/>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E6C"/>
    <w:rsid w:val="002F6FE5"/>
    <w:rsid w:val="002F7357"/>
    <w:rsid w:val="002F7510"/>
    <w:rsid w:val="002F7537"/>
    <w:rsid w:val="002F7A38"/>
    <w:rsid w:val="002F7BC4"/>
    <w:rsid w:val="002F7BE5"/>
    <w:rsid w:val="002F7E3E"/>
    <w:rsid w:val="0030014B"/>
    <w:rsid w:val="0030031A"/>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BAC"/>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BAA"/>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D4F"/>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2F78"/>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05C"/>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23E"/>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2FD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71"/>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723"/>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B0"/>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71"/>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2F2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54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B1C"/>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3053091">
      <w:bodyDiv w:val="1"/>
      <w:marLeft w:val="0"/>
      <w:marRight w:val="0"/>
      <w:marTop w:val="0"/>
      <w:marBottom w:val="0"/>
      <w:divBdr>
        <w:top w:val="none" w:sz="0" w:space="0" w:color="auto"/>
        <w:left w:val="none" w:sz="0" w:space="0" w:color="auto"/>
        <w:bottom w:val="none" w:sz="0" w:space="0" w:color="auto"/>
        <w:right w:val="none" w:sz="0" w:space="0" w:color="auto"/>
      </w:divBdr>
      <w:divsChild>
        <w:div w:id="615060191">
          <w:marLeft w:val="1080"/>
          <w:marRight w:val="0"/>
          <w:marTop w:val="100"/>
          <w:marBottom w:val="0"/>
          <w:divBdr>
            <w:top w:val="none" w:sz="0" w:space="0" w:color="auto"/>
            <w:left w:val="none" w:sz="0" w:space="0" w:color="auto"/>
            <w:bottom w:val="none" w:sz="0" w:space="0" w:color="auto"/>
            <w:right w:val="none" w:sz="0" w:space="0" w:color="auto"/>
          </w:divBdr>
        </w:div>
        <w:div w:id="419447449">
          <w:marLeft w:val="1800"/>
          <w:marRight w:val="0"/>
          <w:marTop w:val="100"/>
          <w:marBottom w:val="0"/>
          <w:divBdr>
            <w:top w:val="none" w:sz="0" w:space="0" w:color="auto"/>
            <w:left w:val="none" w:sz="0" w:space="0" w:color="auto"/>
            <w:bottom w:val="none" w:sz="0" w:space="0" w:color="auto"/>
            <w:right w:val="none" w:sz="0" w:space="0" w:color="auto"/>
          </w:divBdr>
        </w:div>
      </w:divsChild>
    </w:div>
    <w:div w:id="184489926">
      <w:bodyDiv w:val="1"/>
      <w:marLeft w:val="0"/>
      <w:marRight w:val="0"/>
      <w:marTop w:val="0"/>
      <w:marBottom w:val="0"/>
      <w:divBdr>
        <w:top w:val="none" w:sz="0" w:space="0" w:color="auto"/>
        <w:left w:val="none" w:sz="0" w:space="0" w:color="auto"/>
        <w:bottom w:val="none" w:sz="0" w:space="0" w:color="auto"/>
        <w:right w:val="none" w:sz="0" w:space="0" w:color="auto"/>
      </w:divBdr>
      <w:divsChild>
        <w:div w:id="493037570">
          <w:marLeft w:val="360"/>
          <w:marRight w:val="0"/>
          <w:marTop w:val="200"/>
          <w:marBottom w:val="0"/>
          <w:divBdr>
            <w:top w:val="none" w:sz="0" w:space="0" w:color="auto"/>
            <w:left w:val="none" w:sz="0" w:space="0" w:color="auto"/>
            <w:bottom w:val="none" w:sz="0" w:space="0" w:color="auto"/>
            <w:right w:val="none" w:sz="0" w:space="0" w:color="auto"/>
          </w:divBdr>
        </w:div>
        <w:div w:id="1274246359">
          <w:marLeft w:val="1080"/>
          <w:marRight w:val="0"/>
          <w:marTop w:val="100"/>
          <w:marBottom w:val="0"/>
          <w:divBdr>
            <w:top w:val="none" w:sz="0" w:space="0" w:color="auto"/>
            <w:left w:val="none" w:sz="0" w:space="0" w:color="auto"/>
            <w:bottom w:val="none" w:sz="0" w:space="0" w:color="auto"/>
            <w:right w:val="none" w:sz="0" w:space="0" w:color="auto"/>
          </w:divBdr>
        </w:div>
        <w:div w:id="512039803">
          <w:marLeft w:val="1800"/>
          <w:marRight w:val="0"/>
          <w:marTop w:val="100"/>
          <w:marBottom w:val="0"/>
          <w:divBdr>
            <w:top w:val="none" w:sz="0" w:space="0" w:color="auto"/>
            <w:left w:val="none" w:sz="0" w:space="0" w:color="auto"/>
            <w:bottom w:val="none" w:sz="0" w:space="0" w:color="auto"/>
            <w:right w:val="none" w:sz="0" w:space="0" w:color="auto"/>
          </w:divBdr>
        </w:div>
        <w:div w:id="387535553">
          <w:marLeft w:val="1080"/>
          <w:marRight w:val="0"/>
          <w:marTop w:val="100"/>
          <w:marBottom w:val="0"/>
          <w:divBdr>
            <w:top w:val="none" w:sz="0" w:space="0" w:color="auto"/>
            <w:left w:val="none" w:sz="0" w:space="0" w:color="auto"/>
            <w:bottom w:val="none" w:sz="0" w:space="0" w:color="auto"/>
            <w:right w:val="none" w:sz="0" w:space="0" w:color="auto"/>
          </w:divBdr>
        </w:div>
        <w:div w:id="1759476822">
          <w:marLeft w:val="1800"/>
          <w:marRight w:val="0"/>
          <w:marTop w:val="100"/>
          <w:marBottom w:val="0"/>
          <w:divBdr>
            <w:top w:val="none" w:sz="0" w:space="0" w:color="auto"/>
            <w:left w:val="none" w:sz="0" w:space="0" w:color="auto"/>
            <w:bottom w:val="none" w:sz="0" w:space="0" w:color="auto"/>
            <w:right w:val="none" w:sz="0" w:space="0" w:color="auto"/>
          </w:divBdr>
        </w:div>
      </w:divsChild>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8497596">
      <w:bodyDiv w:val="1"/>
      <w:marLeft w:val="0"/>
      <w:marRight w:val="0"/>
      <w:marTop w:val="0"/>
      <w:marBottom w:val="0"/>
      <w:divBdr>
        <w:top w:val="none" w:sz="0" w:space="0" w:color="auto"/>
        <w:left w:val="none" w:sz="0" w:space="0" w:color="auto"/>
        <w:bottom w:val="none" w:sz="0" w:space="0" w:color="auto"/>
        <w:right w:val="none" w:sz="0" w:space="0" w:color="auto"/>
      </w:divBdr>
      <w:divsChild>
        <w:div w:id="1726489553">
          <w:marLeft w:val="1080"/>
          <w:marRight w:val="0"/>
          <w:marTop w:val="100"/>
          <w:marBottom w:val="0"/>
          <w:divBdr>
            <w:top w:val="none" w:sz="0" w:space="0" w:color="auto"/>
            <w:left w:val="none" w:sz="0" w:space="0" w:color="auto"/>
            <w:bottom w:val="none" w:sz="0" w:space="0" w:color="auto"/>
            <w:right w:val="none" w:sz="0" w:space="0" w:color="auto"/>
          </w:divBdr>
        </w:div>
        <w:div w:id="2091194915">
          <w:marLeft w:val="1080"/>
          <w:marRight w:val="0"/>
          <w:marTop w:val="100"/>
          <w:marBottom w:val="0"/>
          <w:divBdr>
            <w:top w:val="none" w:sz="0" w:space="0" w:color="auto"/>
            <w:left w:val="none" w:sz="0" w:space="0" w:color="auto"/>
            <w:bottom w:val="none" w:sz="0" w:space="0" w:color="auto"/>
            <w:right w:val="none" w:sz="0" w:space="0" w:color="auto"/>
          </w:divBdr>
        </w:div>
        <w:div w:id="420563974">
          <w:marLeft w:val="1800"/>
          <w:marRight w:val="0"/>
          <w:marTop w:val="100"/>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6515300">
      <w:bodyDiv w:val="1"/>
      <w:marLeft w:val="0"/>
      <w:marRight w:val="0"/>
      <w:marTop w:val="0"/>
      <w:marBottom w:val="0"/>
      <w:divBdr>
        <w:top w:val="none" w:sz="0" w:space="0" w:color="auto"/>
        <w:left w:val="none" w:sz="0" w:space="0" w:color="auto"/>
        <w:bottom w:val="none" w:sz="0" w:space="0" w:color="auto"/>
        <w:right w:val="none" w:sz="0" w:space="0" w:color="auto"/>
      </w:divBdr>
      <w:divsChild>
        <w:div w:id="383021962">
          <w:marLeft w:val="547"/>
          <w:marRight w:val="0"/>
          <w:marTop w:val="0"/>
          <w:marBottom w:val="18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209367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0601323">
      <w:bodyDiv w:val="1"/>
      <w:marLeft w:val="0"/>
      <w:marRight w:val="0"/>
      <w:marTop w:val="0"/>
      <w:marBottom w:val="0"/>
      <w:divBdr>
        <w:top w:val="none" w:sz="0" w:space="0" w:color="auto"/>
        <w:left w:val="none" w:sz="0" w:space="0" w:color="auto"/>
        <w:bottom w:val="none" w:sz="0" w:space="0" w:color="auto"/>
        <w:right w:val="none" w:sz="0" w:space="0" w:color="auto"/>
      </w:divBdr>
      <w:divsChild>
        <w:div w:id="1246495901">
          <w:marLeft w:val="1080"/>
          <w:marRight w:val="0"/>
          <w:marTop w:val="100"/>
          <w:marBottom w:val="0"/>
          <w:divBdr>
            <w:top w:val="none" w:sz="0" w:space="0" w:color="auto"/>
            <w:left w:val="none" w:sz="0" w:space="0" w:color="auto"/>
            <w:bottom w:val="none" w:sz="0" w:space="0" w:color="auto"/>
            <w:right w:val="none" w:sz="0" w:space="0" w:color="auto"/>
          </w:divBdr>
        </w:div>
        <w:div w:id="1368794408">
          <w:marLeft w:val="1800"/>
          <w:marRight w:val="0"/>
          <w:marTop w:val="100"/>
          <w:marBottom w:val="0"/>
          <w:divBdr>
            <w:top w:val="none" w:sz="0" w:space="0" w:color="auto"/>
            <w:left w:val="none" w:sz="0" w:space="0" w:color="auto"/>
            <w:bottom w:val="none" w:sz="0" w:space="0" w:color="auto"/>
            <w:right w:val="none" w:sz="0" w:space="0" w:color="auto"/>
          </w:divBdr>
        </w:div>
        <w:div w:id="2048724961">
          <w:marLeft w:val="1800"/>
          <w:marRight w:val="0"/>
          <w:marTop w:val="10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876713">
      <w:bodyDiv w:val="1"/>
      <w:marLeft w:val="0"/>
      <w:marRight w:val="0"/>
      <w:marTop w:val="0"/>
      <w:marBottom w:val="0"/>
      <w:divBdr>
        <w:top w:val="none" w:sz="0" w:space="0" w:color="auto"/>
        <w:left w:val="none" w:sz="0" w:space="0" w:color="auto"/>
        <w:bottom w:val="none" w:sz="0" w:space="0" w:color="auto"/>
        <w:right w:val="none" w:sz="0" w:space="0" w:color="auto"/>
      </w:divBdr>
      <w:divsChild>
        <w:div w:id="938172257">
          <w:marLeft w:val="547"/>
          <w:marRight w:val="0"/>
          <w:marTop w:val="0"/>
          <w:marBottom w:val="18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49659566">
      <w:bodyDiv w:val="1"/>
      <w:marLeft w:val="0"/>
      <w:marRight w:val="0"/>
      <w:marTop w:val="0"/>
      <w:marBottom w:val="0"/>
      <w:divBdr>
        <w:top w:val="none" w:sz="0" w:space="0" w:color="auto"/>
        <w:left w:val="none" w:sz="0" w:space="0" w:color="auto"/>
        <w:bottom w:val="none" w:sz="0" w:space="0" w:color="auto"/>
        <w:right w:val="none" w:sz="0" w:space="0" w:color="auto"/>
      </w:divBdr>
      <w:divsChild>
        <w:div w:id="1768189341">
          <w:marLeft w:val="547"/>
          <w:marRight w:val="0"/>
          <w:marTop w:val="0"/>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1393100">
      <w:bodyDiv w:val="1"/>
      <w:marLeft w:val="0"/>
      <w:marRight w:val="0"/>
      <w:marTop w:val="0"/>
      <w:marBottom w:val="0"/>
      <w:divBdr>
        <w:top w:val="none" w:sz="0" w:space="0" w:color="auto"/>
        <w:left w:val="none" w:sz="0" w:space="0" w:color="auto"/>
        <w:bottom w:val="none" w:sz="0" w:space="0" w:color="auto"/>
        <w:right w:val="none" w:sz="0" w:space="0" w:color="auto"/>
      </w:divBdr>
      <w:divsChild>
        <w:div w:id="1607814178">
          <w:marLeft w:val="547"/>
          <w:marRight w:val="0"/>
          <w:marTop w:val="0"/>
          <w:marBottom w:val="18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9899610">
      <w:bodyDiv w:val="1"/>
      <w:marLeft w:val="0"/>
      <w:marRight w:val="0"/>
      <w:marTop w:val="0"/>
      <w:marBottom w:val="0"/>
      <w:divBdr>
        <w:top w:val="none" w:sz="0" w:space="0" w:color="auto"/>
        <w:left w:val="none" w:sz="0" w:space="0" w:color="auto"/>
        <w:bottom w:val="none" w:sz="0" w:space="0" w:color="auto"/>
        <w:right w:val="none" w:sz="0" w:space="0" w:color="auto"/>
      </w:divBdr>
      <w:divsChild>
        <w:div w:id="13919730">
          <w:marLeft w:val="1080"/>
          <w:marRight w:val="0"/>
          <w:marTop w:val="100"/>
          <w:marBottom w:val="0"/>
          <w:divBdr>
            <w:top w:val="none" w:sz="0" w:space="0" w:color="auto"/>
            <w:left w:val="none" w:sz="0" w:space="0" w:color="auto"/>
            <w:bottom w:val="none" w:sz="0" w:space="0" w:color="auto"/>
            <w:right w:val="none" w:sz="0" w:space="0" w:color="auto"/>
          </w:divBdr>
        </w:div>
        <w:div w:id="617295864">
          <w:marLeft w:val="1800"/>
          <w:marRight w:val="0"/>
          <w:marTop w:val="100"/>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0335458">
      <w:bodyDiv w:val="1"/>
      <w:marLeft w:val="0"/>
      <w:marRight w:val="0"/>
      <w:marTop w:val="0"/>
      <w:marBottom w:val="0"/>
      <w:divBdr>
        <w:top w:val="none" w:sz="0" w:space="0" w:color="auto"/>
        <w:left w:val="none" w:sz="0" w:space="0" w:color="auto"/>
        <w:bottom w:val="none" w:sz="0" w:space="0" w:color="auto"/>
        <w:right w:val="none" w:sz="0" w:space="0" w:color="auto"/>
      </w:divBdr>
      <w:divsChild>
        <w:div w:id="634724030">
          <w:marLeft w:val="547"/>
          <w:marRight w:val="0"/>
          <w:marTop w:val="0"/>
          <w:marBottom w:val="18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2772793">
      <w:bodyDiv w:val="1"/>
      <w:marLeft w:val="0"/>
      <w:marRight w:val="0"/>
      <w:marTop w:val="0"/>
      <w:marBottom w:val="0"/>
      <w:divBdr>
        <w:top w:val="none" w:sz="0" w:space="0" w:color="auto"/>
        <w:left w:val="none" w:sz="0" w:space="0" w:color="auto"/>
        <w:bottom w:val="none" w:sz="0" w:space="0" w:color="auto"/>
        <w:right w:val="none" w:sz="0" w:space="0" w:color="auto"/>
      </w:divBdr>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3782349">
      <w:bodyDiv w:val="1"/>
      <w:marLeft w:val="0"/>
      <w:marRight w:val="0"/>
      <w:marTop w:val="0"/>
      <w:marBottom w:val="0"/>
      <w:divBdr>
        <w:top w:val="none" w:sz="0" w:space="0" w:color="auto"/>
        <w:left w:val="none" w:sz="0" w:space="0" w:color="auto"/>
        <w:bottom w:val="none" w:sz="0" w:space="0" w:color="auto"/>
        <w:right w:val="none" w:sz="0" w:space="0" w:color="auto"/>
      </w:divBdr>
      <w:divsChild>
        <w:div w:id="528180584">
          <w:marLeft w:val="547"/>
          <w:marRight w:val="0"/>
          <w:marTop w:val="0"/>
          <w:marBottom w:val="18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25595539">
      <w:bodyDiv w:val="1"/>
      <w:marLeft w:val="0"/>
      <w:marRight w:val="0"/>
      <w:marTop w:val="0"/>
      <w:marBottom w:val="0"/>
      <w:divBdr>
        <w:top w:val="none" w:sz="0" w:space="0" w:color="auto"/>
        <w:left w:val="none" w:sz="0" w:space="0" w:color="auto"/>
        <w:bottom w:val="none" w:sz="0" w:space="0" w:color="auto"/>
        <w:right w:val="none" w:sz="0" w:space="0" w:color="auto"/>
      </w:divBdr>
      <w:divsChild>
        <w:div w:id="347756832">
          <w:marLeft w:val="1080"/>
          <w:marRight w:val="0"/>
          <w:marTop w:val="100"/>
          <w:marBottom w:val="0"/>
          <w:divBdr>
            <w:top w:val="none" w:sz="0" w:space="0" w:color="auto"/>
            <w:left w:val="none" w:sz="0" w:space="0" w:color="auto"/>
            <w:bottom w:val="none" w:sz="0" w:space="0" w:color="auto"/>
            <w:right w:val="none" w:sz="0" w:space="0" w:color="auto"/>
          </w:divBdr>
        </w:div>
        <w:div w:id="789781270">
          <w:marLeft w:val="1800"/>
          <w:marRight w:val="0"/>
          <w:marTop w:val="100"/>
          <w:marBottom w:val="0"/>
          <w:divBdr>
            <w:top w:val="none" w:sz="0" w:space="0" w:color="auto"/>
            <w:left w:val="none" w:sz="0" w:space="0" w:color="auto"/>
            <w:bottom w:val="none" w:sz="0" w:space="0" w:color="auto"/>
            <w:right w:val="none" w:sz="0" w:space="0" w:color="auto"/>
          </w:divBdr>
        </w:div>
        <w:div w:id="1148014537">
          <w:marLeft w:val="1080"/>
          <w:marRight w:val="0"/>
          <w:marTop w:val="100"/>
          <w:marBottom w:val="0"/>
          <w:divBdr>
            <w:top w:val="none" w:sz="0" w:space="0" w:color="auto"/>
            <w:left w:val="none" w:sz="0" w:space="0" w:color="auto"/>
            <w:bottom w:val="none" w:sz="0" w:space="0" w:color="auto"/>
            <w:right w:val="none" w:sz="0" w:space="0" w:color="auto"/>
          </w:divBdr>
        </w:div>
        <w:div w:id="1942566111">
          <w:marLeft w:val="1800"/>
          <w:marRight w:val="0"/>
          <w:marTop w:val="100"/>
          <w:marBottom w:val="0"/>
          <w:divBdr>
            <w:top w:val="none" w:sz="0" w:space="0" w:color="auto"/>
            <w:left w:val="none" w:sz="0" w:space="0" w:color="auto"/>
            <w:bottom w:val="none" w:sz="0" w:space="0" w:color="auto"/>
            <w:right w:val="none" w:sz="0" w:space="0" w:color="auto"/>
          </w:divBdr>
        </w:div>
        <w:div w:id="740178386">
          <w:marLeft w:val="1080"/>
          <w:marRight w:val="0"/>
          <w:marTop w:val="100"/>
          <w:marBottom w:val="0"/>
          <w:divBdr>
            <w:top w:val="none" w:sz="0" w:space="0" w:color="auto"/>
            <w:left w:val="none" w:sz="0" w:space="0" w:color="auto"/>
            <w:bottom w:val="none" w:sz="0" w:space="0" w:color="auto"/>
            <w:right w:val="none" w:sz="0" w:space="0" w:color="auto"/>
          </w:divBdr>
        </w:div>
        <w:div w:id="1221132648">
          <w:marLeft w:val="180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6E8D00B-F524-49FA-9418-C7667B86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16434</TotalTime>
  <Pages>1</Pages>
  <Words>1815</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35</cp:revision>
  <cp:lastPrinted>2009-04-22T06:01:00Z</cp:lastPrinted>
  <dcterms:created xsi:type="dcterms:W3CDTF">2020-07-07T06:33:00Z</dcterms:created>
  <dcterms:modified xsi:type="dcterms:W3CDTF">2021-04-02T15:22:00Z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