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</w:t>
      </w:r>
      <w:r w:rsidR="000C1FBC">
        <w:rPr>
          <w:rFonts w:ascii="Arial" w:hAnsi="Arial" w:cs="Arial"/>
          <w:b/>
          <w:sz w:val="24"/>
          <w:lang w:val="en-US" w:eastAsia="zh-CN"/>
        </w:rPr>
        <w:t>bis-</w:t>
      </w:r>
      <w:r w:rsidR="008E4702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31D41" w:rsidRPr="00031D41">
        <w:rPr>
          <w:rFonts w:ascii="Arial" w:hAnsi="Arial" w:cs="Arial"/>
          <w:b/>
          <w:sz w:val="24"/>
          <w:lang w:val="en-US" w:eastAsia="zh-CN"/>
        </w:rPr>
        <w:t>R4-2107023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C1FBC">
        <w:rPr>
          <w:rFonts w:cs="Arial"/>
          <w:noProof w:val="0"/>
          <w:sz w:val="24"/>
          <w:lang w:val="en-GB"/>
        </w:rPr>
        <w:t>12 – 20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April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00087" w:rsidRPr="00F00087">
        <w:rPr>
          <w:rFonts w:ascii="Arial" w:eastAsia="宋体" w:hAnsi="Arial"/>
          <w:b/>
          <w:sz w:val="24"/>
          <w:lang w:val="en-US" w:eastAsia="zh-CN"/>
        </w:rPr>
        <w:t>Discussion on CSI-RSRP accuracy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00087">
        <w:rPr>
          <w:rFonts w:ascii="Arial" w:eastAsia="宋体" w:hAnsi="Arial"/>
          <w:b/>
          <w:sz w:val="24"/>
          <w:lang w:val="en-US" w:eastAsia="zh-CN"/>
        </w:rPr>
        <w:t>5.7.2.2.1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F00087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CSI-RSRP accuracy requirements</w:t>
      </w:r>
      <w:r w:rsidR="00963A5F">
        <w:rPr>
          <w:rFonts w:eastAsia="宋体"/>
          <w:lang w:eastAsia="zh-CN"/>
        </w:rPr>
        <w:t xml:space="preserve"> have been discussed in RAN4#98-e. </w:t>
      </w:r>
      <w:r>
        <w:rPr>
          <w:rFonts w:eastAsia="宋体"/>
          <w:lang w:eastAsia="zh-CN"/>
        </w:rPr>
        <w:t>The outcomes</w:t>
      </w:r>
      <w:r w:rsidR="00963A5F">
        <w:rPr>
          <w:rFonts w:eastAsia="宋体"/>
          <w:lang w:eastAsia="zh-CN"/>
        </w:rPr>
        <w:t xml:space="preserve"> are captured in the WF [1]. </w:t>
      </w:r>
      <w:r w:rsidR="00CA2E47">
        <w:rPr>
          <w:rFonts w:eastAsia="宋体"/>
          <w:lang w:eastAsia="zh-CN"/>
        </w:rPr>
        <w:t xml:space="preserve">Most open issues in defining the requirements were closed, and the only remaining open issue is the side condition of the </w:t>
      </w:r>
      <w:r w:rsidR="00CA2E47" w:rsidRPr="00CA2E47">
        <w:rPr>
          <w:rFonts w:eastAsia="宋体"/>
          <w:lang w:eastAsia="zh-CN"/>
        </w:rPr>
        <w:t>upper bound of timing offset</w:t>
      </w:r>
      <w:r w:rsidR="00CA2E47">
        <w:rPr>
          <w:rFonts w:eastAsia="宋体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A2E47" w:rsidTr="00CA2E47">
        <w:tc>
          <w:tcPr>
            <w:tcW w:w="9621" w:type="dxa"/>
          </w:tcPr>
          <w:p w:rsidR="005E7BF2" w:rsidRPr="00CA2E47" w:rsidRDefault="005E7BF2" w:rsidP="00CA2E47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CA2E47">
              <w:rPr>
                <w:rFonts w:eastAsia="宋体"/>
                <w:lang w:eastAsia="zh-CN"/>
              </w:rPr>
              <w:t>Issue 2-1-1: The upper bound of timing offset for case 1</w:t>
            </w:r>
          </w:p>
          <w:p w:rsidR="005E7BF2" w:rsidRPr="00CA2E47" w:rsidRDefault="005E7BF2" w:rsidP="00CA2E47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CA2E47">
              <w:rPr>
                <w:rFonts w:eastAsia="宋体"/>
                <w:lang w:val="en-US" w:eastAsia="zh-CN"/>
              </w:rPr>
              <w:t>For CSI-RSRP and CSI-RSRQ the upper bound of timing offset for case 1 is TBD</w:t>
            </w:r>
          </w:p>
          <w:p w:rsidR="005E7BF2" w:rsidRPr="00CA2E47" w:rsidRDefault="005E7BF2" w:rsidP="00CA2E47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CA2E47">
              <w:rPr>
                <w:rFonts w:eastAsia="宋体"/>
                <w:lang w:val="en-US" w:eastAsia="zh-CN"/>
              </w:rPr>
              <w:t>Option 1: 1 CP</w:t>
            </w:r>
          </w:p>
          <w:p w:rsidR="005E7BF2" w:rsidRPr="00CA2E47" w:rsidRDefault="005E7BF2" w:rsidP="00CA2E47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CA2E47">
              <w:rPr>
                <w:rFonts w:eastAsia="宋体"/>
                <w:lang w:val="en-US" w:eastAsia="zh-CN"/>
              </w:rPr>
              <w:t>Option 2: 0.9 CP</w:t>
            </w:r>
          </w:p>
          <w:p w:rsidR="005E7BF2" w:rsidRPr="00CA2E47" w:rsidRDefault="005E7BF2" w:rsidP="00CA2E47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CA2E47">
              <w:rPr>
                <w:rFonts w:eastAsia="宋体"/>
                <w:lang w:val="en-US" w:eastAsia="zh-CN"/>
              </w:rPr>
              <w:t>Companies are encouraged to bring additional simulation results for different values of timing offset and evaluate both positive and negative timing offsets.</w:t>
            </w:r>
          </w:p>
          <w:p w:rsidR="00CA2E47" w:rsidRPr="00CA2E47" w:rsidRDefault="005E7BF2" w:rsidP="001C3F9C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textAlignment w:val="baseline"/>
              <w:rPr>
                <w:rFonts w:eastAsia="宋体"/>
                <w:lang w:val="en-US" w:eastAsia="zh-CN"/>
              </w:rPr>
            </w:pPr>
            <w:r w:rsidRPr="00CA2E47">
              <w:rPr>
                <w:rFonts w:eastAsia="宋体"/>
                <w:lang w:val="en-US" w:eastAsia="zh-CN"/>
              </w:rPr>
              <w:t>Note: the timing offset value in the test cases can be specified in []</w:t>
            </w:r>
          </w:p>
        </w:tc>
      </w:tr>
    </w:tbl>
    <w:p w:rsidR="007E7A02" w:rsidRPr="0004342E" w:rsidRDefault="00CA2E47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o determine the side condition, an updated simulation assumption was approved [2].</w:t>
      </w:r>
      <w:r>
        <w:rPr>
          <w:rFonts w:eastAsia="宋体" w:hint="eastAsia"/>
          <w:lang w:eastAsia="zh-CN"/>
        </w:rPr>
        <w:t xml:space="preserve"> </w:t>
      </w:r>
      <w:r w:rsidR="00E67543"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</w:t>
      </w:r>
      <w:r>
        <w:rPr>
          <w:rFonts w:eastAsia="宋体"/>
          <w:lang w:eastAsia="zh-CN"/>
        </w:rPr>
        <w:t>additional simulation results and our views on the timing offset condition</w:t>
      </w:r>
      <w:r w:rsidR="00E67543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270BDD" w:rsidRDefault="00CA2E47" w:rsidP="00270BDD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results</w:t>
      </w:r>
    </w:p>
    <w:p w:rsidR="00CA2E47" w:rsidRDefault="00CA2E47" w:rsidP="00CA2E4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in this section are based on assumptions in [2]. The 5%- and 95%-tile of CSI-RSRP error are shown in Table 1~3 for 15kHz, 30kHz and 120kHz, respectively.</w:t>
      </w:r>
    </w:p>
    <w:p w:rsidR="00CA2E47" w:rsidRDefault="00CA2E47" w:rsidP="00CA2E47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1: CSI-RSRP accuracy with 15kHz SCS</w:t>
      </w:r>
    </w:p>
    <w:tbl>
      <w:tblPr>
        <w:tblStyle w:val="af4"/>
        <w:tblW w:w="5000" w:type="pct"/>
        <w:jc w:val="center"/>
        <w:tblLook w:val="04A0" w:firstRow="1" w:lastRow="0" w:firstColumn="1" w:lastColumn="0" w:noHBand="0" w:noVBand="1"/>
      </w:tblPr>
      <w:tblGrid>
        <w:gridCol w:w="1768"/>
        <w:gridCol w:w="1657"/>
        <w:gridCol w:w="1818"/>
        <w:gridCol w:w="1457"/>
        <w:gridCol w:w="1457"/>
        <w:gridCol w:w="1464"/>
      </w:tblGrid>
      <w:tr w:rsidR="0012059F" w:rsidRPr="005E7BF2" w:rsidTr="0012059F">
        <w:trPr>
          <w:trHeight w:val="230"/>
          <w:jc w:val="center"/>
        </w:trPr>
        <w:tc>
          <w:tcPr>
            <w:tcW w:w="919" w:type="pct"/>
            <w:vMerge w:val="restart"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861" w:type="pct"/>
            <w:vMerge w:val="restart"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3220" w:type="pct"/>
            <w:gridSpan w:val="4"/>
            <w:shd w:val="clear" w:color="auto" w:fill="auto"/>
          </w:tcPr>
          <w:p w:rsidR="0012059F" w:rsidRPr="0012059F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lang w:eastAsia="zh-CN"/>
              </w:rPr>
            </w:pPr>
            <w:r w:rsidRPr="0012059F">
              <w:rPr>
                <w:rFonts w:eastAsiaTheme="minorEastAsia" w:hint="eastAsia"/>
                <w:b/>
                <w:lang w:eastAsia="zh-CN"/>
              </w:rPr>
              <w:t>C</w:t>
            </w:r>
            <w:r w:rsidRPr="0012059F">
              <w:rPr>
                <w:rFonts w:eastAsiaTheme="minorEastAsia"/>
                <w:b/>
                <w:lang w:eastAsia="zh-CN"/>
              </w:rPr>
              <w:t>hannel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Merge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702" w:type="pct"/>
            <w:gridSpan w:val="2"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A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WGN</w:t>
            </w:r>
          </w:p>
        </w:tc>
        <w:tc>
          <w:tcPr>
            <w:tcW w:w="1518" w:type="pct"/>
            <w:gridSpan w:val="2"/>
            <w:vAlign w:val="center"/>
          </w:tcPr>
          <w:p w:rsidR="0012059F" w:rsidRPr="005E7BF2" w:rsidRDefault="0012059F" w:rsidP="00DE0C48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E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TU</w:t>
            </w:r>
            <w:r>
              <w:rPr>
                <w:rFonts w:eastAsiaTheme="minorEastAsia"/>
                <w:b/>
                <w:sz w:val="20"/>
                <w:lang w:eastAsia="zh-CN"/>
              </w:rPr>
              <w:t>70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Merge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945" w:type="pct"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757" w:type="pct"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757" w:type="pct"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760" w:type="pct"/>
            <w:vAlign w:val="center"/>
          </w:tcPr>
          <w:p w:rsidR="0012059F" w:rsidRPr="005E7BF2" w:rsidRDefault="0012059F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861" w:type="pct"/>
            <w:vMerge w:val="restar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-0.89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-2.15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1.56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-1.02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1.45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1.55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-0.85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1.6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1.58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1.8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1.74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1.86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-2.13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1.71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-CP</w:t>
            </w: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-0.92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1.56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1.59</w:t>
            </w:r>
          </w:p>
        </w:tc>
      </w:tr>
      <w:tr w:rsidR="0012059F" w:rsidRPr="005E7BF2" w:rsidTr="0012059F">
        <w:trPr>
          <w:jc w:val="center"/>
        </w:trPr>
        <w:tc>
          <w:tcPr>
            <w:tcW w:w="919" w:type="pct"/>
            <w:vAlign w:val="center"/>
          </w:tcPr>
          <w:p w:rsidR="0012059F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C</w:t>
            </w:r>
            <w:r>
              <w:rPr>
                <w:rFonts w:eastAsiaTheme="minorEastAsia"/>
                <w:b/>
                <w:sz w:val="20"/>
                <w:lang w:eastAsia="zh-CN"/>
              </w:rPr>
              <w:t>P</w:t>
            </w:r>
          </w:p>
        </w:tc>
        <w:tc>
          <w:tcPr>
            <w:tcW w:w="861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-0.94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1.89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-2.01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1.9</w:t>
            </w:r>
          </w:p>
        </w:tc>
      </w:tr>
    </w:tbl>
    <w:p w:rsidR="00A60F0D" w:rsidRDefault="00A60F0D" w:rsidP="00A60F0D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Table 2: CSI-RSRP accuracy with 30kHz SCS</w:t>
      </w:r>
    </w:p>
    <w:tbl>
      <w:tblPr>
        <w:tblStyle w:val="af4"/>
        <w:tblW w:w="5000" w:type="pct"/>
        <w:jc w:val="center"/>
        <w:tblLook w:val="04A0" w:firstRow="1" w:lastRow="0" w:firstColumn="1" w:lastColumn="0" w:noHBand="0" w:noVBand="1"/>
      </w:tblPr>
      <w:tblGrid>
        <w:gridCol w:w="2845"/>
        <w:gridCol w:w="1306"/>
        <w:gridCol w:w="1430"/>
        <w:gridCol w:w="1305"/>
        <w:gridCol w:w="1430"/>
        <w:gridCol w:w="1305"/>
      </w:tblGrid>
      <w:tr w:rsidR="005E7BF2" w:rsidRPr="005E7BF2" w:rsidTr="0012059F">
        <w:trPr>
          <w:jc w:val="center"/>
        </w:trPr>
        <w:tc>
          <w:tcPr>
            <w:tcW w:w="1479" w:type="pct"/>
            <w:vMerge w:val="restart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679" w:type="pct"/>
            <w:vMerge w:val="restart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2842" w:type="pct"/>
            <w:gridSpan w:val="4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5E7BF2" w:rsidRPr="005E7BF2" w:rsidTr="0012059F">
        <w:trPr>
          <w:jc w:val="center"/>
        </w:trPr>
        <w:tc>
          <w:tcPr>
            <w:tcW w:w="1479" w:type="pct"/>
            <w:vMerge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679" w:type="pct"/>
            <w:vMerge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421" w:type="pct"/>
            <w:gridSpan w:val="2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A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WGN</w:t>
            </w:r>
          </w:p>
        </w:tc>
        <w:tc>
          <w:tcPr>
            <w:tcW w:w="1421" w:type="pct"/>
            <w:gridSpan w:val="2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E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PA5</w:t>
            </w:r>
          </w:p>
        </w:tc>
      </w:tr>
      <w:tr w:rsidR="005E7BF2" w:rsidRPr="005E7BF2" w:rsidTr="0012059F">
        <w:trPr>
          <w:jc w:val="center"/>
        </w:trPr>
        <w:tc>
          <w:tcPr>
            <w:tcW w:w="1479" w:type="pct"/>
            <w:vMerge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679" w:type="pct"/>
            <w:vMerge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43" w:type="pct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678" w:type="pct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743" w:type="pct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678" w:type="pct"/>
            <w:vAlign w:val="center"/>
          </w:tcPr>
          <w:p w:rsidR="005E7BF2" w:rsidRPr="005E7BF2" w:rsidRDefault="005E7BF2" w:rsidP="005E7BF2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12059F" w:rsidRPr="005E7BF2" w:rsidTr="0012059F">
        <w:trPr>
          <w:jc w:val="center"/>
        </w:trPr>
        <w:tc>
          <w:tcPr>
            <w:tcW w:w="147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679" w:type="pct"/>
            <w:vMerge w:val="restar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-1.02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1.49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-1.33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2.39</w:t>
            </w:r>
          </w:p>
        </w:tc>
      </w:tr>
      <w:tr w:rsidR="0012059F" w:rsidRPr="005E7BF2" w:rsidTr="0012059F">
        <w:trPr>
          <w:jc w:val="center"/>
        </w:trPr>
        <w:tc>
          <w:tcPr>
            <w:tcW w:w="147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679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-1.08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1.44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2.39</w:t>
            </w:r>
          </w:p>
        </w:tc>
      </w:tr>
      <w:tr w:rsidR="0012059F" w:rsidRPr="005E7BF2" w:rsidTr="0012059F">
        <w:trPr>
          <w:jc w:val="center"/>
        </w:trPr>
        <w:tc>
          <w:tcPr>
            <w:tcW w:w="147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679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-1.01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1.56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-1.32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2.38</w:t>
            </w:r>
          </w:p>
        </w:tc>
      </w:tr>
      <w:tr w:rsidR="0012059F" w:rsidRPr="005E7BF2" w:rsidTr="0012059F">
        <w:trPr>
          <w:jc w:val="center"/>
        </w:trPr>
        <w:tc>
          <w:tcPr>
            <w:tcW w:w="147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679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-0.58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1.78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-1.19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2.36</w:t>
            </w:r>
          </w:p>
        </w:tc>
      </w:tr>
      <w:tr w:rsidR="0012059F" w:rsidRPr="005E7BF2" w:rsidTr="0012059F">
        <w:trPr>
          <w:jc w:val="center"/>
        </w:trPr>
        <w:tc>
          <w:tcPr>
            <w:tcW w:w="147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679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-0.67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1.84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-1.15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2.59</w:t>
            </w:r>
          </w:p>
        </w:tc>
      </w:tr>
      <w:tr w:rsidR="0012059F" w:rsidRPr="005E7BF2" w:rsidTr="0012059F">
        <w:trPr>
          <w:jc w:val="center"/>
        </w:trPr>
        <w:tc>
          <w:tcPr>
            <w:tcW w:w="1479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-CP</w:t>
            </w:r>
          </w:p>
        </w:tc>
        <w:tc>
          <w:tcPr>
            <w:tcW w:w="679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-0.96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1.56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-1.38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2.44</w:t>
            </w:r>
          </w:p>
        </w:tc>
      </w:tr>
      <w:tr w:rsidR="0012059F" w:rsidRPr="005E7BF2" w:rsidTr="0012059F">
        <w:trPr>
          <w:jc w:val="center"/>
        </w:trPr>
        <w:tc>
          <w:tcPr>
            <w:tcW w:w="1479" w:type="pct"/>
            <w:vAlign w:val="center"/>
          </w:tcPr>
          <w:p w:rsidR="0012059F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C</w:t>
            </w:r>
            <w:r>
              <w:rPr>
                <w:rFonts w:eastAsiaTheme="minorEastAsia"/>
                <w:b/>
                <w:sz w:val="20"/>
                <w:lang w:eastAsia="zh-CN"/>
              </w:rPr>
              <w:t>P</w:t>
            </w:r>
          </w:p>
        </w:tc>
        <w:tc>
          <w:tcPr>
            <w:tcW w:w="679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-0.97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1.88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-1.38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2.9</w:t>
            </w:r>
          </w:p>
        </w:tc>
      </w:tr>
    </w:tbl>
    <w:p w:rsidR="00BE0186" w:rsidRDefault="00BE0186" w:rsidP="00BE0186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3: CSI-RSRP accuracy with 120kHz SCS</w:t>
      </w:r>
    </w:p>
    <w:tbl>
      <w:tblPr>
        <w:tblStyle w:val="af4"/>
        <w:tblW w:w="5000" w:type="pct"/>
        <w:jc w:val="center"/>
        <w:tblLook w:val="04A0" w:firstRow="1" w:lastRow="0" w:firstColumn="1" w:lastColumn="0" w:noHBand="0" w:noVBand="1"/>
      </w:tblPr>
      <w:tblGrid>
        <w:gridCol w:w="1841"/>
        <w:gridCol w:w="1722"/>
        <w:gridCol w:w="1514"/>
        <w:gridCol w:w="1516"/>
        <w:gridCol w:w="1514"/>
        <w:gridCol w:w="1514"/>
      </w:tblGrid>
      <w:tr w:rsidR="0012059F" w:rsidRPr="005E7BF2" w:rsidTr="0012059F">
        <w:trPr>
          <w:trHeight w:val="230"/>
          <w:jc w:val="center"/>
        </w:trPr>
        <w:tc>
          <w:tcPr>
            <w:tcW w:w="956" w:type="pct"/>
            <w:vMerge w:val="restart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T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iming error</w:t>
            </w:r>
          </w:p>
        </w:tc>
        <w:tc>
          <w:tcPr>
            <w:tcW w:w="895" w:type="pct"/>
            <w:vMerge w:val="restart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S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NR</w:t>
            </w:r>
          </w:p>
        </w:tc>
        <w:tc>
          <w:tcPr>
            <w:tcW w:w="3149" w:type="pct"/>
            <w:gridSpan w:val="4"/>
            <w:shd w:val="clear" w:color="auto" w:fill="auto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</w:pPr>
            <w:r w:rsidRPr="005E7BF2">
              <w:rPr>
                <w:rFonts w:eastAsiaTheme="minorEastAsia"/>
                <w:b/>
                <w:sz w:val="20"/>
                <w:lang w:eastAsia="zh-CN"/>
              </w:rPr>
              <w:t>Channel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Merge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1575" w:type="pct"/>
            <w:gridSpan w:val="2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TDL-A30-3</w:t>
            </w:r>
          </w:p>
        </w:tc>
        <w:tc>
          <w:tcPr>
            <w:tcW w:w="1575" w:type="pct"/>
            <w:gridSpan w:val="2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TDL-C-30-30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Merge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87" w:type="pct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787" w:type="pct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  <w:tc>
          <w:tcPr>
            <w:tcW w:w="787" w:type="pct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5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%</w:t>
            </w:r>
          </w:p>
        </w:tc>
        <w:tc>
          <w:tcPr>
            <w:tcW w:w="787" w:type="pct"/>
            <w:vAlign w:val="center"/>
          </w:tcPr>
          <w:p w:rsidR="0012059F" w:rsidRPr="005E7BF2" w:rsidRDefault="0012059F" w:rsidP="0092492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 w:rsidRPr="005E7BF2">
              <w:rPr>
                <w:rFonts w:eastAsiaTheme="minorEastAsia" w:hint="eastAsia"/>
                <w:b/>
                <w:sz w:val="20"/>
                <w:lang w:eastAsia="zh-CN"/>
              </w:rPr>
              <w:t>9</w:t>
            </w:r>
            <w:r w:rsidRPr="005E7BF2">
              <w:rPr>
                <w:rFonts w:eastAsiaTheme="minorEastAsia"/>
                <w:b/>
                <w:sz w:val="20"/>
                <w:lang w:eastAsia="zh-CN"/>
              </w:rPr>
              <w:t>5%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0</w:t>
            </w:r>
          </w:p>
        </w:tc>
        <w:tc>
          <w:tcPr>
            <w:tcW w:w="895" w:type="pct"/>
            <w:vMerge w:val="restar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Lines="0" w:before="0" w:afterLines="0" w:after="0"/>
              <w:jc w:val="center"/>
              <w:rPr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Cs w:val="22"/>
              </w:rPr>
              <w:t>-1.75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2.28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2.1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-1.72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2.37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-1.51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2.11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0.5*CP</w:t>
            </w: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-1.75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2.38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-1.54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2.08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-</w:t>
            </w: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-1.51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2.47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2.2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0.9*CP</w:t>
            </w: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-1.67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2.47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2.17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/>
                <w:b/>
                <w:sz w:val="20"/>
                <w:lang w:eastAsia="zh-CN"/>
              </w:rPr>
              <w:t>-CP</w:t>
            </w: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-1.97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2.14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2.1</w:t>
            </w:r>
          </w:p>
        </w:tc>
      </w:tr>
      <w:tr w:rsidR="0012059F" w:rsidRPr="005E7BF2" w:rsidTr="0012059F">
        <w:trPr>
          <w:jc w:val="center"/>
        </w:trPr>
        <w:tc>
          <w:tcPr>
            <w:tcW w:w="956" w:type="pct"/>
            <w:vAlign w:val="center"/>
          </w:tcPr>
          <w:p w:rsidR="0012059F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  <w:r>
              <w:rPr>
                <w:rFonts w:eastAsiaTheme="minorEastAsia" w:hint="eastAsia"/>
                <w:b/>
                <w:sz w:val="20"/>
                <w:lang w:eastAsia="zh-CN"/>
              </w:rPr>
              <w:t>C</w:t>
            </w:r>
            <w:r>
              <w:rPr>
                <w:rFonts w:eastAsiaTheme="minorEastAsia"/>
                <w:b/>
                <w:sz w:val="20"/>
                <w:lang w:eastAsia="zh-CN"/>
              </w:rPr>
              <w:t>P</w:t>
            </w:r>
          </w:p>
        </w:tc>
        <w:tc>
          <w:tcPr>
            <w:tcW w:w="895" w:type="pct"/>
            <w:vMerge/>
            <w:vAlign w:val="center"/>
          </w:tcPr>
          <w:p w:rsidR="0012059F" w:rsidRPr="005E7BF2" w:rsidRDefault="0012059F" w:rsidP="0012059F">
            <w:pPr>
              <w:spacing w:beforeLines="0" w:before="0" w:afterLines="0" w:after="0"/>
              <w:jc w:val="center"/>
              <w:rPr>
                <w:rFonts w:eastAsiaTheme="minorEastAsia"/>
                <w:b/>
                <w:sz w:val="20"/>
                <w:lang w:eastAsia="zh-CN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-1.75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2.77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-1.43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59F" w:rsidRDefault="0012059F" w:rsidP="0012059F">
            <w:pPr>
              <w:spacing w:before="120" w:after="120"/>
              <w:jc w:val="center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2.58</w:t>
            </w:r>
          </w:p>
        </w:tc>
      </w:tr>
    </w:tbl>
    <w:p w:rsidR="00BE0186" w:rsidRDefault="00BE0186" w:rsidP="00BE0186">
      <w:pPr>
        <w:pStyle w:val="2"/>
        <w:rPr>
          <w:lang w:eastAsia="zh-CN"/>
        </w:rPr>
      </w:pPr>
      <w:r>
        <w:rPr>
          <w:lang w:eastAsia="zh-CN"/>
        </w:rPr>
        <w:t>Timing offset side condition</w:t>
      </w:r>
    </w:p>
    <w:p w:rsidR="00CA2E47" w:rsidRDefault="00BE0186" w:rsidP="00CA2E4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simulation results in section 2.1, it can be seen that </w:t>
      </w:r>
      <w:r w:rsidR="00827E19">
        <w:rPr>
          <w:rFonts w:eastAsiaTheme="minorEastAsia"/>
          <w:lang w:eastAsia="zh-CN"/>
        </w:rPr>
        <w:t xml:space="preserve">the CSI-RSRP accuracy requirements, which was agreed to be same as existing SS-RSRP accuracy, can be met with timing offset at CP and -CP. </w:t>
      </w:r>
      <w:r w:rsidR="0022566B">
        <w:rPr>
          <w:rFonts w:eastAsiaTheme="minorEastAsia"/>
          <w:lang w:eastAsia="zh-CN"/>
        </w:rPr>
        <w:t xml:space="preserve">Also, there is not much difference between 0.9*CP and 1*CP. </w:t>
      </w:r>
      <w:r w:rsidR="00827E19">
        <w:rPr>
          <w:rFonts w:eastAsiaTheme="minorEastAsia"/>
          <w:lang w:eastAsia="zh-CN"/>
        </w:rPr>
        <w:t xml:space="preserve">Therefore, we suggest to define the </w:t>
      </w:r>
      <w:r w:rsidR="00827E19" w:rsidRPr="00827E19">
        <w:rPr>
          <w:rFonts w:eastAsiaTheme="minorEastAsia"/>
          <w:lang w:eastAsia="zh-CN"/>
        </w:rPr>
        <w:t>upper bound of timing offset</w:t>
      </w:r>
      <w:r w:rsidR="00827E19">
        <w:rPr>
          <w:rFonts w:eastAsiaTheme="minorEastAsia"/>
          <w:lang w:eastAsia="zh-CN"/>
        </w:rPr>
        <w:t xml:space="preserve"> as 1*CP. </w:t>
      </w:r>
    </w:p>
    <w:p w:rsidR="00827E19" w:rsidRPr="00827E19" w:rsidRDefault="00827E19" w:rsidP="00CA2E47">
      <w:pPr>
        <w:spacing w:before="120" w:after="120"/>
        <w:rPr>
          <w:rFonts w:eastAsiaTheme="minorEastAsia"/>
          <w:b/>
          <w:lang w:eastAsia="zh-CN"/>
        </w:rPr>
      </w:pPr>
      <w:r w:rsidRPr="00827E19">
        <w:rPr>
          <w:rFonts w:eastAsiaTheme="minorEastAsia"/>
          <w:b/>
          <w:lang w:eastAsia="zh-CN"/>
        </w:rPr>
        <w:t xml:space="preserve">Proposal: </w:t>
      </w:r>
      <w:r w:rsidRPr="00827E19">
        <w:rPr>
          <w:rFonts w:eastAsia="宋体"/>
          <w:b/>
          <w:lang w:val="en-US" w:eastAsia="zh-CN"/>
        </w:rPr>
        <w:t>For CSI-RSRP and CSI-RSRQ the upper bound of timing offset for case 1 is 1*CP.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827E19">
        <w:rPr>
          <w:rFonts w:eastAsia="宋体"/>
          <w:lang w:eastAsia="zh-CN"/>
        </w:rPr>
        <w:t>we will provide additional simulation results and our views on the timing offset condition for CSI-RSRP and CSI-RSRQ.</w:t>
      </w:r>
    </w:p>
    <w:p w:rsidR="00827E19" w:rsidRPr="00827E19" w:rsidRDefault="00827E19" w:rsidP="00827E19">
      <w:pPr>
        <w:spacing w:before="120" w:after="120"/>
        <w:rPr>
          <w:rFonts w:eastAsiaTheme="minorEastAsia"/>
          <w:b/>
          <w:lang w:eastAsia="zh-CN"/>
        </w:rPr>
      </w:pPr>
      <w:r w:rsidRPr="00827E19">
        <w:rPr>
          <w:rFonts w:eastAsiaTheme="minorEastAsia"/>
          <w:b/>
          <w:lang w:eastAsia="zh-CN"/>
        </w:rPr>
        <w:t xml:space="preserve">Proposal: </w:t>
      </w:r>
      <w:r w:rsidRPr="00827E19">
        <w:rPr>
          <w:rFonts w:eastAsia="宋体"/>
          <w:b/>
          <w:lang w:val="en-US" w:eastAsia="zh-CN"/>
        </w:rPr>
        <w:t>For CSI-RSRP and CSI-RSRQ the upper bound of timing offset for case 1 is 1*CP.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980473" w:rsidRDefault="00A37BA2" w:rsidP="00F00087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R4-210</w:t>
      </w:r>
      <w:r w:rsidR="00F00087">
        <w:rPr>
          <w:rFonts w:eastAsia="宋体"/>
          <w:lang w:eastAsia="zh-CN"/>
        </w:rPr>
        <w:t>4089</w:t>
      </w:r>
      <w:r w:rsidR="00D57591">
        <w:rPr>
          <w:rFonts w:eastAsia="宋体"/>
          <w:lang w:eastAsia="zh-CN"/>
        </w:rPr>
        <w:t xml:space="preserve">, </w:t>
      </w:r>
      <w:r w:rsidR="00F00087" w:rsidRPr="00F00087">
        <w:rPr>
          <w:rFonts w:eastAsia="宋体"/>
          <w:lang w:eastAsia="zh-CN"/>
        </w:rPr>
        <w:t>WF on performance requirements of CSI-RS based L3 measurement</w:t>
      </w:r>
      <w:r w:rsidR="007E7A02">
        <w:rPr>
          <w:rFonts w:eastAsia="宋体"/>
          <w:lang w:eastAsia="zh-CN"/>
        </w:rPr>
        <w:t xml:space="preserve">, </w:t>
      </w:r>
      <w:r w:rsidR="00F00087">
        <w:rPr>
          <w:rFonts w:eastAsia="宋体"/>
          <w:lang w:eastAsia="zh-CN"/>
        </w:rPr>
        <w:t>CATT/OPPO</w:t>
      </w:r>
    </w:p>
    <w:p w:rsidR="00CA2E47" w:rsidRPr="00A37BA2" w:rsidRDefault="00CA2E47" w:rsidP="00CA2E47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CA2E47">
        <w:rPr>
          <w:rFonts w:eastAsia="宋体"/>
          <w:lang w:eastAsia="zh-CN"/>
        </w:rPr>
        <w:t>R4-2103725</w:t>
      </w:r>
      <w:r>
        <w:rPr>
          <w:rFonts w:eastAsia="宋体"/>
          <w:lang w:eastAsia="zh-CN"/>
        </w:rPr>
        <w:t xml:space="preserve">, </w:t>
      </w:r>
      <w:r w:rsidRPr="00CA2E47">
        <w:rPr>
          <w:rFonts w:eastAsia="宋体"/>
          <w:lang w:eastAsia="zh-CN"/>
        </w:rPr>
        <w:t>Updated link-level simulation assumption for CSI-RS based L3 measurement</w:t>
      </w:r>
      <w:r>
        <w:rPr>
          <w:rFonts w:eastAsia="宋体"/>
          <w:lang w:eastAsia="zh-CN"/>
        </w:rPr>
        <w:t>, CATT</w:t>
      </w:r>
    </w:p>
    <w:sectPr w:rsidR="00CA2E47" w:rsidRPr="00A37BA2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ED1" w:rsidRDefault="00324ED1">
      <w:pPr>
        <w:spacing w:before="120" w:after="120"/>
      </w:pPr>
      <w:r>
        <w:separator/>
      </w:r>
    </w:p>
  </w:endnote>
  <w:endnote w:type="continuationSeparator" w:id="0">
    <w:p w:rsidR="00324ED1" w:rsidRDefault="00324ED1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BF2" w:rsidRDefault="005E7BF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E7BF2" w:rsidRDefault="005E7BF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BF2" w:rsidRDefault="005E7BF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31D41">
      <w:rPr>
        <w:rStyle w:val="af1"/>
      </w:rPr>
      <w:t>3</w:t>
    </w:r>
    <w:r>
      <w:rPr>
        <w:rStyle w:val="af1"/>
      </w:rPr>
      <w:fldChar w:fldCharType="end"/>
    </w:r>
  </w:p>
  <w:p w:rsidR="005E7BF2" w:rsidRDefault="005E7BF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ED1" w:rsidRDefault="00324ED1">
      <w:pPr>
        <w:spacing w:before="120" w:after="120"/>
      </w:pPr>
      <w:r>
        <w:separator/>
      </w:r>
    </w:p>
  </w:footnote>
  <w:footnote w:type="continuationSeparator" w:id="0">
    <w:p w:rsidR="00324ED1" w:rsidRDefault="00324ED1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6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156746"/>
    <w:multiLevelType w:val="hybridMultilevel"/>
    <w:tmpl w:val="54B61AA6"/>
    <w:lvl w:ilvl="0" w:tplc="9E7CA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EE4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A47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CD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22A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801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60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806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8F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0"/>
  </w:num>
  <w:num w:numId="2">
    <w:abstractNumId w:val="21"/>
  </w:num>
  <w:num w:numId="3">
    <w:abstractNumId w:val="23"/>
  </w:num>
  <w:num w:numId="4">
    <w:abstractNumId w:val="6"/>
  </w:num>
  <w:num w:numId="5">
    <w:abstractNumId w:val="9"/>
  </w:num>
  <w:num w:numId="6">
    <w:abstractNumId w:val="20"/>
  </w:num>
  <w:num w:numId="7">
    <w:abstractNumId w:val="15"/>
  </w:num>
  <w:num w:numId="8">
    <w:abstractNumId w:val="24"/>
    <w:lvlOverride w:ilvl="0">
      <w:startOverride w:val="1"/>
    </w:lvlOverride>
  </w:num>
  <w:num w:numId="9">
    <w:abstractNumId w:val="19"/>
  </w:num>
  <w:num w:numId="10">
    <w:abstractNumId w:val="11"/>
  </w:num>
  <w:num w:numId="11">
    <w:abstractNumId w:val="16"/>
  </w:num>
  <w:num w:numId="12">
    <w:abstractNumId w:val="4"/>
  </w:num>
  <w:num w:numId="13">
    <w:abstractNumId w:val="17"/>
  </w:num>
  <w:num w:numId="14">
    <w:abstractNumId w:val="0"/>
  </w:num>
  <w:num w:numId="15">
    <w:abstractNumId w:val="1"/>
  </w:num>
  <w:num w:numId="16">
    <w:abstractNumId w:val="3"/>
  </w:num>
  <w:num w:numId="17">
    <w:abstractNumId w:val="14"/>
  </w:num>
  <w:num w:numId="18">
    <w:abstractNumId w:val="22"/>
  </w:num>
  <w:num w:numId="19">
    <w:abstractNumId w:val="5"/>
  </w:num>
  <w:num w:numId="20">
    <w:abstractNumId w:val="12"/>
  </w:num>
  <w:num w:numId="21">
    <w:abstractNumId w:val="8"/>
  </w:num>
  <w:num w:numId="22">
    <w:abstractNumId w:val="13"/>
  </w:num>
  <w:num w:numId="23">
    <w:abstractNumId w:val="2"/>
  </w:num>
  <w:num w:numId="24">
    <w:abstractNumId w:val="7"/>
  </w:num>
  <w:num w:numId="25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1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2ED3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A7E96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59F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6FF9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C69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6B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ED1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BF2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E19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4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0F0D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186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47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63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843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C48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087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97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5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144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73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40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7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EF54C4-BF77-4802-A583-1BA18E38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16822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41</cp:revision>
  <cp:lastPrinted>2009-04-22T06:01:00Z</cp:lastPrinted>
  <dcterms:created xsi:type="dcterms:W3CDTF">2020-07-07T06:33:00Z</dcterms:created>
  <dcterms:modified xsi:type="dcterms:W3CDTF">2021-04-02T15:20:00Z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1615789053</vt:lpwstr>
  </property>
</Properties>
</file>