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3876DB">
        <w:rPr>
          <w:rFonts w:ascii="Arial" w:hAnsi="Arial" w:cs="Arial"/>
          <w:b/>
          <w:sz w:val="24"/>
          <w:lang w:val="en-US" w:eastAsia="zh-CN"/>
        </w:rPr>
        <w:t>8</w:t>
      </w:r>
      <w:r w:rsidR="008E4702">
        <w:rPr>
          <w:rFonts w:ascii="Arial" w:hAnsi="Arial" w:cs="Arial"/>
          <w:b/>
          <w:sz w:val="24"/>
          <w:lang w:val="en-US" w:eastAsia="zh-CN"/>
        </w:rPr>
        <w:t>-</w:t>
      </w:r>
      <w:r w:rsidR="000C1FBC">
        <w:rPr>
          <w:rFonts w:ascii="Arial" w:hAnsi="Arial" w:cs="Arial"/>
          <w:b/>
          <w:sz w:val="24"/>
          <w:lang w:val="en-US" w:eastAsia="zh-CN"/>
        </w:rPr>
        <w:t>bis-</w:t>
      </w:r>
      <w:r w:rsidR="008E4702">
        <w:rPr>
          <w:rFonts w:ascii="Arial" w:hAnsi="Arial" w:cs="Arial"/>
          <w:b/>
          <w:sz w:val="24"/>
          <w:lang w:val="en-US" w:eastAsia="zh-CN"/>
        </w:rPr>
        <w:t>e</w:t>
      </w:r>
      <w:r w:rsidRPr="005E5BB3">
        <w:rPr>
          <w:rFonts w:ascii="Arial" w:hAnsi="Arial" w:cs="Arial"/>
          <w:b/>
          <w:i/>
          <w:sz w:val="24"/>
          <w:lang w:eastAsia="zh-CN"/>
        </w:rPr>
        <w:tab/>
      </w:r>
      <w:r w:rsidR="00355413" w:rsidRPr="00355413">
        <w:rPr>
          <w:rFonts w:ascii="Arial" w:hAnsi="Arial" w:cs="Arial"/>
          <w:b/>
          <w:sz w:val="24"/>
          <w:lang w:val="en-US" w:eastAsia="zh-CN"/>
        </w:rPr>
        <w:t>R4-2107001</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0C1FBC">
        <w:rPr>
          <w:rFonts w:cs="Arial"/>
          <w:noProof w:val="0"/>
          <w:sz w:val="24"/>
          <w:lang w:val="en-GB"/>
        </w:rPr>
        <w:t>12 – 20</w:t>
      </w:r>
      <w:r w:rsidR="003876DB">
        <w:rPr>
          <w:rFonts w:cs="Arial"/>
          <w:noProof w:val="0"/>
          <w:sz w:val="24"/>
          <w:lang w:val="en-GB"/>
        </w:rPr>
        <w:t xml:space="preserve"> </w:t>
      </w:r>
      <w:r w:rsidR="000C1FBC">
        <w:rPr>
          <w:rFonts w:cs="Arial"/>
          <w:noProof w:val="0"/>
          <w:sz w:val="24"/>
          <w:lang w:val="en-GB"/>
        </w:rPr>
        <w:t>April</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F315B" w:rsidRPr="007F315B">
        <w:rPr>
          <w:rFonts w:ascii="Arial" w:eastAsia="宋体" w:hAnsi="Arial"/>
          <w:b/>
          <w:sz w:val="24"/>
          <w:lang w:val="en-US" w:eastAsia="zh-CN"/>
        </w:rPr>
        <w:t xml:space="preserve">Discussion on remaining issues for </w:t>
      </w:r>
      <w:r w:rsidR="000B52C4">
        <w:rPr>
          <w:rFonts w:ascii="Arial" w:eastAsia="宋体" w:hAnsi="Arial"/>
          <w:b/>
          <w:sz w:val="24"/>
          <w:lang w:val="en-US" w:eastAsia="zh-CN"/>
        </w:rPr>
        <w:t>UE Rx-Tx time difference</w:t>
      </w:r>
      <w:r w:rsidR="007F315B" w:rsidRPr="007F315B">
        <w:rPr>
          <w:rFonts w:ascii="Arial" w:eastAsia="宋体" w:hAnsi="Arial"/>
          <w:b/>
          <w:sz w:val="24"/>
          <w:lang w:val="en-US" w:eastAsia="zh-CN"/>
        </w:rPr>
        <w:t xml:space="preserve"> measurement requirements</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F315B">
        <w:rPr>
          <w:rFonts w:ascii="Arial" w:hAnsi="Arial"/>
          <w:b/>
          <w:sz w:val="24"/>
          <w:lang w:val="en-US"/>
        </w:rPr>
        <w:t>5.5.1.</w:t>
      </w:r>
      <w:r w:rsidR="000B52C4">
        <w:rPr>
          <w:rFonts w:ascii="Arial" w:hAnsi="Arial"/>
          <w:b/>
          <w:sz w:val="24"/>
          <w:lang w:val="en-US"/>
        </w:rPr>
        <w:t>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369BE" w:rsidRDefault="00963A5F"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8B3D10">
        <w:rPr>
          <w:rFonts w:eastAsia="宋体"/>
          <w:lang w:eastAsia="zh-CN"/>
        </w:rPr>
        <w:t xml:space="preserve">requirements for </w:t>
      </w:r>
      <w:r w:rsidR="000B52C4" w:rsidRPr="000B52C4">
        <w:rPr>
          <w:rFonts w:eastAsia="宋体"/>
          <w:lang w:eastAsia="zh-CN"/>
        </w:rPr>
        <w:t xml:space="preserve">UE Rx-Tx </w:t>
      </w:r>
      <w:r w:rsidR="008B3D10">
        <w:rPr>
          <w:rFonts w:eastAsia="宋体"/>
          <w:lang w:eastAsia="zh-CN"/>
        </w:rPr>
        <w:t>measurements have been discussed in RAN4#98-e</w:t>
      </w:r>
      <w:r>
        <w:rPr>
          <w:rFonts w:eastAsia="宋体"/>
          <w:lang w:eastAsia="zh-CN"/>
        </w:rPr>
        <w:t>, and the conclusions are captured in the WF [1]. Based on our understanding, there are still some remaining open issues</w:t>
      </w:r>
      <w:r w:rsidR="00F369BE">
        <w:rPr>
          <w:rFonts w:eastAsia="宋体" w:hint="eastAsia"/>
          <w:lang w:eastAsia="zh-CN"/>
        </w:rPr>
        <w:t>:</w:t>
      </w:r>
    </w:p>
    <w:p w:rsidR="00963A5F" w:rsidRPr="000B52C4" w:rsidRDefault="008B3D10" w:rsidP="00963A5F">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Whether </w:t>
      </w:r>
      <w:r w:rsidR="000B52C4">
        <w:rPr>
          <w:rFonts w:eastAsia="宋体"/>
          <w:lang w:eastAsia="zh-CN"/>
        </w:rPr>
        <w:t>to account for SRS periodicity and SRS dropping</w:t>
      </w:r>
      <w:r w:rsidR="00963A5F" w:rsidRPr="00963A5F">
        <w:rPr>
          <w:rFonts w:eastAsia="宋体"/>
          <w:lang w:val="en-GB" w:eastAsia="zh-CN"/>
        </w:rPr>
        <w:t xml:space="preserve"> </w:t>
      </w:r>
      <w:r>
        <w:rPr>
          <w:rFonts w:eastAsia="宋体"/>
          <w:lang w:val="en-GB" w:eastAsia="zh-CN"/>
        </w:rPr>
        <w:t>in measurement period</w:t>
      </w:r>
    </w:p>
    <w:p w:rsidR="000B52C4" w:rsidRDefault="000B52C4" w:rsidP="00963A5F">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P</w:t>
      </w:r>
      <w:r>
        <w:rPr>
          <w:rFonts w:eastAsia="宋体"/>
          <w:lang w:eastAsia="zh-CN"/>
        </w:rPr>
        <w:t>RS/SRS proximity</w:t>
      </w:r>
    </w:p>
    <w:p w:rsidR="000B52C4" w:rsidRDefault="000B52C4" w:rsidP="00963A5F">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period with TA change</w:t>
      </w:r>
    </w:p>
    <w:p w:rsidR="000B52C4" w:rsidRPr="00963A5F" w:rsidRDefault="000B52C4" w:rsidP="00963A5F">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period with cell change</w:t>
      </w:r>
    </w:p>
    <w:p w:rsidR="007E7A02" w:rsidRPr="0004342E" w:rsidRDefault="00E67543"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w:t>
      </w:r>
      <w:r w:rsidR="004D0093">
        <w:rPr>
          <w:rFonts w:eastAsia="宋体"/>
          <w:lang w:eastAsia="zh-CN"/>
        </w:rPr>
        <w:t>provide our views on the</w:t>
      </w:r>
      <w:r w:rsidR="00270BDD">
        <w:rPr>
          <w:rFonts w:eastAsia="宋体"/>
          <w:lang w:eastAsia="zh-CN"/>
        </w:rPr>
        <w:t xml:space="preserve"> </w:t>
      </w:r>
      <w:r w:rsidR="00963A5F">
        <w:rPr>
          <w:rFonts w:eastAsia="宋体"/>
          <w:lang w:eastAsia="zh-CN"/>
        </w:rPr>
        <w:t>remaining</w:t>
      </w:r>
      <w:r w:rsidR="00270BDD">
        <w:rPr>
          <w:rFonts w:eastAsia="宋体"/>
          <w:lang w:eastAsia="zh-CN"/>
        </w:rPr>
        <w:t xml:space="preserve"> open issues </w:t>
      </w:r>
      <w:r w:rsidR="0047047C">
        <w:rPr>
          <w:rFonts w:eastAsia="宋体"/>
          <w:lang w:eastAsia="zh-CN"/>
        </w:rPr>
        <w:t xml:space="preserve">on </w:t>
      </w:r>
      <w:r w:rsidR="000B52C4">
        <w:rPr>
          <w:rFonts w:eastAsia="宋体"/>
          <w:lang w:eastAsia="zh-CN"/>
        </w:rPr>
        <w:t>UE Rx-Tx</w:t>
      </w:r>
      <w:r w:rsidR="0047047C">
        <w:rPr>
          <w:rFonts w:eastAsia="宋体"/>
          <w:lang w:eastAsia="zh-CN"/>
        </w:rPr>
        <w:t xml:space="preserve"> measurement requirements</w:t>
      </w:r>
      <w:r>
        <w:rPr>
          <w:rFonts w:eastAsia="宋体"/>
          <w:lang w:eastAsia="zh-CN"/>
        </w:rPr>
        <w:t>.</w:t>
      </w:r>
    </w:p>
    <w:p w:rsidR="00754DE9" w:rsidRDefault="00B06084" w:rsidP="00754DE9">
      <w:pPr>
        <w:pStyle w:val="1"/>
        <w:jc w:val="both"/>
        <w:rPr>
          <w:lang w:val="en-US"/>
        </w:rPr>
      </w:pPr>
      <w:r>
        <w:rPr>
          <w:lang w:val="en-US"/>
        </w:rPr>
        <w:t>Discussion</w:t>
      </w:r>
    </w:p>
    <w:p w:rsidR="000B52C4" w:rsidRDefault="000B52C4" w:rsidP="000B52C4">
      <w:pPr>
        <w:pStyle w:val="2"/>
        <w:rPr>
          <w:lang w:eastAsia="zh-CN"/>
        </w:rPr>
      </w:pPr>
      <w:r>
        <w:rPr>
          <w:lang w:eastAsia="zh-CN"/>
        </w:rPr>
        <w:t>SRS periodicity and SRS dropping</w:t>
      </w:r>
      <w:r w:rsidRPr="00963A5F">
        <w:rPr>
          <w:lang w:eastAsia="zh-CN"/>
        </w:rPr>
        <w:t xml:space="preserve"> </w:t>
      </w:r>
    </w:p>
    <w:tbl>
      <w:tblPr>
        <w:tblStyle w:val="af4"/>
        <w:tblW w:w="0" w:type="auto"/>
        <w:tblLook w:val="04A0" w:firstRow="1" w:lastRow="0" w:firstColumn="1" w:lastColumn="0" w:noHBand="0" w:noVBand="1"/>
      </w:tblPr>
      <w:tblGrid>
        <w:gridCol w:w="9621"/>
      </w:tblGrid>
      <w:tr w:rsidR="000B52C4" w:rsidTr="000B52C4">
        <w:tc>
          <w:tcPr>
            <w:tcW w:w="9621" w:type="dxa"/>
          </w:tcPr>
          <w:p w:rsidR="000B52C4" w:rsidRPr="000B52C4" w:rsidRDefault="000B52C4" w:rsidP="000B52C4">
            <w:pPr>
              <w:numPr>
                <w:ilvl w:val="0"/>
                <w:numId w:val="34"/>
              </w:numPr>
              <w:spacing w:before="120" w:after="120"/>
              <w:rPr>
                <w:rFonts w:eastAsiaTheme="minorEastAsia"/>
                <w:lang w:val="en-US" w:eastAsia="zh-CN"/>
              </w:rPr>
            </w:pPr>
            <w:r w:rsidRPr="000B52C4">
              <w:rPr>
                <w:rFonts w:eastAsiaTheme="minorEastAsia"/>
                <w:lang w:val="en-US" w:eastAsia="zh-CN"/>
              </w:rPr>
              <w:t>FFS Whether SRS periodicity should be accounted in measurement period</w:t>
            </w:r>
          </w:p>
          <w:p w:rsidR="000B52C4" w:rsidRPr="000B52C4" w:rsidRDefault="000B52C4" w:rsidP="000B52C4">
            <w:pPr>
              <w:numPr>
                <w:ilvl w:val="1"/>
                <w:numId w:val="34"/>
              </w:numPr>
              <w:spacing w:before="120" w:after="120"/>
              <w:rPr>
                <w:rFonts w:eastAsiaTheme="minorEastAsia"/>
                <w:lang w:val="en-US" w:eastAsia="zh-CN"/>
              </w:rPr>
            </w:pPr>
            <w:r w:rsidRPr="000B52C4">
              <w:rPr>
                <w:rFonts w:eastAsiaTheme="minorEastAsia"/>
                <w:lang w:val="en-US" w:eastAsia="zh-CN"/>
              </w:rPr>
              <w:t xml:space="preserve">Option 1 </w:t>
            </w:r>
          </w:p>
          <w:p w:rsidR="000B52C4" w:rsidRPr="000B52C4" w:rsidRDefault="000B52C4" w:rsidP="000B52C4">
            <w:pPr>
              <w:numPr>
                <w:ilvl w:val="2"/>
                <w:numId w:val="34"/>
              </w:numPr>
              <w:spacing w:before="120" w:after="120"/>
              <w:rPr>
                <w:rFonts w:eastAsiaTheme="minorEastAsia"/>
                <w:lang w:val="en-US" w:eastAsia="zh-CN"/>
              </w:rPr>
            </w:pPr>
            <w:r w:rsidRPr="000B52C4">
              <w:rPr>
                <w:rFonts w:eastAsiaTheme="minorEastAsia"/>
                <w:lang w:val="en-US" w:eastAsia="zh-CN"/>
              </w:rPr>
              <w:t>No</w:t>
            </w:r>
          </w:p>
          <w:p w:rsidR="000B52C4" w:rsidRPr="000B52C4" w:rsidRDefault="000B52C4" w:rsidP="000B52C4">
            <w:pPr>
              <w:numPr>
                <w:ilvl w:val="1"/>
                <w:numId w:val="34"/>
              </w:numPr>
              <w:spacing w:before="120" w:after="120"/>
              <w:rPr>
                <w:rFonts w:eastAsiaTheme="minorEastAsia"/>
                <w:lang w:val="en-US" w:eastAsia="zh-CN"/>
              </w:rPr>
            </w:pPr>
            <w:r w:rsidRPr="000B52C4">
              <w:rPr>
                <w:rFonts w:eastAsiaTheme="minorEastAsia"/>
                <w:lang w:val="en-US" w:eastAsia="zh-CN"/>
              </w:rPr>
              <w:t xml:space="preserve">Option 2 </w:t>
            </w:r>
          </w:p>
          <w:p w:rsidR="000B52C4" w:rsidRPr="000B52C4" w:rsidRDefault="00B84243" w:rsidP="000B52C4">
            <w:pPr>
              <w:numPr>
                <w:ilvl w:val="2"/>
                <w:numId w:val="34"/>
              </w:numPr>
              <w:spacing w:before="120" w:after="120"/>
              <w:rPr>
                <w:rFonts w:eastAsiaTheme="minorEastAsia"/>
                <w:lang w:val="en-US" w:eastAsia="zh-CN"/>
              </w:rPr>
            </w:pPr>
            <m:oMath>
              <m:sSub>
                <m:sSubPr>
                  <m:ctrlPr>
                    <w:rPr>
                      <w:rFonts w:ascii="Cambria Math" w:eastAsiaTheme="minorEastAsia" w:hAnsi="Cambria Math"/>
                      <w:i/>
                      <w:iCs/>
                      <w:lang w:val="en-US" w:eastAsia="zh-CN"/>
                    </w:rPr>
                  </m:ctrlPr>
                </m:sSubPr>
                <m:e>
                  <m:r>
                    <m:rPr>
                      <m:sty m:val="p"/>
                    </m:rPr>
                    <w:rPr>
                      <w:rFonts w:ascii="Cambria Math" w:eastAsiaTheme="minorEastAsia" w:hAnsi="Cambria Math"/>
                      <w:lang w:val="en-US" w:eastAsia="zh-CN"/>
                    </w:rPr>
                    <m:t>T</m:t>
                  </m:r>
                </m:e>
                <m:sub>
                  <m:r>
                    <m:rPr>
                      <m:sty m:val="p"/>
                    </m:rPr>
                    <w:rPr>
                      <w:rFonts w:ascii="Cambria Math" w:eastAsiaTheme="minorEastAsia" w:hAnsi="Cambria Math"/>
                      <w:lang w:val="en-US" w:eastAsia="zh-CN"/>
                    </w:rPr>
                    <m:t>UE Rx</m:t>
                  </m:r>
                  <m:r>
                    <w:rPr>
                      <w:rFonts w:ascii="Cambria Math" w:eastAsiaTheme="minorEastAsia" w:hAnsi="Cambria Math"/>
                      <w:lang w:val="en-US" w:eastAsia="zh-CN"/>
                    </w:rPr>
                    <m:t>-</m:t>
                  </m:r>
                  <m:r>
                    <m:rPr>
                      <m:sty m:val="p"/>
                    </m:rPr>
                    <w:rPr>
                      <w:rFonts w:ascii="Cambria Math" w:eastAsiaTheme="minorEastAsia" w:hAnsi="Cambria Math"/>
                      <w:lang w:val="en-US" w:eastAsia="zh-CN"/>
                    </w:rPr>
                    <m:t>Tx, total</m:t>
                  </m:r>
                </m:sub>
              </m:sSub>
            </m:oMath>
            <w:r w:rsidR="000B52C4" w:rsidRPr="000B52C4">
              <w:rPr>
                <w:rFonts w:eastAsiaTheme="minorEastAsia"/>
                <w:lang w:val="en-US" w:eastAsia="zh-CN"/>
              </w:rPr>
              <w:t xml:space="preserve"> can be extended if the SRS periodicity is longer than max(</w:t>
            </w:r>
            <m:oMath>
              <m:sSub>
                <m:sSubPr>
                  <m:ctrlPr>
                    <w:rPr>
                      <w:rFonts w:ascii="Cambria Math" w:eastAsiaTheme="minorEastAsia" w:hAnsi="Cambria Math"/>
                      <w:i/>
                      <w:iCs/>
                      <w:lang w:val="en-US" w:eastAsia="zh-CN"/>
                    </w:rPr>
                  </m:ctrlPr>
                </m:sSubPr>
                <m:e>
                  <m:r>
                    <m:rPr>
                      <m:sty m:val="p"/>
                    </m:rPr>
                    <w:rPr>
                      <w:rFonts w:ascii="Cambria Math" w:eastAsiaTheme="minorEastAsia" w:hAnsi="Cambria Math"/>
                      <w:lang w:val="en-US" w:eastAsia="zh-CN"/>
                    </w:rPr>
                    <m:t>T</m:t>
                  </m:r>
                </m:e>
                <m:sub>
                  <m:r>
                    <m:rPr>
                      <m:sty m:val="p"/>
                    </m:rPr>
                    <w:rPr>
                      <w:rFonts w:ascii="Cambria Math" w:eastAsiaTheme="minorEastAsia" w:hAnsi="Cambria Math"/>
                      <w:lang w:val="en-US" w:eastAsia="zh-CN"/>
                    </w:rPr>
                    <m:t>PRS,i</m:t>
                  </m:r>
                </m:sub>
              </m:sSub>
            </m:oMath>
            <w:r w:rsidR="000B52C4" w:rsidRPr="000B52C4">
              <w:rPr>
                <w:rFonts w:eastAsiaTheme="minorEastAsia"/>
                <w:lang w:val="en-US" w:eastAsia="zh-CN"/>
              </w:rPr>
              <w:t xml:space="preserve">). </w:t>
            </w:r>
          </w:p>
          <w:p w:rsidR="000B52C4" w:rsidRPr="000B52C4" w:rsidRDefault="000B52C4" w:rsidP="000B52C4">
            <w:pPr>
              <w:numPr>
                <w:ilvl w:val="0"/>
                <w:numId w:val="34"/>
              </w:numPr>
              <w:spacing w:before="120" w:after="120"/>
              <w:rPr>
                <w:rFonts w:eastAsiaTheme="minorEastAsia"/>
                <w:lang w:val="en-US" w:eastAsia="zh-CN"/>
              </w:rPr>
            </w:pPr>
            <w:r w:rsidRPr="000B52C4">
              <w:rPr>
                <w:rFonts w:eastAsiaTheme="minorEastAsia"/>
                <w:lang w:val="en-US" w:eastAsia="zh-CN"/>
              </w:rPr>
              <w:t>FFS Whether SRS dropping should be accounted in measurement period</w:t>
            </w:r>
          </w:p>
          <w:p w:rsidR="000B52C4" w:rsidRPr="000B52C4" w:rsidRDefault="000B52C4" w:rsidP="000B52C4">
            <w:pPr>
              <w:numPr>
                <w:ilvl w:val="1"/>
                <w:numId w:val="34"/>
              </w:numPr>
              <w:spacing w:before="120" w:after="120"/>
              <w:rPr>
                <w:rFonts w:eastAsiaTheme="minorEastAsia"/>
                <w:lang w:val="en-US" w:eastAsia="zh-CN"/>
              </w:rPr>
            </w:pPr>
            <w:r w:rsidRPr="000B52C4">
              <w:rPr>
                <w:rFonts w:eastAsiaTheme="minorEastAsia"/>
                <w:lang w:val="en-US" w:eastAsia="zh-CN"/>
              </w:rPr>
              <w:t xml:space="preserve">Option 1  </w:t>
            </w:r>
          </w:p>
          <w:p w:rsidR="000B52C4" w:rsidRPr="000B52C4" w:rsidRDefault="000B52C4" w:rsidP="000B52C4">
            <w:pPr>
              <w:numPr>
                <w:ilvl w:val="2"/>
                <w:numId w:val="34"/>
              </w:numPr>
              <w:spacing w:before="120" w:after="120"/>
              <w:rPr>
                <w:rFonts w:eastAsiaTheme="minorEastAsia"/>
                <w:lang w:val="en-US" w:eastAsia="zh-CN"/>
              </w:rPr>
            </w:pPr>
            <w:r w:rsidRPr="000B52C4">
              <w:rPr>
                <w:rFonts w:eastAsiaTheme="minorEastAsia"/>
                <w:lang w:val="en-US" w:eastAsia="zh-CN"/>
              </w:rPr>
              <w:t>No</w:t>
            </w:r>
          </w:p>
          <w:p w:rsidR="000B52C4" w:rsidRPr="000B52C4" w:rsidRDefault="000B52C4" w:rsidP="000B52C4">
            <w:pPr>
              <w:numPr>
                <w:ilvl w:val="1"/>
                <w:numId w:val="34"/>
              </w:numPr>
              <w:spacing w:before="120" w:after="120"/>
              <w:rPr>
                <w:rFonts w:eastAsiaTheme="minorEastAsia"/>
                <w:lang w:val="en-US" w:eastAsia="zh-CN"/>
              </w:rPr>
            </w:pPr>
            <w:r w:rsidRPr="000B52C4">
              <w:rPr>
                <w:rFonts w:eastAsiaTheme="minorEastAsia"/>
                <w:lang w:val="en-US" w:eastAsia="zh-CN"/>
              </w:rPr>
              <w:t xml:space="preserve">Option 2  </w:t>
            </w:r>
          </w:p>
          <w:p w:rsidR="000B52C4" w:rsidRPr="000B52C4" w:rsidRDefault="000B52C4" w:rsidP="000B52C4">
            <w:pPr>
              <w:numPr>
                <w:ilvl w:val="2"/>
                <w:numId w:val="34"/>
              </w:numPr>
              <w:spacing w:before="120" w:after="120"/>
              <w:rPr>
                <w:rFonts w:eastAsiaTheme="minorEastAsia"/>
                <w:lang w:val="en-US" w:eastAsia="zh-CN"/>
              </w:rPr>
            </w:pPr>
            <w:r w:rsidRPr="000B52C4">
              <w:rPr>
                <w:rFonts w:eastAsiaTheme="minorEastAsia"/>
                <w:lang w:val="en-US" w:eastAsia="zh-CN"/>
              </w:rPr>
              <w:t xml:space="preserve">UE is allowed to extend the UE Rx-Tx measurement period (clarified in the requirements), but the exact value is not specified (aligned with RAN4 agreement on PRS dropping) </w:t>
            </w:r>
          </w:p>
        </w:tc>
      </w:tr>
    </w:tbl>
    <w:p w:rsidR="000B52C4" w:rsidRDefault="000B52C4" w:rsidP="000B52C4">
      <w:pPr>
        <w:overflowPunct w:val="0"/>
        <w:autoSpaceDE w:val="0"/>
        <w:autoSpaceDN w:val="0"/>
        <w:adjustRightInd w:val="0"/>
        <w:spacing w:before="120" w:after="120"/>
        <w:textAlignment w:val="baseline"/>
        <w:rPr>
          <w:rFonts w:eastAsia="宋体"/>
          <w:lang w:eastAsia="zh-CN"/>
        </w:rPr>
      </w:pPr>
      <w:r>
        <w:rPr>
          <w:rFonts w:eastAsia="宋体"/>
          <w:lang w:eastAsia="zh-CN"/>
        </w:rPr>
        <w:t>We do not think SRS periodicity needs to be included in the Rx-Tx time difference measurement period. What UE is measuring is the DL PRS, i.e. the Rx timing, and by definition in 38.215 as copied below, the Tx timing is not dependent on SRS transmission. For the same reason, SRS dropping should not be accounted in the measurement period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0B52C4" w:rsidTr="000B52C4">
        <w:tc>
          <w:tcPr>
            <w:tcW w:w="9847" w:type="dxa"/>
            <w:tcBorders>
              <w:top w:val="single" w:sz="4" w:space="0" w:color="auto"/>
              <w:left w:val="single" w:sz="4" w:space="0" w:color="auto"/>
              <w:bottom w:val="single" w:sz="4" w:space="0" w:color="auto"/>
              <w:right w:val="single" w:sz="4" w:space="0" w:color="auto"/>
            </w:tcBorders>
            <w:hideMark/>
          </w:tcPr>
          <w:p w:rsidR="000B52C4" w:rsidRDefault="000B52C4">
            <w:pPr>
              <w:pStyle w:val="TAL"/>
              <w:spacing w:before="120" w:after="120"/>
              <w:rPr>
                <w:szCs w:val="18"/>
                <w:lang w:eastAsia="en-GB"/>
              </w:rPr>
            </w:pPr>
            <w:r>
              <w:rPr>
                <w:szCs w:val="18"/>
                <w:lang w:eastAsia="en-GB"/>
              </w:rPr>
              <w:lastRenderedPageBreak/>
              <w:t>The UE Rx – Tx time difference is defined as T</w:t>
            </w:r>
            <w:r>
              <w:rPr>
                <w:szCs w:val="18"/>
                <w:vertAlign w:val="subscript"/>
                <w:lang w:eastAsia="en-GB"/>
              </w:rPr>
              <w:t>UE-RX</w:t>
            </w:r>
            <w:r>
              <w:rPr>
                <w:szCs w:val="18"/>
                <w:lang w:eastAsia="en-GB"/>
              </w:rPr>
              <w:t xml:space="preserve"> –</w:t>
            </w:r>
            <w:r>
              <w:rPr>
                <w:szCs w:val="18"/>
                <w:vertAlign w:val="subscript"/>
                <w:lang w:eastAsia="en-GB"/>
              </w:rPr>
              <w:t xml:space="preserve"> </w:t>
            </w:r>
            <w:r>
              <w:rPr>
                <w:szCs w:val="18"/>
                <w:lang w:eastAsia="en-GB"/>
              </w:rPr>
              <w:t>T</w:t>
            </w:r>
            <w:r>
              <w:rPr>
                <w:szCs w:val="18"/>
                <w:vertAlign w:val="subscript"/>
                <w:lang w:eastAsia="en-GB"/>
              </w:rPr>
              <w:t>UE-TX</w:t>
            </w:r>
          </w:p>
          <w:p w:rsidR="000B52C4" w:rsidRDefault="000B52C4">
            <w:pPr>
              <w:pStyle w:val="TAL"/>
              <w:spacing w:before="120" w:after="120"/>
              <w:rPr>
                <w:szCs w:val="18"/>
                <w:lang w:eastAsia="en-GB"/>
              </w:rPr>
            </w:pPr>
            <w:r>
              <w:rPr>
                <w:szCs w:val="18"/>
                <w:lang w:eastAsia="en-GB"/>
              </w:rPr>
              <w:t>Where:</w:t>
            </w:r>
          </w:p>
          <w:p w:rsidR="000B52C4" w:rsidRDefault="000B52C4">
            <w:pPr>
              <w:pStyle w:val="TAL"/>
              <w:spacing w:before="120" w:after="120"/>
              <w:rPr>
                <w:lang w:val="en-US" w:eastAsia="en-GB"/>
              </w:rPr>
            </w:pPr>
            <w:r>
              <w:rPr>
                <w:lang w:eastAsia="en-GB"/>
              </w:rPr>
              <w:t>T</w:t>
            </w:r>
            <w:r>
              <w:rPr>
                <w:vertAlign w:val="subscript"/>
                <w:lang w:eastAsia="en-GB"/>
              </w:rPr>
              <w:t>UE-RX</w:t>
            </w:r>
            <w:r>
              <w:rPr>
                <w:lang w:eastAsia="en-GB"/>
              </w:rPr>
              <w:t xml:space="preserve"> is the UE received timing of downlink subframe #</w:t>
            </w:r>
            <w:r>
              <w:rPr>
                <w:i/>
                <w:lang w:eastAsia="en-GB"/>
              </w:rPr>
              <w:t>i</w:t>
            </w:r>
            <w:r>
              <w:rPr>
                <w:lang w:eastAsia="en-GB"/>
              </w:rPr>
              <w:t xml:space="preserve"> from a positioning node, defined by the first detected path in time.</w:t>
            </w:r>
          </w:p>
          <w:p w:rsidR="000B52C4" w:rsidRDefault="000B52C4">
            <w:pPr>
              <w:pStyle w:val="TAL"/>
              <w:spacing w:before="120" w:after="120"/>
              <w:rPr>
                <w:lang w:eastAsia="en-GB"/>
              </w:rPr>
            </w:pPr>
            <w:r>
              <w:rPr>
                <w:lang w:eastAsia="en-GB"/>
              </w:rPr>
              <w:t>T</w:t>
            </w:r>
            <w:r>
              <w:rPr>
                <w:vertAlign w:val="subscript"/>
                <w:lang w:eastAsia="en-GB"/>
              </w:rPr>
              <w:t>UE-TX</w:t>
            </w:r>
            <w:r>
              <w:rPr>
                <w:lang w:eastAsia="en-GB"/>
              </w:rPr>
              <w:t xml:space="preserve"> is the UE transmit timing of uplink subframe </w:t>
            </w:r>
            <w:r>
              <w:t>#</w:t>
            </w:r>
            <w:r>
              <w:rPr>
                <w:i/>
                <w:lang w:eastAsia="en-GB"/>
              </w:rPr>
              <w:t>j</w:t>
            </w:r>
            <w:r>
              <w:rPr>
                <w:lang w:eastAsia="en-GB"/>
              </w:rPr>
              <w:t xml:space="preserve"> that is closest in time to the subframe #i received from the positioning node.</w:t>
            </w:r>
          </w:p>
        </w:tc>
      </w:tr>
    </w:tbl>
    <w:p w:rsidR="000B52C4" w:rsidRDefault="000B52C4" w:rsidP="000B52C4">
      <w:pPr>
        <w:autoSpaceDE w:val="0"/>
        <w:autoSpaceDN w:val="0"/>
        <w:adjustRightInd w:val="0"/>
        <w:spacing w:before="120" w:after="120"/>
        <w:rPr>
          <w:rFonts w:eastAsia="宋体"/>
          <w:lang w:eastAsia="zh-CN"/>
        </w:rPr>
      </w:pPr>
      <w:r>
        <w:rPr>
          <w:rFonts w:eastAsia="宋体"/>
          <w:b/>
          <w:lang w:eastAsia="zh-CN"/>
        </w:rPr>
        <w:t xml:space="preserve">Proposal 1: </w:t>
      </w:r>
      <w:r>
        <w:rPr>
          <w:rFonts w:eastAsia="宋体"/>
          <w:b/>
          <w:lang w:val="en-US" w:eastAsia="zh-CN"/>
        </w:rPr>
        <w:t>SRS periodicity or SRS dropping is not accounted in UE Rx-Tx time difference measurement period.</w:t>
      </w:r>
    </w:p>
    <w:p w:rsidR="000B52C4" w:rsidRDefault="000B52C4" w:rsidP="000B52C4">
      <w:pPr>
        <w:pStyle w:val="2"/>
        <w:rPr>
          <w:lang w:eastAsia="zh-CN"/>
        </w:rPr>
      </w:pPr>
      <w:r>
        <w:rPr>
          <w:rFonts w:hint="eastAsia"/>
          <w:lang w:eastAsia="zh-CN"/>
        </w:rPr>
        <w:t>P</w:t>
      </w:r>
      <w:r>
        <w:rPr>
          <w:lang w:eastAsia="zh-CN"/>
        </w:rPr>
        <w:t>RS/SRS proximity</w:t>
      </w:r>
    </w:p>
    <w:tbl>
      <w:tblPr>
        <w:tblStyle w:val="af4"/>
        <w:tblW w:w="0" w:type="auto"/>
        <w:tblLook w:val="04A0" w:firstRow="1" w:lastRow="0" w:firstColumn="1" w:lastColumn="0" w:noHBand="0" w:noVBand="1"/>
      </w:tblPr>
      <w:tblGrid>
        <w:gridCol w:w="9621"/>
      </w:tblGrid>
      <w:tr w:rsidR="000B52C4" w:rsidTr="000B52C4">
        <w:tc>
          <w:tcPr>
            <w:tcW w:w="9621" w:type="dxa"/>
          </w:tcPr>
          <w:p w:rsidR="000B52C4" w:rsidRPr="000B52C4" w:rsidRDefault="000B52C4" w:rsidP="000B52C4">
            <w:pPr>
              <w:numPr>
                <w:ilvl w:val="0"/>
                <w:numId w:val="35"/>
              </w:numPr>
              <w:overflowPunct w:val="0"/>
              <w:autoSpaceDE w:val="0"/>
              <w:autoSpaceDN w:val="0"/>
              <w:adjustRightInd w:val="0"/>
              <w:spacing w:beforeLines="0" w:before="120" w:afterLines="0" w:after="120"/>
              <w:textAlignment w:val="baseline"/>
              <w:rPr>
                <w:rFonts w:eastAsia="宋体"/>
                <w:lang w:val="en-US" w:eastAsia="zh-CN"/>
              </w:rPr>
            </w:pPr>
            <w:r w:rsidRPr="000B52C4">
              <w:rPr>
                <w:rFonts w:eastAsia="宋体"/>
                <w:lang w:val="en-US" w:eastAsia="zh-CN"/>
              </w:rPr>
              <w:t xml:space="preserve">FFS PRS/SRS proximity </w:t>
            </w:r>
          </w:p>
          <w:p w:rsidR="000B52C4" w:rsidRPr="000B52C4" w:rsidRDefault="000B52C4" w:rsidP="000B52C4">
            <w:pPr>
              <w:numPr>
                <w:ilvl w:val="1"/>
                <w:numId w:val="35"/>
              </w:numPr>
              <w:overflowPunct w:val="0"/>
              <w:autoSpaceDE w:val="0"/>
              <w:autoSpaceDN w:val="0"/>
              <w:adjustRightInd w:val="0"/>
              <w:spacing w:beforeLines="0" w:before="120" w:afterLines="0" w:after="120"/>
              <w:textAlignment w:val="baseline"/>
              <w:rPr>
                <w:rFonts w:eastAsia="宋体"/>
                <w:lang w:val="en-US" w:eastAsia="zh-CN"/>
              </w:rPr>
            </w:pPr>
            <w:r w:rsidRPr="000B52C4">
              <w:rPr>
                <w:rFonts w:eastAsia="宋体"/>
                <w:lang w:val="en-US" w:eastAsia="zh-CN"/>
              </w:rPr>
              <w:t xml:space="preserve">Option 1 </w:t>
            </w:r>
          </w:p>
          <w:p w:rsidR="000B52C4" w:rsidRPr="000B52C4" w:rsidRDefault="000B52C4" w:rsidP="000B52C4">
            <w:pPr>
              <w:numPr>
                <w:ilvl w:val="2"/>
                <w:numId w:val="35"/>
              </w:numPr>
              <w:overflowPunct w:val="0"/>
              <w:autoSpaceDE w:val="0"/>
              <w:autoSpaceDN w:val="0"/>
              <w:adjustRightInd w:val="0"/>
              <w:spacing w:beforeLines="0" w:before="120" w:afterLines="0" w:after="120"/>
              <w:textAlignment w:val="baseline"/>
              <w:rPr>
                <w:rFonts w:eastAsia="宋体"/>
                <w:lang w:val="en-US" w:eastAsia="zh-CN"/>
              </w:rPr>
            </w:pPr>
            <w:r w:rsidRPr="000B52C4">
              <w:rPr>
                <w:rFonts w:eastAsia="宋体"/>
                <w:lang w:val="en-US" w:eastAsia="zh-CN"/>
              </w:rPr>
              <w:t>The measurement requirements for UE Rx-Tx timing difference is applicable only if the configured parameters SRS-Slot-offset and SRS-Periodicity for SRS resource for positioning are such that any SRS transmission is within [-X, +X] ms of at least one DL PRS resource of each of the TRPs in the assistance data</w:t>
            </w:r>
          </w:p>
          <w:p w:rsidR="000B52C4" w:rsidRPr="000B52C4" w:rsidRDefault="000B52C4" w:rsidP="000B52C4">
            <w:pPr>
              <w:numPr>
                <w:ilvl w:val="3"/>
                <w:numId w:val="35"/>
              </w:numPr>
              <w:overflowPunct w:val="0"/>
              <w:autoSpaceDE w:val="0"/>
              <w:autoSpaceDN w:val="0"/>
              <w:adjustRightInd w:val="0"/>
              <w:spacing w:beforeLines="0" w:before="120" w:afterLines="0" w:after="120"/>
              <w:textAlignment w:val="baseline"/>
              <w:rPr>
                <w:rFonts w:eastAsia="宋体"/>
                <w:lang w:val="en-US" w:eastAsia="zh-CN"/>
              </w:rPr>
            </w:pPr>
            <w:r w:rsidRPr="000B52C4">
              <w:rPr>
                <w:rFonts w:eastAsia="宋体"/>
                <w:lang w:val="en-US" w:eastAsia="zh-CN"/>
              </w:rPr>
              <w:t>X = 50</w:t>
            </w:r>
          </w:p>
          <w:p w:rsidR="000B52C4" w:rsidRPr="000B52C4" w:rsidRDefault="000B52C4" w:rsidP="000B52C4">
            <w:pPr>
              <w:numPr>
                <w:ilvl w:val="3"/>
                <w:numId w:val="35"/>
              </w:numPr>
              <w:overflowPunct w:val="0"/>
              <w:autoSpaceDE w:val="0"/>
              <w:autoSpaceDN w:val="0"/>
              <w:adjustRightInd w:val="0"/>
              <w:spacing w:beforeLines="0" w:before="120" w:afterLines="0" w:after="120"/>
              <w:textAlignment w:val="baseline"/>
              <w:rPr>
                <w:rFonts w:eastAsia="宋体"/>
                <w:lang w:val="en-US" w:eastAsia="zh-CN"/>
              </w:rPr>
            </w:pPr>
            <w:r w:rsidRPr="000B52C4">
              <w:rPr>
                <w:rFonts w:eastAsia="宋体"/>
                <w:lang w:val="en-US" w:eastAsia="zh-CN"/>
              </w:rPr>
              <w:t>X = 160</w:t>
            </w:r>
          </w:p>
          <w:p w:rsidR="000B52C4" w:rsidRPr="000B52C4" w:rsidRDefault="000B52C4" w:rsidP="000B52C4">
            <w:pPr>
              <w:numPr>
                <w:ilvl w:val="3"/>
                <w:numId w:val="35"/>
              </w:numPr>
              <w:overflowPunct w:val="0"/>
              <w:autoSpaceDE w:val="0"/>
              <w:autoSpaceDN w:val="0"/>
              <w:adjustRightInd w:val="0"/>
              <w:spacing w:beforeLines="0" w:before="120" w:afterLines="0" w:after="120"/>
              <w:textAlignment w:val="baseline"/>
              <w:rPr>
                <w:rFonts w:eastAsia="宋体"/>
                <w:lang w:val="en-US" w:eastAsia="zh-CN"/>
              </w:rPr>
            </w:pPr>
            <w:r w:rsidRPr="000B52C4">
              <w:rPr>
                <w:rFonts w:eastAsia="宋体"/>
                <w:lang w:val="en-US" w:eastAsia="zh-CN"/>
              </w:rPr>
              <w:t xml:space="preserve">X = 80 </w:t>
            </w:r>
          </w:p>
          <w:p w:rsidR="000B52C4" w:rsidRPr="000B52C4" w:rsidRDefault="000B52C4" w:rsidP="000B52C4">
            <w:pPr>
              <w:numPr>
                <w:ilvl w:val="1"/>
                <w:numId w:val="35"/>
              </w:numPr>
              <w:overflowPunct w:val="0"/>
              <w:autoSpaceDE w:val="0"/>
              <w:autoSpaceDN w:val="0"/>
              <w:adjustRightInd w:val="0"/>
              <w:spacing w:beforeLines="0" w:before="120" w:afterLines="0" w:after="120"/>
              <w:textAlignment w:val="baseline"/>
              <w:rPr>
                <w:rFonts w:eastAsia="宋体"/>
                <w:lang w:val="en-US" w:eastAsia="zh-CN"/>
              </w:rPr>
            </w:pPr>
            <w:r w:rsidRPr="000B52C4">
              <w:rPr>
                <w:rFonts w:eastAsia="宋体"/>
                <w:lang w:val="en-US" w:eastAsia="zh-CN"/>
              </w:rPr>
              <w:t>Option 2</w:t>
            </w:r>
          </w:p>
          <w:p w:rsidR="000B52C4" w:rsidRPr="000B52C4" w:rsidRDefault="000B52C4" w:rsidP="000B52C4">
            <w:pPr>
              <w:numPr>
                <w:ilvl w:val="2"/>
                <w:numId w:val="35"/>
              </w:numPr>
              <w:overflowPunct w:val="0"/>
              <w:autoSpaceDE w:val="0"/>
              <w:autoSpaceDN w:val="0"/>
              <w:adjustRightInd w:val="0"/>
              <w:spacing w:beforeLines="0" w:before="120" w:afterLines="0" w:after="120"/>
              <w:textAlignment w:val="baseline"/>
              <w:rPr>
                <w:rFonts w:eastAsia="宋体"/>
                <w:lang w:val="en-US" w:eastAsia="zh-CN"/>
              </w:rPr>
            </w:pPr>
            <w:r w:rsidRPr="000B52C4">
              <w:rPr>
                <w:rFonts w:eastAsia="宋体"/>
                <w:lang w:val="en-US" w:eastAsia="zh-CN"/>
              </w:rPr>
              <w:t>The requirements for UE Rx-Tx apply provided MIN(Tsrs, Tprs) ≤ 2*X; X = FFS (e.g. X = 160 ms)</w:t>
            </w:r>
          </w:p>
          <w:p w:rsidR="000B52C4" w:rsidRPr="000B52C4" w:rsidRDefault="000B52C4" w:rsidP="000B52C4">
            <w:pPr>
              <w:numPr>
                <w:ilvl w:val="1"/>
                <w:numId w:val="35"/>
              </w:numPr>
              <w:overflowPunct w:val="0"/>
              <w:autoSpaceDE w:val="0"/>
              <w:autoSpaceDN w:val="0"/>
              <w:adjustRightInd w:val="0"/>
              <w:spacing w:beforeLines="0" w:before="120" w:afterLines="0" w:after="120"/>
              <w:textAlignment w:val="baseline"/>
              <w:rPr>
                <w:rFonts w:eastAsia="宋体"/>
                <w:lang w:val="en-US" w:eastAsia="zh-CN"/>
              </w:rPr>
            </w:pPr>
            <w:r w:rsidRPr="000B52C4">
              <w:rPr>
                <w:rFonts w:eastAsia="宋体"/>
                <w:lang w:val="en-US" w:eastAsia="zh-CN"/>
              </w:rPr>
              <w:t>Option 3</w:t>
            </w:r>
          </w:p>
          <w:p w:rsidR="000B52C4" w:rsidRPr="000B52C4" w:rsidRDefault="000B52C4" w:rsidP="000B52C4">
            <w:pPr>
              <w:numPr>
                <w:ilvl w:val="2"/>
                <w:numId w:val="35"/>
              </w:numPr>
              <w:overflowPunct w:val="0"/>
              <w:autoSpaceDE w:val="0"/>
              <w:autoSpaceDN w:val="0"/>
              <w:adjustRightInd w:val="0"/>
              <w:spacing w:beforeLines="0" w:before="120" w:afterLines="0" w:after="120"/>
              <w:textAlignment w:val="baseline"/>
              <w:rPr>
                <w:rFonts w:eastAsia="宋体"/>
                <w:lang w:val="en-US" w:eastAsia="zh-CN"/>
              </w:rPr>
            </w:pPr>
            <w:r w:rsidRPr="000B52C4">
              <w:rPr>
                <w:rFonts w:eastAsia="宋体"/>
                <w:lang w:val="en-US" w:eastAsia="zh-CN"/>
              </w:rPr>
              <w:t>The requirements for UE Rx-Tx apply provided MIN(Tsrs, Tprs) ≤ Y; Y = FFS (e.g. Y = 320 ms)</w:t>
            </w:r>
          </w:p>
        </w:tc>
      </w:tr>
    </w:tbl>
    <w:p w:rsidR="005A0723" w:rsidRDefault="005A0723" w:rsidP="005A0723">
      <w:pPr>
        <w:spacing w:before="120" w:after="120"/>
        <w:rPr>
          <w:rFonts w:eastAsiaTheme="minorEastAsia"/>
          <w:lang w:val="en-US" w:eastAsia="zh-CN"/>
        </w:rPr>
      </w:pPr>
      <w:r>
        <w:rPr>
          <w:rFonts w:eastAsia="宋体"/>
          <w:lang w:val="en-US" w:eastAsia="zh-CN"/>
        </w:rPr>
        <w:t xml:space="preserve">In our view, all the options have similar technical effect. For example, if </w:t>
      </w:r>
      <w:r>
        <w:rPr>
          <w:rFonts w:eastAsiaTheme="minorEastAsia"/>
          <w:lang w:val="en-US" w:eastAsia="zh-CN"/>
        </w:rPr>
        <w:t xml:space="preserve">SRS period is smaller than PRS period and is 160ms, then regardless of the PRS and SRS offsets, there will be an SRS occasion in the range of [-80, 80]ms around a PRS occasion. </w:t>
      </w:r>
    </w:p>
    <w:p w:rsidR="005A0723" w:rsidRDefault="005A0723" w:rsidP="005A0723">
      <w:pPr>
        <w:spacing w:before="120" w:after="120"/>
        <w:rPr>
          <w:rFonts w:eastAsiaTheme="minorEastAsia"/>
          <w:lang w:val="en-US" w:eastAsia="zh-CN"/>
        </w:rPr>
      </w:pPr>
      <w:r>
        <w:rPr>
          <w:rFonts w:eastAsiaTheme="minorEastAsia"/>
          <w:lang w:val="en-US" w:eastAsia="zh-CN"/>
        </w:rPr>
        <w:t>There are also some differences between the two options.</w:t>
      </w:r>
    </w:p>
    <w:p w:rsidR="005A0723" w:rsidRDefault="005A0723" w:rsidP="005A0723">
      <w:pPr>
        <w:pStyle w:val="af8"/>
        <w:numPr>
          <w:ilvl w:val="0"/>
          <w:numId w:val="36"/>
        </w:numPr>
        <w:spacing w:before="120" w:after="120"/>
        <w:ind w:left="1080"/>
        <w:rPr>
          <w:rFonts w:eastAsia="宋体"/>
          <w:lang w:eastAsia="zh-CN"/>
        </w:rPr>
      </w:pPr>
      <w:r>
        <w:rPr>
          <w:rFonts w:eastAsia="宋体"/>
          <w:lang w:eastAsia="zh-CN"/>
        </w:rPr>
        <w:t>Option 1 can allow larger PRS and SRS periodicity if NW carefully plan the offsets</w:t>
      </w:r>
    </w:p>
    <w:p w:rsidR="005A0723" w:rsidRDefault="005A0723" w:rsidP="005A0723">
      <w:pPr>
        <w:pStyle w:val="af8"/>
        <w:numPr>
          <w:ilvl w:val="0"/>
          <w:numId w:val="36"/>
        </w:numPr>
        <w:spacing w:before="120" w:after="120"/>
        <w:ind w:left="1080"/>
        <w:rPr>
          <w:rFonts w:eastAsia="宋体"/>
          <w:lang w:eastAsia="zh-CN"/>
        </w:rPr>
      </w:pPr>
      <w:r>
        <w:rPr>
          <w:rFonts w:eastAsia="宋体"/>
          <w:lang w:eastAsia="zh-CN"/>
        </w:rPr>
        <w:t>Option 2/3 can allow the case where SRS periodicity is larger than PRS</w:t>
      </w:r>
    </w:p>
    <w:p w:rsidR="005A0723" w:rsidRDefault="005A0723" w:rsidP="005A0723">
      <w:pPr>
        <w:spacing w:before="120" w:after="120"/>
        <w:rPr>
          <w:rFonts w:eastAsia="宋体"/>
          <w:lang w:eastAsia="zh-CN"/>
        </w:rPr>
      </w:pPr>
      <w:r>
        <w:rPr>
          <w:rFonts w:eastAsia="宋体"/>
          <w:lang w:eastAsia="zh-CN"/>
        </w:rPr>
        <w:t xml:space="preserve">We do not have strong preference between the two options, but considering the typical deployments, we slightly prefer option 1. As to the X value in option 1 we are fine with either 80ms or 160ms. </w:t>
      </w:r>
    </w:p>
    <w:p w:rsidR="005A0723" w:rsidRDefault="005A0723" w:rsidP="005A0723">
      <w:pPr>
        <w:spacing w:before="120" w:after="120"/>
        <w:rPr>
          <w:rFonts w:eastAsiaTheme="minorEastAsia"/>
          <w:b/>
          <w:lang w:eastAsia="zh-CN"/>
        </w:rPr>
      </w:pPr>
      <w:r>
        <w:rPr>
          <w:rFonts w:eastAsiaTheme="minorEastAsia"/>
          <w:b/>
          <w:lang w:eastAsia="zh-CN"/>
        </w:rPr>
        <w:t xml:space="preserve">Proposal 2: </w:t>
      </w:r>
      <w:r>
        <w:rPr>
          <w:rFonts w:eastAsia="宋体"/>
          <w:b/>
          <w:lang w:val="en-US" w:eastAsia="zh-CN"/>
        </w:rPr>
        <w:t xml:space="preserve">The measurement requirements for UE Rx-Tx timing difference is applicable provided that any SRS transmission is within [-X, +X]ms of at least one DL PRS resource of each TRP, where X = 80 or 160ms. </w:t>
      </w:r>
    </w:p>
    <w:p w:rsidR="000B52C4" w:rsidRDefault="000B52C4" w:rsidP="005A0723">
      <w:pPr>
        <w:pStyle w:val="2"/>
        <w:rPr>
          <w:lang w:eastAsia="zh-CN"/>
        </w:rPr>
      </w:pPr>
      <w:r>
        <w:rPr>
          <w:lang w:eastAsia="zh-CN"/>
        </w:rPr>
        <w:t>Measurement period with TA change</w:t>
      </w:r>
    </w:p>
    <w:tbl>
      <w:tblPr>
        <w:tblStyle w:val="af4"/>
        <w:tblW w:w="0" w:type="auto"/>
        <w:tblLook w:val="04A0" w:firstRow="1" w:lastRow="0" w:firstColumn="1" w:lastColumn="0" w:noHBand="0" w:noVBand="1"/>
      </w:tblPr>
      <w:tblGrid>
        <w:gridCol w:w="9621"/>
      </w:tblGrid>
      <w:tr w:rsidR="005A0723" w:rsidTr="005A0723">
        <w:tc>
          <w:tcPr>
            <w:tcW w:w="9621" w:type="dxa"/>
          </w:tcPr>
          <w:p w:rsidR="00444E5F" w:rsidRPr="005A0723" w:rsidRDefault="00444E5F" w:rsidP="005A0723">
            <w:pPr>
              <w:numPr>
                <w:ilvl w:val="0"/>
                <w:numId w:val="37"/>
              </w:numPr>
              <w:spacing w:before="120" w:after="120"/>
              <w:rPr>
                <w:rFonts w:eastAsiaTheme="minorEastAsia"/>
                <w:lang w:val="en-US" w:eastAsia="zh-CN"/>
              </w:rPr>
            </w:pPr>
            <w:r w:rsidRPr="005A0723">
              <w:rPr>
                <w:rFonts w:eastAsiaTheme="minorEastAsia"/>
                <w:lang w:val="fr-FR" w:eastAsia="zh-CN"/>
              </w:rPr>
              <w:t>TA change due to TA command</w:t>
            </w:r>
            <w:r w:rsidRPr="005A0723">
              <w:rPr>
                <w:rFonts w:eastAsiaTheme="minorEastAsia"/>
                <w:lang w:val="en-US" w:eastAsia="zh-CN"/>
              </w:rPr>
              <w:t xml:space="preserve"> </w:t>
            </w:r>
          </w:p>
          <w:p w:rsidR="00444E5F" w:rsidRPr="005A0723" w:rsidRDefault="00444E5F" w:rsidP="005A0723">
            <w:pPr>
              <w:numPr>
                <w:ilvl w:val="1"/>
                <w:numId w:val="37"/>
              </w:numPr>
              <w:spacing w:before="120" w:after="120"/>
              <w:rPr>
                <w:rFonts w:eastAsiaTheme="minorEastAsia"/>
                <w:lang w:val="en-US" w:eastAsia="zh-CN"/>
              </w:rPr>
            </w:pPr>
            <w:r w:rsidRPr="005A0723">
              <w:rPr>
                <w:rFonts w:eastAsiaTheme="minorEastAsia"/>
                <w:lang w:val="en-US" w:eastAsia="zh-CN"/>
              </w:rPr>
              <w:t>UE behaviour:</w:t>
            </w:r>
          </w:p>
          <w:p w:rsidR="00444E5F" w:rsidRPr="005A0723" w:rsidRDefault="00444E5F" w:rsidP="005A0723">
            <w:pPr>
              <w:numPr>
                <w:ilvl w:val="2"/>
                <w:numId w:val="37"/>
              </w:numPr>
              <w:spacing w:before="120" w:after="120"/>
              <w:rPr>
                <w:rFonts w:eastAsiaTheme="minorEastAsia"/>
                <w:lang w:val="en-US" w:eastAsia="zh-CN"/>
              </w:rPr>
            </w:pPr>
            <w:r w:rsidRPr="005A0723">
              <w:rPr>
                <w:rFonts w:eastAsiaTheme="minorEastAsia"/>
                <w:lang w:val="en-US" w:eastAsia="zh-CN"/>
              </w:rPr>
              <w:t>Option 1</w:t>
            </w:r>
          </w:p>
          <w:p w:rsidR="00444E5F" w:rsidRPr="005A0723" w:rsidRDefault="00444E5F" w:rsidP="005A0723">
            <w:pPr>
              <w:numPr>
                <w:ilvl w:val="3"/>
                <w:numId w:val="37"/>
              </w:numPr>
              <w:spacing w:before="120" w:after="120"/>
              <w:rPr>
                <w:rFonts w:eastAsiaTheme="minorEastAsia"/>
                <w:lang w:val="en-US" w:eastAsia="zh-CN"/>
              </w:rPr>
            </w:pPr>
            <w:r w:rsidRPr="005A0723">
              <w:rPr>
                <w:rFonts w:eastAsiaTheme="minorEastAsia"/>
                <w:lang w:val="en-US" w:eastAsia="zh-CN"/>
              </w:rPr>
              <w:lastRenderedPageBreak/>
              <w:t>UE shall continue UE Rx-Tx time difference measurement and meet accuracy requirements</w:t>
            </w:r>
          </w:p>
          <w:p w:rsidR="00444E5F" w:rsidRPr="005A0723" w:rsidRDefault="00444E5F" w:rsidP="005A0723">
            <w:pPr>
              <w:numPr>
                <w:ilvl w:val="2"/>
                <w:numId w:val="37"/>
              </w:numPr>
              <w:spacing w:before="120" w:after="120"/>
              <w:rPr>
                <w:rFonts w:eastAsiaTheme="minorEastAsia"/>
                <w:lang w:val="en-US" w:eastAsia="zh-CN"/>
              </w:rPr>
            </w:pPr>
            <w:r w:rsidRPr="005A0723">
              <w:rPr>
                <w:rFonts w:eastAsiaTheme="minorEastAsia"/>
                <w:lang w:val="en-US" w:eastAsia="zh-CN"/>
              </w:rPr>
              <w:t>Option 2</w:t>
            </w:r>
          </w:p>
          <w:p w:rsidR="00444E5F" w:rsidRPr="005A0723" w:rsidRDefault="00444E5F" w:rsidP="005A0723">
            <w:pPr>
              <w:numPr>
                <w:ilvl w:val="3"/>
                <w:numId w:val="37"/>
              </w:numPr>
              <w:spacing w:before="120" w:after="120"/>
              <w:rPr>
                <w:rFonts w:eastAsiaTheme="minorEastAsia"/>
                <w:lang w:val="en-US" w:eastAsia="zh-CN"/>
              </w:rPr>
            </w:pPr>
            <w:r w:rsidRPr="005A0723">
              <w:rPr>
                <w:rFonts w:eastAsiaTheme="minorEastAsia"/>
                <w:lang w:val="en-US" w:eastAsia="zh-CN"/>
              </w:rPr>
              <w:t>The UE shall discard the UE Rx-Tx time difference measurement if the uplink transmission timing (based on network-configured TA) changes during the UE Rx-Tx measurement period</w:t>
            </w:r>
          </w:p>
          <w:p w:rsidR="00444E5F" w:rsidRPr="005A0723" w:rsidRDefault="00444E5F" w:rsidP="005A0723">
            <w:pPr>
              <w:numPr>
                <w:ilvl w:val="1"/>
                <w:numId w:val="37"/>
              </w:numPr>
              <w:spacing w:before="120" w:after="120"/>
              <w:rPr>
                <w:rFonts w:eastAsiaTheme="minorEastAsia"/>
                <w:lang w:val="en-US" w:eastAsia="zh-CN"/>
              </w:rPr>
            </w:pPr>
            <w:r w:rsidRPr="005A0723">
              <w:rPr>
                <w:rFonts w:eastAsiaTheme="minorEastAsia"/>
                <w:lang w:val="en-US" w:eastAsia="zh-CN"/>
              </w:rPr>
              <w:t>Applicable measurement period requirements</w:t>
            </w:r>
          </w:p>
          <w:p w:rsidR="00444E5F" w:rsidRPr="005A0723" w:rsidRDefault="00444E5F" w:rsidP="005A0723">
            <w:pPr>
              <w:numPr>
                <w:ilvl w:val="2"/>
                <w:numId w:val="37"/>
              </w:numPr>
              <w:spacing w:before="120" w:after="120"/>
              <w:rPr>
                <w:rFonts w:eastAsiaTheme="minorEastAsia"/>
                <w:lang w:val="en-US" w:eastAsia="zh-CN"/>
              </w:rPr>
            </w:pPr>
            <w:r w:rsidRPr="005A0723">
              <w:rPr>
                <w:rFonts w:eastAsiaTheme="minorEastAsia"/>
                <w:lang w:val="en-US" w:eastAsia="zh-CN"/>
              </w:rPr>
              <w:t>Option 1</w:t>
            </w:r>
          </w:p>
          <w:p w:rsidR="005A0723" w:rsidRPr="005A0723" w:rsidRDefault="00444E5F" w:rsidP="005A0723">
            <w:pPr>
              <w:numPr>
                <w:ilvl w:val="3"/>
                <w:numId w:val="37"/>
              </w:numPr>
              <w:spacing w:before="120" w:after="120"/>
              <w:rPr>
                <w:rFonts w:eastAsiaTheme="minorEastAsia"/>
                <w:lang w:val="en-US" w:eastAsia="zh-CN"/>
              </w:rPr>
            </w:pPr>
            <w:r w:rsidRPr="005A0723">
              <w:rPr>
                <w:rFonts w:eastAsiaTheme="minorEastAsia"/>
                <w:lang w:val="en-US" w:eastAsia="zh-CN"/>
              </w:rPr>
              <w:t>the UE Rx-Tx time difference measurement requirement are not applicable</w:t>
            </w:r>
          </w:p>
        </w:tc>
      </w:tr>
    </w:tbl>
    <w:p w:rsidR="00FD51BD" w:rsidRDefault="00850781" w:rsidP="00FD51BD">
      <w:pPr>
        <w:spacing w:before="120" w:after="120"/>
        <w:rPr>
          <w:rFonts w:eastAsiaTheme="minorEastAsia"/>
          <w:lang w:eastAsia="zh-CN"/>
        </w:rPr>
      </w:pPr>
      <w:r>
        <w:rPr>
          <w:rFonts w:eastAsiaTheme="minorEastAsia"/>
          <w:lang w:eastAsia="zh-CN"/>
        </w:rPr>
        <w:lastRenderedPageBreak/>
        <w:t xml:space="preserve">As to the UE behavior, our preference is that </w:t>
      </w:r>
      <w:r w:rsidRPr="005A0723">
        <w:rPr>
          <w:rFonts w:eastAsiaTheme="minorEastAsia"/>
          <w:lang w:val="en-US" w:eastAsia="zh-CN"/>
        </w:rPr>
        <w:t>UE shall continue UE Rx-Tx time difference measurement</w:t>
      </w:r>
      <w:r w:rsidR="00FD51BD">
        <w:rPr>
          <w:rFonts w:eastAsiaTheme="minorEastAsia"/>
          <w:lang w:eastAsia="zh-CN"/>
        </w:rPr>
        <w:t>. There are two reasons:</w:t>
      </w:r>
    </w:p>
    <w:p w:rsidR="00FD51BD" w:rsidRDefault="00FD51BD" w:rsidP="00FD51BD">
      <w:pPr>
        <w:pStyle w:val="af8"/>
        <w:numPr>
          <w:ilvl w:val="0"/>
          <w:numId w:val="38"/>
        </w:numPr>
        <w:spacing w:before="120" w:after="120"/>
        <w:rPr>
          <w:rFonts w:eastAsiaTheme="minorEastAsia"/>
          <w:lang w:eastAsia="zh-CN"/>
        </w:rPr>
      </w:pPr>
      <w:r w:rsidRPr="00FD51BD">
        <w:rPr>
          <w:rFonts w:eastAsiaTheme="minorEastAsia"/>
          <w:lang w:eastAsia="zh-CN"/>
        </w:rPr>
        <w:t xml:space="preserve">gNB of neighbour cell is not aware of TA change of the UE, either gNB triggered or UE autonomous, so gNB will continue the Rx-Tx time difference measurement in both cases. Therefore, there is anyway a possibility that gNB Rx-Tx is based on a different UL </w:t>
      </w:r>
      <w:r>
        <w:rPr>
          <w:rFonts w:eastAsiaTheme="minorEastAsia"/>
          <w:lang w:eastAsia="zh-CN"/>
        </w:rPr>
        <w:t>timing as UE Rx-Tx, even UE restarts the measurement.</w:t>
      </w:r>
    </w:p>
    <w:p w:rsidR="00FD51BD" w:rsidRPr="00FD51BD" w:rsidRDefault="00FD51BD" w:rsidP="00FD51BD">
      <w:pPr>
        <w:pStyle w:val="af8"/>
        <w:numPr>
          <w:ilvl w:val="0"/>
          <w:numId w:val="38"/>
        </w:numPr>
        <w:spacing w:before="120" w:after="120"/>
        <w:rPr>
          <w:rFonts w:eastAsiaTheme="minorEastAsia"/>
          <w:lang w:eastAsia="zh-CN"/>
        </w:rPr>
      </w:pPr>
      <w:r w:rsidRPr="00FD51BD">
        <w:rPr>
          <w:rFonts w:eastAsiaTheme="minorEastAsia"/>
          <w:lang w:eastAsia="zh-CN"/>
        </w:rPr>
        <w:t xml:space="preserve">Unlike HO, UE TA change may happen frequently. If there is no requirement for this case or measurement period restarts, the UE may never complete the measurement. </w:t>
      </w:r>
    </w:p>
    <w:p w:rsidR="00850781" w:rsidRDefault="00850781" w:rsidP="00850781">
      <w:pPr>
        <w:spacing w:before="120" w:after="120"/>
        <w:rPr>
          <w:rFonts w:eastAsiaTheme="minorEastAsia"/>
          <w:lang w:eastAsia="zh-CN"/>
        </w:rPr>
      </w:pPr>
      <w:r>
        <w:rPr>
          <w:rFonts w:eastAsiaTheme="minorEastAsia"/>
          <w:lang w:eastAsia="zh-CN"/>
        </w:rPr>
        <w:t>We understand that it may be difficult to mitigate the impact of TA change in multi-RTT, so there is no perfect option. In our view, continuing the measurement is the options that gives least UE impact and this is also same as in LTE. On the other hand, we do not see clear benefit from other options like dropping the old measurement or restarting the measurement period, while they have clear UE impact.</w:t>
      </w:r>
    </w:p>
    <w:tbl>
      <w:tblPr>
        <w:tblStyle w:val="af4"/>
        <w:tblW w:w="0" w:type="auto"/>
        <w:tblLook w:val="04A0" w:firstRow="1" w:lastRow="0" w:firstColumn="1" w:lastColumn="0" w:noHBand="0" w:noVBand="1"/>
      </w:tblPr>
      <w:tblGrid>
        <w:gridCol w:w="9621"/>
      </w:tblGrid>
      <w:tr w:rsidR="00FD51BD" w:rsidTr="00FD51BD">
        <w:tc>
          <w:tcPr>
            <w:tcW w:w="9621" w:type="dxa"/>
          </w:tcPr>
          <w:p w:rsidR="00444E5F" w:rsidRPr="00FD51BD" w:rsidRDefault="00444E5F" w:rsidP="00FD51BD">
            <w:pPr>
              <w:numPr>
                <w:ilvl w:val="0"/>
                <w:numId w:val="39"/>
              </w:numPr>
              <w:spacing w:before="120" w:after="120"/>
              <w:rPr>
                <w:rFonts w:eastAsiaTheme="minorEastAsia"/>
                <w:lang w:val="en-US" w:eastAsia="zh-CN"/>
              </w:rPr>
            </w:pPr>
            <w:r w:rsidRPr="00FD51BD">
              <w:rPr>
                <w:rFonts w:eastAsiaTheme="minorEastAsia"/>
                <w:lang w:val="fr-FR" w:eastAsia="zh-CN"/>
              </w:rPr>
              <w:t>TA change due to UE autonomous adjustment</w:t>
            </w:r>
            <w:r w:rsidRPr="00FD51BD">
              <w:rPr>
                <w:rFonts w:eastAsiaTheme="minorEastAsia"/>
                <w:lang w:val="en-US" w:eastAsia="zh-CN"/>
              </w:rPr>
              <w:t xml:space="preserve"> </w:t>
            </w:r>
          </w:p>
          <w:p w:rsidR="00444E5F" w:rsidRPr="00FD51BD" w:rsidRDefault="00444E5F" w:rsidP="00FD51BD">
            <w:pPr>
              <w:numPr>
                <w:ilvl w:val="1"/>
                <w:numId w:val="39"/>
              </w:numPr>
              <w:spacing w:before="120" w:after="120"/>
              <w:rPr>
                <w:rFonts w:eastAsiaTheme="minorEastAsia"/>
                <w:lang w:val="en-US" w:eastAsia="zh-CN"/>
              </w:rPr>
            </w:pPr>
            <w:r w:rsidRPr="00FD51BD">
              <w:rPr>
                <w:rFonts w:eastAsiaTheme="minorEastAsia"/>
                <w:lang w:val="en-US" w:eastAsia="zh-CN"/>
              </w:rPr>
              <w:t>UE behaviour:</w:t>
            </w:r>
          </w:p>
          <w:p w:rsidR="00444E5F" w:rsidRPr="00FD51BD" w:rsidRDefault="00444E5F" w:rsidP="00FD51BD">
            <w:pPr>
              <w:numPr>
                <w:ilvl w:val="2"/>
                <w:numId w:val="39"/>
              </w:numPr>
              <w:spacing w:before="120" w:after="120"/>
              <w:rPr>
                <w:rFonts w:eastAsiaTheme="minorEastAsia"/>
                <w:lang w:val="en-US" w:eastAsia="zh-CN"/>
              </w:rPr>
            </w:pPr>
            <w:r w:rsidRPr="00FD51BD">
              <w:rPr>
                <w:rFonts w:eastAsiaTheme="minorEastAsia"/>
                <w:lang w:val="en-US" w:eastAsia="zh-CN"/>
              </w:rPr>
              <w:t>Option 1</w:t>
            </w:r>
          </w:p>
          <w:p w:rsidR="00444E5F" w:rsidRPr="00FD51BD" w:rsidRDefault="00444E5F" w:rsidP="00FD51BD">
            <w:pPr>
              <w:numPr>
                <w:ilvl w:val="3"/>
                <w:numId w:val="39"/>
              </w:numPr>
              <w:spacing w:before="120" w:after="120"/>
              <w:rPr>
                <w:rFonts w:eastAsiaTheme="minorEastAsia"/>
                <w:lang w:val="en-US" w:eastAsia="zh-CN"/>
              </w:rPr>
            </w:pPr>
            <w:r w:rsidRPr="00FD51BD">
              <w:rPr>
                <w:rFonts w:eastAsiaTheme="minorEastAsia"/>
                <w:lang w:val="en-US" w:eastAsia="zh-CN"/>
              </w:rPr>
              <w:t>UE shall continue UE Rx-Tx time difference measurement and UE Rx-Tx time difference measurement requirements shall apply</w:t>
            </w:r>
          </w:p>
          <w:p w:rsidR="00444E5F" w:rsidRPr="00FD51BD" w:rsidRDefault="00444E5F" w:rsidP="00FD51BD">
            <w:pPr>
              <w:numPr>
                <w:ilvl w:val="2"/>
                <w:numId w:val="39"/>
              </w:numPr>
              <w:spacing w:before="120" w:after="120"/>
              <w:rPr>
                <w:rFonts w:eastAsiaTheme="minorEastAsia"/>
                <w:lang w:val="en-US" w:eastAsia="zh-CN"/>
              </w:rPr>
            </w:pPr>
            <w:r w:rsidRPr="00FD51BD">
              <w:rPr>
                <w:rFonts w:eastAsiaTheme="minorEastAsia"/>
                <w:lang w:val="en-US" w:eastAsia="zh-CN"/>
              </w:rPr>
              <w:t>Option 2</w:t>
            </w:r>
          </w:p>
          <w:p w:rsidR="00FD51BD" w:rsidRPr="00FD51BD" w:rsidRDefault="00444E5F" w:rsidP="00FD51BD">
            <w:pPr>
              <w:numPr>
                <w:ilvl w:val="3"/>
                <w:numId w:val="39"/>
              </w:numPr>
              <w:spacing w:before="120" w:after="120"/>
              <w:rPr>
                <w:rFonts w:eastAsiaTheme="minorEastAsia"/>
                <w:lang w:val="en-US" w:eastAsia="zh-CN"/>
              </w:rPr>
            </w:pPr>
            <w:r w:rsidRPr="00FD51BD">
              <w:rPr>
                <w:rFonts w:eastAsiaTheme="minorEastAsia"/>
                <w:lang w:val="en-US" w:eastAsia="zh-CN"/>
              </w:rPr>
              <w:t>The UE shall discard the UE Rx-Tx time difference measurement if the uplink transmission timing (autonomous) changes during the UE Rx-Tx measurement period</w:t>
            </w:r>
          </w:p>
        </w:tc>
      </w:tr>
    </w:tbl>
    <w:p w:rsidR="00FD51BD" w:rsidRDefault="00FD51BD" w:rsidP="00FD51BD">
      <w:pPr>
        <w:spacing w:before="120" w:after="120"/>
        <w:rPr>
          <w:rFonts w:eastAsiaTheme="minorEastAsia"/>
          <w:lang w:eastAsia="zh-CN"/>
        </w:rPr>
      </w:pPr>
      <w:r>
        <w:rPr>
          <w:rFonts w:eastAsiaTheme="minorEastAsia"/>
          <w:lang w:eastAsia="zh-CN"/>
        </w:rPr>
        <w:t xml:space="preserve">The same UE behaviour should be defined for both cases of TA change, i.e. due to TA command and due to </w:t>
      </w:r>
      <w:r>
        <w:rPr>
          <w:rFonts w:eastAsiaTheme="minorEastAsia"/>
          <w:lang w:val="en-US" w:eastAsia="zh-CN"/>
        </w:rPr>
        <w:t>UE autonomous adjustment</w:t>
      </w:r>
      <w:r>
        <w:rPr>
          <w:rFonts w:eastAsiaTheme="minorEastAsia"/>
          <w:lang w:eastAsia="zh-CN"/>
        </w:rPr>
        <w:t xml:space="preserve">. The amount of autonomous TA adjustment can be up to several Ts, and although it is smaller compared to gNB triggered TA change, it is large enough from positioning perspective, thus will impact the measurement accuracy. </w:t>
      </w:r>
    </w:p>
    <w:tbl>
      <w:tblPr>
        <w:tblStyle w:val="af4"/>
        <w:tblW w:w="0" w:type="auto"/>
        <w:tblLook w:val="04A0" w:firstRow="1" w:lastRow="0" w:firstColumn="1" w:lastColumn="0" w:noHBand="0" w:noVBand="1"/>
      </w:tblPr>
      <w:tblGrid>
        <w:gridCol w:w="9621"/>
      </w:tblGrid>
      <w:tr w:rsidR="00FD51BD" w:rsidTr="00FD51BD">
        <w:tc>
          <w:tcPr>
            <w:tcW w:w="9621" w:type="dxa"/>
          </w:tcPr>
          <w:p w:rsidR="00444E5F" w:rsidRPr="00FD51BD" w:rsidRDefault="00444E5F" w:rsidP="00FD51BD">
            <w:pPr>
              <w:numPr>
                <w:ilvl w:val="0"/>
                <w:numId w:val="40"/>
              </w:numPr>
              <w:spacing w:before="120" w:after="120"/>
              <w:rPr>
                <w:rFonts w:eastAsiaTheme="minorEastAsia"/>
                <w:lang w:val="en-US" w:eastAsia="zh-CN"/>
              </w:rPr>
            </w:pPr>
            <w:r w:rsidRPr="00FD51BD">
              <w:rPr>
                <w:rFonts w:eastAsiaTheme="minorEastAsia"/>
                <w:lang w:val="fr-FR" w:eastAsia="zh-CN"/>
              </w:rPr>
              <w:t>TA change due to NTA_offset change</w:t>
            </w:r>
            <w:r w:rsidRPr="00FD51BD">
              <w:rPr>
                <w:rFonts w:eastAsiaTheme="minorEastAsia"/>
                <w:lang w:val="en-US" w:eastAsia="zh-CN"/>
              </w:rPr>
              <w:t xml:space="preserve"> </w:t>
            </w:r>
          </w:p>
          <w:p w:rsidR="00444E5F" w:rsidRPr="00FD51BD" w:rsidRDefault="00444E5F" w:rsidP="00FD51BD">
            <w:pPr>
              <w:numPr>
                <w:ilvl w:val="1"/>
                <w:numId w:val="40"/>
              </w:numPr>
              <w:spacing w:before="120" w:after="120"/>
              <w:rPr>
                <w:rFonts w:eastAsiaTheme="minorEastAsia"/>
                <w:lang w:val="en-US" w:eastAsia="zh-CN"/>
              </w:rPr>
            </w:pPr>
            <w:r w:rsidRPr="00FD51BD">
              <w:rPr>
                <w:rFonts w:eastAsiaTheme="minorEastAsia"/>
                <w:lang w:val="en-US" w:eastAsia="zh-CN"/>
              </w:rPr>
              <w:t>Option 1</w:t>
            </w:r>
          </w:p>
          <w:p w:rsidR="00444E5F" w:rsidRPr="00FD51BD" w:rsidRDefault="00444E5F" w:rsidP="00FD51BD">
            <w:pPr>
              <w:numPr>
                <w:ilvl w:val="2"/>
                <w:numId w:val="40"/>
              </w:numPr>
              <w:spacing w:before="120" w:after="120"/>
              <w:rPr>
                <w:rFonts w:eastAsiaTheme="minorEastAsia"/>
                <w:lang w:val="en-US" w:eastAsia="zh-CN"/>
              </w:rPr>
            </w:pPr>
            <w:r w:rsidRPr="00FD51BD">
              <w:rPr>
                <w:rFonts w:eastAsiaTheme="minorEastAsia"/>
                <w:lang w:val="en-US" w:eastAsia="zh-CN"/>
              </w:rPr>
              <w:t>No need to clarify UE Rx-Tx measurement requirements in case of NTA_offset change and the current accuracy requirements apply</w:t>
            </w:r>
          </w:p>
          <w:p w:rsidR="00444E5F" w:rsidRPr="00FD51BD" w:rsidRDefault="00444E5F" w:rsidP="00FD51BD">
            <w:pPr>
              <w:numPr>
                <w:ilvl w:val="1"/>
                <w:numId w:val="40"/>
              </w:numPr>
              <w:spacing w:before="120" w:after="120"/>
              <w:rPr>
                <w:rFonts w:eastAsiaTheme="minorEastAsia"/>
                <w:lang w:val="en-US" w:eastAsia="zh-CN"/>
              </w:rPr>
            </w:pPr>
            <w:r w:rsidRPr="00FD51BD">
              <w:rPr>
                <w:rFonts w:eastAsiaTheme="minorEastAsia"/>
                <w:lang w:val="en-US" w:eastAsia="zh-CN"/>
              </w:rPr>
              <w:t>Option 2</w:t>
            </w:r>
          </w:p>
          <w:p w:rsidR="00444E5F" w:rsidRPr="00FD51BD" w:rsidRDefault="00444E5F" w:rsidP="00FD51BD">
            <w:pPr>
              <w:numPr>
                <w:ilvl w:val="2"/>
                <w:numId w:val="40"/>
              </w:numPr>
              <w:spacing w:before="120" w:after="120"/>
              <w:rPr>
                <w:rFonts w:eastAsiaTheme="minorEastAsia"/>
                <w:lang w:val="en-US" w:eastAsia="zh-CN"/>
              </w:rPr>
            </w:pPr>
            <w:r w:rsidRPr="00FD51BD">
              <w:rPr>
                <w:rFonts w:eastAsiaTheme="minorEastAsia"/>
                <w:lang w:val="en-US" w:eastAsia="zh-CN"/>
              </w:rPr>
              <w:t>No need to clarify UE Rx-Tx measurement requirements in case of NTA_offset change, provided the current accuracy requirements do not apply</w:t>
            </w:r>
          </w:p>
          <w:p w:rsidR="00444E5F" w:rsidRPr="00FD51BD" w:rsidRDefault="00444E5F" w:rsidP="00FD51BD">
            <w:pPr>
              <w:numPr>
                <w:ilvl w:val="1"/>
                <w:numId w:val="40"/>
              </w:numPr>
              <w:spacing w:before="120" w:after="120"/>
              <w:rPr>
                <w:rFonts w:eastAsiaTheme="minorEastAsia"/>
                <w:lang w:val="en-US" w:eastAsia="zh-CN"/>
              </w:rPr>
            </w:pPr>
            <w:r w:rsidRPr="00FD51BD">
              <w:rPr>
                <w:rFonts w:eastAsiaTheme="minorEastAsia"/>
                <w:lang w:val="en-US" w:eastAsia="zh-CN"/>
              </w:rPr>
              <w:t>Option 3</w:t>
            </w:r>
          </w:p>
          <w:p w:rsidR="00FD51BD" w:rsidRPr="00FD51BD" w:rsidRDefault="00444E5F" w:rsidP="00FD51BD">
            <w:pPr>
              <w:numPr>
                <w:ilvl w:val="2"/>
                <w:numId w:val="40"/>
              </w:numPr>
              <w:spacing w:before="120" w:after="120"/>
              <w:rPr>
                <w:rFonts w:eastAsiaTheme="minorEastAsia"/>
                <w:lang w:val="en-US" w:eastAsia="zh-CN"/>
              </w:rPr>
            </w:pPr>
            <w:r w:rsidRPr="00FD51BD">
              <w:rPr>
                <w:rFonts w:eastAsiaTheme="minorEastAsia"/>
                <w:lang w:val="en-US" w:eastAsia="zh-CN"/>
              </w:rPr>
              <w:lastRenderedPageBreak/>
              <w:t>It is clarified in UE Rx-Tx measurement requirements (section 9.9.4 in TS 38.133) are not applicable if the NTA_offset changes during the measurement period</w:t>
            </w:r>
          </w:p>
        </w:tc>
      </w:tr>
    </w:tbl>
    <w:p w:rsidR="00FD51BD" w:rsidRDefault="00FD51BD" w:rsidP="00FD51BD">
      <w:pPr>
        <w:spacing w:before="120" w:after="120"/>
        <w:rPr>
          <w:rFonts w:eastAsiaTheme="minorEastAsia"/>
          <w:lang w:eastAsia="zh-CN"/>
        </w:rPr>
      </w:pPr>
      <w:r w:rsidRPr="00FD51BD">
        <w:rPr>
          <w:rFonts w:eastAsiaTheme="minorEastAsia"/>
          <w:lang w:val="fr-FR" w:eastAsia="zh-CN"/>
        </w:rPr>
        <w:lastRenderedPageBreak/>
        <w:t>NTA_offset</w:t>
      </w:r>
      <w:r>
        <w:rPr>
          <w:rFonts w:eastAsiaTheme="minorEastAsia"/>
          <w:lang w:val="fr-FR" w:eastAsia="zh-CN"/>
        </w:rPr>
        <w:t xml:space="preserve"> is depending on whether LTE and NR are sharing a carrier, so it is almost constant once the network is deployed. </w:t>
      </w:r>
      <w:r>
        <w:rPr>
          <w:rFonts w:eastAsiaTheme="minorEastAsia" w:hint="eastAsia"/>
          <w:lang w:eastAsia="zh-CN"/>
        </w:rPr>
        <w:t>T</w:t>
      </w:r>
      <w:r>
        <w:rPr>
          <w:rFonts w:eastAsiaTheme="minorEastAsia"/>
          <w:lang w:eastAsia="zh-CN"/>
        </w:rPr>
        <w:t xml:space="preserve">he effect of </w:t>
      </w:r>
      <w:r w:rsidRPr="00FD51BD">
        <w:rPr>
          <w:rFonts w:eastAsiaTheme="minorEastAsia"/>
          <w:lang w:val="fr-FR" w:eastAsia="zh-CN"/>
        </w:rPr>
        <w:t>NTA_offset change</w:t>
      </w:r>
      <w:r>
        <w:rPr>
          <w:rFonts w:eastAsiaTheme="minorEastAsia"/>
          <w:lang w:val="fr-FR" w:eastAsia="zh-CN"/>
        </w:rPr>
        <w:t xml:space="preserve"> is similar to TA change due to network commanded TA, although it is a much more rare case, so the same UE behaviour should apply, i.e. UE continues the measurement. </w:t>
      </w:r>
    </w:p>
    <w:p w:rsidR="00FD51BD" w:rsidRDefault="00B773EF" w:rsidP="00FD51BD">
      <w:pPr>
        <w:spacing w:before="120" w:after="120"/>
        <w:rPr>
          <w:rFonts w:eastAsiaTheme="minorEastAsia"/>
          <w:lang w:eastAsia="zh-CN"/>
        </w:rPr>
      </w:pPr>
      <w:r>
        <w:rPr>
          <w:rFonts w:eastAsiaTheme="minorEastAsia"/>
          <w:lang w:eastAsia="zh-CN"/>
        </w:rPr>
        <w:t>Based on above discussions on UE behaviour, as</w:t>
      </w:r>
      <w:r w:rsidR="00FD51BD">
        <w:rPr>
          <w:rFonts w:eastAsiaTheme="minorEastAsia"/>
          <w:lang w:eastAsia="zh-CN"/>
        </w:rPr>
        <w:t xml:space="preserve"> to the UE requirements, we suggest that the UE Rx-Tx measurement period is not impacted </w:t>
      </w:r>
      <w:r>
        <w:rPr>
          <w:rFonts w:eastAsiaTheme="minorEastAsia"/>
          <w:lang w:eastAsia="zh-CN"/>
        </w:rPr>
        <w:t>by</w:t>
      </w:r>
      <w:r w:rsidR="00FD51BD">
        <w:rPr>
          <w:rFonts w:eastAsiaTheme="minorEastAsia"/>
          <w:lang w:eastAsia="zh-CN"/>
        </w:rPr>
        <w:t xml:space="preserve"> UL timing change</w:t>
      </w:r>
      <w:r>
        <w:rPr>
          <w:rFonts w:eastAsiaTheme="minorEastAsia"/>
          <w:lang w:eastAsia="zh-CN"/>
        </w:rPr>
        <w:t xml:space="preserve"> (either due to network TA, UE autonomous time adjustment or </w:t>
      </w:r>
      <w:r w:rsidRPr="00FD51BD">
        <w:rPr>
          <w:rFonts w:eastAsiaTheme="minorEastAsia"/>
          <w:lang w:val="fr-FR" w:eastAsia="zh-CN"/>
        </w:rPr>
        <w:t>NTA_offset</w:t>
      </w:r>
      <w:r>
        <w:rPr>
          <w:rFonts w:eastAsiaTheme="minorEastAsia"/>
          <w:lang w:val="fr-FR" w:eastAsia="zh-CN"/>
        </w:rPr>
        <w:t xml:space="preserve"> change</w:t>
      </w:r>
      <w:r>
        <w:rPr>
          <w:rFonts w:eastAsiaTheme="minorEastAsia"/>
          <w:lang w:eastAsia="zh-CN"/>
        </w:rPr>
        <w:t>).</w:t>
      </w:r>
    </w:p>
    <w:p w:rsidR="00FD51BD" w:rsidRPr="00B773EF" w:rsidRDefault="00B773EF" w:rsidP="00FD51BD">
      <w:pPr>
        <w:spacing w:before="120" w:after="120"/>
        <w:rPr>
          <w:rFonts w:eastAsiaTheme="minorEastAsia"/>
          <w:b/>
          <w:lang w:eastAsia="zh-CN"/>
        </w:rPr>
      </w:pPr>
      <w:r w:rsidRPr="00B773EF">
        <w:rPr>
          <w:rFonts w:eastAsiaTheme="minorEastAsia" w:hint="eastAsia"/>
          <w:b/>
          <w:lang w:eastAsia="zh-CN"/>
        </w:rPr>
        <w:t>P</w:t>
      </w:r>
      <w:r w:rsidRPr="00B773EF">
        <w:rPr>
          <w:rFonts w:eastAsiaTheme="minorEastAsia"/>
          <w:b/>
          <w:lang w:eastAsia="zh-CN"/>
        </w:rPr>
        <w:t xml:space="preserve">roposal 3: UE Rx-Tx measurement period is not impacted by UL timing change (either due to network TA, UE autonomous time adjustment or </w:t>
      </w:r>
      <w:r w:rsidRPr="00B773EF">
        <w:rPr>
          <w:rFonts w:eastAsiaTheme="minorEastAsia"/>
          <w:b/>
          <w:lang w:val="fr-FR" w:eastAsia="zh-CN"/>
        </w:rPr>
        <w:t>NTA_offset change</w:t>
      </w:r>
      <w:r w:rsidRPr="00B773EF">
        <w:rPr>
          <w:rFonts w:eastAsiaTheme="minorEastAsia"/>
          <w:b/>
          <w:lang w:eastAsia="zh-CN"/>
        </w:rPr>
        <w:t>).</w:t>
      </w:r>
    </w:p>
    <w:p w:rsidR="000B52C4" w:rsidRPr="00963A5F" w:rsidRDefault="000B52C4" w:rsidP="00B773EF">
      <w:pPr>
        <w:pStyle w:val="2"/>
        <w:rPr>
          <w:lang w:eastAsia="zh-CN"/>
        </w:rPr>
      </w:pPr>
      <w:r>
        <w:rPr>
          <w:lang w:eastAsia="zh-CN"/>
        </w:rPr>
        <w:t>Measurement period with cell change</w:t>
      </w:r>
    </w:p>
    <w:tbl>
      <w:tblPr>
        <w:tblStyle w:val="af4"/>
        <w:tblW w:w="0" w:type="auto"/>
        <w:tblLook w:val="04A0" w:firstRow="1" w:lastRow="0" w:firstColumn="1" w:lastColumn="0" w:noHBand="0" w:noVBand="1"/>
      </w:tblPr>
      <w:tblGrid>
        <w:gridCol w:w="9621"/>
      </w:tblGrid>
      <w:tr w:rsidR="00B773EF" w:rsidTr="00B773EF">
        <w:tc>
          <w:tcPr>
            <w:tcW w:w="9621" w:type="dxa"/>
          </w:tcPr>
          <w:p w:rsidR="00444E5F" w:rsidRPr="00B773EF" w:rsidRDefault="00444E5F" w:rsidP="00B773EF">
            <w:pPr>
              <w:numPr>
                <w:ilvl w:val="0"/>
                <w:numId w:val="41"/>
              </w:numPr>
              <w:spacing w:before="120" w:after="120"/>
            </w:pPr>
            <w:r w:rsidRPr="00B773EF">
              <w:rPr>
                <w:lang w:val="fr-FR"/>
              </w:rPr>
              <w:t>cell change impacting SRS configuration</w:t>
            </w:r>
          </w:p>
          <w:p w:rsidR="00444E5F" w:rsidRPr="00B773EF" w:rsidRDefault="00444E5F" w:rsidP="00B773EF">
            <w:pPr>
              <w:numPr>
                <w:ilvl w:val="1"/>
                <w:numId w:val="41"/>
              </w:numPr>
              <w:spacing w:before="120" w:after="120"/>
            </w:pPr>
            <w:r w:rsidRPr="00B773EF">
              <w:t>Option 1</w:t>
            </w:r>
          </w:p>
          <w:p w:rsidR="00444E5F" w:rsidRPr="00B773EF" w:rsidRDefault="00444E5F" w:rsidP="00B773EF">
            <w:pPr>
              <w:numPr>
                <w:ilvl w:val="2"/>
                <w:numId w:val="41"/>
              </w:numPr>
              <w:spacing w:before="120" w:after="120"/>
            </w:pPr>
            <w:r w:rsidRPr="00B773EF">
              <w:t>No need to specify requirements for SRS reconfiguration.</w:t>
            </w:r>
          </w:p>
          <w:p w:rsidR="00444E5F" w:rsidRPr="00B773EF" w:rsidRDefault="00444E5F" w:rsidP="00B773EF">
            <w:pPr>
              <w:numPr>
                <w:ilvl w:val="1"/>
                <w:numId w:val="41"/>
              </w:numPr>
              <w:spacing w:before="120" w:after="120"/>
            </w:pPr>
            <w:r w:rsidRPr="00B773EF">
              <w:t>Option 2</w:t>
            </w:r>
          </w:p>
          <w:p w:rsidR="00444E5F" w:rsidRPr="00B773EF" w:rsidRDefault="00444E5F" w:rsidP="00B773EF">
            <w:pPr>
              <w:numPr>
                <w:ilvl w:val="2"/>
                <w:numId w:val="41"/>
              </w:numPr>
              <w:spacing w:before="120" w:after="120"/>
            </w:pPr>
            <w:r w:rsidRPr="00B773EF">
              <w:t>If the serving cell (PCell, PSCell, or SCell) configured with the SRS for positioning changes during the measurement period, UE Rx-Tx measurement requirements do not apply</w:t>
            </w:r>
          </w:p>
          <w:p w:rsidR="00444E5F" w:rsidRPr="00B773EF" w:rsidRDefault="00444E5F" w:rsidP="00B773EF">
            <w:pPr>
              <w:numPr>
                <w:ilvl w:val="3"/>
                <w:numId w:val="41"/>
              </w:numPr>
              <w:spacing w:before="120" w:after="120"/>
            </w:pPr>
            <w:r w:rsidRPr="00B773EF">
              <w:t>What is the UE behaviour in this case?</w:t>
            </w:r>
          </w:p>
          <w:p w:rsidR="00444E5F" w:rsidRPr="00B773EF" w:rsidRDefault="00444E5F" w:rsidP="00B773EF">
            <w:pPr>
              <w:numPr>
                <w:ilvl w:val="1"/>
                <w:numId w:val="41"/>
              </w:numPr>
              <w:spacing w:before="120" w:after="120"/>
            </w:pPr>
            <w:r w:rsidRPr="00B773EF">
              <w:t>Option 3</w:t>
            </w:r>
          </w:p>
          <w:p w:rsidR="00444E5F" w:rsidRPr="00B773EF" w:rsidRDefault="00444E5F" w:rsidP="00B773EF">
            <w:pPr>
              <w:numPr>
                <w:ilvl w:val="2"/>
                <w:numId w:val="41"/>
              </w:numPr>
              <w:spacing w:before="120" w:after="120"/>
            </w:pPr>
            <w:r w:rsidRPr="00B773EF">
              <w:t xml:space="preserve">If the serving cell (PCell, PSCell, or SCell) configured with the SRS for the measurement, changes during the measurement period, UE Rx-Tx time difference measurement is restarted, after the SRS reconfiguration on the target cell is complete. </w:t>
            </w:r>
          </w:p>
          <w:p w:rsidR="00B773EF" w:rsidRPr="00B773EF" w:rsidRDefault="00444E5F" w:rsidP="000B52C4">
            <w:pPr>
              <w:numPr>
                <w:ilvl w:val="3"/>
                <w:numId w:val="41"/>
              </w:numPr>
              <w:spacing w:before="120" w:after="120"/>
            </w:pPr>
            <w:r w:rsidRPr="00B773EF">
              <w:t>In this case, the UE shall restart the UE Rx-Tx time difference measurement after the SRS reconfiguration on the target cell is complete.</w:t>
            </w:r>
          </w:p>
        </w:tc>
      </w:tr>
    </w:tbl>
    <w:p w:rsidR="00444E5F" w:rsidRDefault="00444E5F" w:rsidP="00444E5F">
      <w:pPr>
        <w:autoSpaceDE w:val="0"/>
        <w:autoSpaceDN w:val="0"/>
        <w:adjustRightInd w:val="0"/>
        <w:spacing w:before="120" w:after="120"/>
        <w:rPr>
          <w:rFonts w:eastAsia="宋体"/>
          <w:lang w:val="en-US" w:eastAsia="zh-CN"/>
        </w:rPr>
      </w:pPr>
      <w:r>
        <w:rPr>
          <w:rFonts w:eastAsia="宋体"/>
          <w:lang w:eastAsia="zh-CN"/>
        </w:rPr>
        <w:t xml:space="preserve">RAN4 has already agreed in [2] that in case of HO the UE Rx-Tx measurement will be restarted. In this sense, option 3 is preferred and can be considered as an extension of the agreement in [2], i.e. if any of the </w:t>
      </w:r>
      <w:r>
        <w:rPr>
          <w:rFonts w:eastAsia="宋体"/>
          <w:lang w:val="en-US" w:eastAsia="zh-CN"/>
        </w:rPr>
        <w:t>the serving cell (PCell, PSCell, or SCell) configured with the SRS for positioning changes during the measurement period, UE restarts the Rx-Tx measurement.</w:t>
      </w:r>
    </w:p>
    <w:p w:rsidR="00444E5F" w:rsidRDefault="00444E5F" w:rsidP="00444E5F">
      <w:pPr>
        <w:autoSpaceDE w:val="0"/>
        <w:autoSpaceDN w:val="0"/>
        <w:adjustRightInd w:val="0"/>
        <w:spacing w:before="120" w:after="120"/>
        <w:rPr>
          <w:rFonts w:eastAsia="宋体"/>
          <w:lang w:val="en-US" w:eastAsia="zh-CN"/>
        </w:rPr>
      </w:pPr>
      <w:r>
        <w:rPr>
          <w:rFonts w:eastAsia="宋体"/>
          <w:lang w:val="en-US" w:eastAsia="zh-CN"/>
        </w:rPr>
        <w:t>As to the requirements, the measurement period is restarted from the time point when UE completes the serving cell change, so it is effectively extended compared to case where UE continues the measurement.</w:t>
      </w:r>
    </w:p>
    <w:tbl>
      <w:tblPr>
        <w:tblStyle w:val="af4"/>
        <w:tblW w:w="0" w:type="auto"/>
        <w:tblLook w:val="04A0" w:firstRow="1" w:lastRow="0" w:firstColumn="1" w:lastColumn="0" w:noHBand="0" w:noVBand="1"/>
      </w:tblPr>
      <w:tblGrid>
        <w:gridCol w:w="9621"/>
      </w:tblGrid>
      <w:tr w:rsidR="00444E5F" w:rsidTr="00444E5F">
        <w:tc>
          <w:tcPr>
            <w:tcW w:w="9621" w:type="dxa"/>
          </w:tcPr>
          <w:p w:rsidR="00444E5F" w:rsidRPr="00444E5F" w:rsidRDefault="00444E5F" w:rsidP="00444E5F">
            <w:pPr>
              <w:numPr>
                <w:ilvl w:val="0"/>
                <w:numId w:val="42"/>
              </w:numPr>
              <w:spacing w:before="120" w:after="120"/>
            </w:pPr>
            <w:r w:rsidRPr="00444E5F">
              <w:rPr>
                <w:lang w:val="fr-FR"/>
              </w:rPr>
              <w:t>cell change not impacting SRS configuration</w:t>
            </w:r>
          </w:p>
          <w:p w:rsidR="00444E5F" w:rsidRPr="00444E5F" w:rsidRDefault="00444E5F" w:rsidP="00444E5F">
            <w:pPr>
              <w:numPr>
                <w:ilvl w:val="1"/>
                <w:numId w:val="42"/>
              </w:numPr>
              <w:spacing w:before="120" w:after="120"/>
            </w:pPr>
            <w:r w:rsidRPr="00444E5F">
              <w:t>Option 1</w:t>
            </w:r>
          </w:p>
          <w:p w:rsidR="00444E5F" w:rsidRPr="00444E5F" w:rsidRDefault="00444E5F" w:rsidP="00444E5F">
            <w:pPr>
              <w:numPr>
                <w:ilvl w:val="2"/>
                <w:numId w:val="42"/>
              </w:numPr>
              <w:spacing w:before="120" w:after="120"/>
            </w:pPr>
            <w:r w:rsidRPr="00444E5F">
              <w:t>if the serving cell (PSCell or SCell) changes while not configured with the SRS for positioning, the UE shall continue the on-going UE Rx-Tx time difference measurement</w:t>
            </w:r>
          </w:p>
          <w:p w:rsidR="00444E5F" w:rsidRPr="00444E5F" w:rsidRDefault="00444E5F" w:rsidP="00444E5F">
            <w:pPr>
              <w:numPr>
                <w:ilvl w:val="3"/>
                <w:numId w:val="42"/>
              </w:numPr>
              <w:spacing w:before="120" w:after="120"/>
            </w:pPr>
            <w:r w:rsidRPr="00444E5F">
              <w:t>the current measurement period applies</w:t>
            </w:r>
          </w:p>
          <w:p w:rsidR="00444E5F" w:rsidRPr="00444E5F" w:rsidRDefault="00444E5F" w:rsidP="00444E5F">
            <w:pPr>
              <w:numPr>
                <w:ilvl w:val="3"/>
                <w:numId w:val="42"/>
              </w:numPr>
              <w:spacing w:before="120" w:after="120"/>
            </w:pPr>
            <w:r w:rsidRPr="00444E5F">
              <w:t>accuracy requirements in clause 10.1.25 apply</w:t>
            </w:r>
          </w:p>
          <w:p w:rsidR="00444E5F" w:rsidRPr="00444E5F" w:rsidRDefault="00444E5F" w:rsidP="00444E5F">
            <w:pPr>
              <w:numPr>
                <w:ilvl w:val="1"/>
                <w:numId w:val="42"/>
              </w:numPr>
              <w:spacing w:before="120" w:after="120"/>
            </w:pPr>
            <w:r w:rsidRPr="00444E5F">
              <w:t>Option 2</w:t>
            </w:r>
          </w:p>
          <w:p w:rsidR="00444E5F" w:rsidRPr="00444E5F" w:rsidRDefault="00444E5F" w:rsidP="00444E5F">
            <w:pPr>
              <w:numPr>
                <w:ilvl w:val="2"/>
                <w:numId w:val="42"/>
              </w:numPr>
              <w:spacing w:before="120" w:after="120"/>
            </w:pPr>
            <w:r w:rsidRPr="00444E5F">
              <w:lastRenderedPageBreak/>
              <w:t>if the serving cell (PSCell or SCell) changes while not configured with the SRS for positioning, the UE shall continue the on-going UE Rx-Tx time difference measurement</w:t>
            </w:r>
          </w:p>
          <w:p w:rsidR="00444E5F" w:rsidRPr="00444E5F" w:rsidRDefault="00444E5F" w:rsidP="00444E5F">
            <w:pPr>
              <w:numPr>
                <w:ilvl w:val="3"/>
                <w:numId w:val="42"/>
              </w:numPr>
              <w:spacing w:before="120" w:after="120"/>
            </w:pPr>
            <w:r w:rsidRPr="00444E5F">
              <w:t>the current measurement period is extended</w:t>
            </w:r>
          </w:p>
          <w:p w:rsidR="00444E5F" w:rsidRDefault="00444E5F" w:rsidP="000B52C4">
            <w:pPr>
              <w:numPr>
                <w:ilvl w:val="3"/>
                <w:numId w:val="42"/>
              </w:numPr>
              <w:spacing w:before="120" w:after="120"/>
            </w:pPr>
            <w:r w:rsidRPr="00444E5F">
              <w:t>accuracy requirements in clause 10.1.25 apply</w:t>
            </w:r>
          </w:p>
        </w:tc>
      </w:tr>
    </w:tbl>
    <w:p w:rsidR="00444E5F" w:rsidRDefault="00444E5F" w:rsidP="00444E5F">
      <w:pPr>
        <w:autoSpaceDE w:val="0"/>
        <w:autoSpaceDN w:val="0"/>
        <w:adjustRightInd w:val="0"/>
        <w:spacing w:before="120" w:after="120"/>
        <w:rPr>
          <w:rFonts w:eastAsia="宋体"/>
          <w:lang w:val="en-US" w:eastAsia="zh-CN"/>
        </w:rPr>
      </w:pPr>
      <w:r>
        <w:rPr>
          <w:rFonts w:eastAsia="宋体"/>
          <w:lang w:val="en-US" w:eastAsia="zh-CN"/>
        </w:rPr>
        <w:lastRenderedPageBreak/>
        <w:t xml:space="preserve">Technically, we agree that if the cell change does not impact SRS configuration, UE should continue the Rx-Tx measurement, and the current measurement period and accuracy requirements should apply. </w:t>
      </w:r>
    </w:p>
    <w:p w:rsidR="00444E5F" w:rsidRDefault="00444E5F" w:rsidP="00444E5F">
      <w:pPr>
        <w:autoSpaceDE w:val="0"/>
        <w:autoSpaceDN w:val="0"/>
        <w:adjustRightInd w:val="0"/>
        <w:spacing w:before="120" w:after="120"/>
        <w:rPr>
          <w:rFonts w:eastAsia="宋体"/>
          <w:lang w:val="en-US" w:eastAsia="zh-CN"/>
        </w:rPr>
      </w:pPr>
      <w:r>
        <w:rPr>
          <w:rFonts w:eastAsia="宋体"/>
          <w:lang w:val="en-US" w:eastAsia="zh-CN"/>
        </w:rPr>
        <w:t>However, the need to capture anything here is questionable, e.g. cell change (like SCell addition or release) is an RRC reconfiguration, and there are many RRC reconfigurations, e.g. to update MO list, to update CSI reporting periodicity, and they are irrelevant to Rx-Tx measurement (same as the cell change scenario addressed in option 1). It is obvious that the Rx-Tx measurement will be continued in these cases, and there is no need to capture them in the specification.</w:t>
      </w:r>
    </w:p>
    <w:p w:rsidR="00444E5F" w:rsidRDefault="00444E5F" w:rsidP="00444E5F">
      <w:pPr>
        <w:autoSpaceDE w:val="0"/>
        <w:autoSpaceDN w:val="0"/>
        <w:adjustRightInd w:val="0"/>
        <w:spacing w:before="120" w:after="120"/>
        <w:rPr>
          <w:rFonts w:eastAsia="宋体"/>
          <w:b/>
          <w:lang w:val="en-US" w:eastAsia="zh-CN"/>
        </w:rPr>
      </w:pPr>
      <w:r>
        <w:rPr>
          <w:rFonts w:eastAsia="宋体"/>
          <w:b/>
          <w:lang w:val="en-US" w:eastAsia="zh-CN"/>
        </w:rPr>
        <w:t>Proposal 4a: If</w:t>
      </w:r>
      <w:r>
        <w:rPr>
          <w:rFonts w:eastAsia="宋体"/>
          <w:b/>
          <w:lang w:eastAsia="zh-CN"/>
        </w:rPr>
        <w:t xml:space="preserve"> any of the </w:t>
      </w:r>
      <w:r>
        <w:rPr>
          <w:rFonts w:eastAsia="宋体"/>
          <w:b/>
          <w:lang w:val="en-US" w:eastAsia="zh-CN"/>
        </w:rPr>
        <w:t>the serving cell (PCell, PSCell, or SCell) configured with the SRS for positioning changes during the measurement period, UE restarts the Rx-Tx measurement.</w:t>
      </w:r>
    </w:p>
    <w:p w:rsidR="00444E5F" w:rsidRDefault="00444E5F" w:rsidP="00444E5F">
      <w:pPr>
        <w:autoSpaceDE w:val="0"/>
        <w:autoSpaceDN w:val="0"/>
        <w:adjustRightInd w:val="0"/>
        <w:spacing w:before="120" w:after="120"/>
        <w:rPr>
          <w:rFonts w:eastAsia="宋体"/>
          <w:b/>
          <w:lang w:eastAsia="zh-CN"/>
        </w:rPr>
      </w:pPr>
      <w:r>
        <w:rPr>
          <w:rFonts w:eastAsia="宋体"/>
          <w:b/>
          <w:lang w:val="en-US" w:eastAsia="zh-CN"/>
        </w:rPr>
        <w:t>Proposal 4b: If</w:t>
      </w:r>
      <w:r>
        <w:rPr>
          <w:rFonts w:eastAsia="宋体"/>
          <w:b/>
          <w:lang w:eastAsia="zh-CN"/>
        </w:rPr>
        <w:t xml:space="preserve"> any of the </w:t>
      </w:r>
      <w:r>
        <w:rPr>
          <w:rFonts w:eastAsia="宋体"/>
          <w:b/>
          <w:lang w:val="en-US" w:eastAsia="zh-CN"/>
        </w:rPr>
        <w:t xml:space="preserve">the serving cell (PCell, PSCell, or SCell) NOT configured with the SRS for positioning changes during the measurement period, UE continues the Rx-Tx measurement. </w:t>
      </w:r>
      <w:r w:rsidR="00B334E8">
        <w:rPr>
          <w:rFonts w:eastAsia="宋体"/>
          <w:b/>
          <w:lang w:val="en-US" w:eastAsia="zh-CN"/>
        </w:rPr>
        <w:t>No need to capture this in the spec.</w:t>
      </w:r>
      <w:r>
        <w:rPr>
          <w:rFonts w:eastAsia="宋体"/>
          <w:b/>
          <w:lang w:val="en-US" w:eastAsia="zh-CN"/>
        </w:rPr>
        <w:t xml:space="preserve"> </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w:t>
      </w:r>
      <w:r w:rsidR="00A37BA2">
        <w:rPr>
          <w:rFonts w:eastAsia="宋体"/>
          <w:lang w:eastAsia="zh-CN"/>
        </w:rPr>
        <w:t xml:space="preserve">remaining issues </w:t>
      </w:r>
      <w:r w:rsidR="00822B63">
        <w:rPr>
          <w:rFonts w:eastAsia="宋体"/>
          <w:lang w:eastAsia="zh-CN"/>
        </w:rPr>
        <w:t xml:space="preserve">in </w:t>
      </w:r>
      <w:r w:rsidR="00B334E8">
        <w:rPr>
          <w:rFonts w:eastAsia="宋体"/>
          <w:lang w:eastAsia="zh-CN"/>
        </w:rPr>
        <w:t>Ue Rx-Tx</w:t>
      </w:r>
      <w:r w:rsidR="00822B63">
        <w:rPr>
          <w:rFonts w:eastAsia="宋体"/>
          <w:lang w:eastAsia="zh-CN"/>
        </w:rPr>
        <w:t xml:space="preserve"> measurement requirements</w:t>
      </w:r>
      <w:r w:rsidR="00210C78">
        <w:rPr>
          <w:rFonts w:eastAsia="宋体"/>
          <w:lang w:eastAsia="zh-CN"/>
        </w:rPr>
        <w:t>.</w:t>
      </w:r>
    </w:p>
    <w:p w:rsidR="00B334E8" w:rsidRDefault="00B334E8" w:rsidP="00B334E8">
      <w:pPr>
        <w:autoSpaceDE w:val="0"/>
        <w:autoSpaceDN w:val="0"/>
        <w:adjustRightInd w:val="0"/>
        <w:spacing w:before="120" w:after="120"/>
        <w:rPr>
          <w:rFonts w:eastAsia="宋体"/>
          <w:lang w:eastAsia="zh-CN"/>
        </w:rPr>
      </w:pPr>
      <w:r>
        <w:rPr>
          <w:rFonts w:eastAsia="宋体"/>
          <w:b/>
          <w:lang w:eastAsia="zh-CN"/>
        </w:rPr>
        <w:t xml:space="preserve">Proposal 1: </w:t>
      </w:r>
      <w:r>
        <w:rPr>
          <w:rFonts w:eastAsia="宋体"/>
          <w:b/>
          <w:lang w:val="en-US" w:eastAsia="zh-CN"/>
        </w:rPr>
        <w:t>SRS periodicity or SRS dropping is not accounted in UE Rx-Tx time difference measurement period.</w:t>
      </w:r>
    </w:p>
    <w:p w:rsidR="00B334E8" w:rsidRDefault="00B334E8" w:rsidP="00B334E8">
      <w:pPr>
        <w:spacing w:before="120" w:after="120"/>
        <w:rPr>
          <w:rFonts w:eastAsiaTheme="minorEastAsia"/>
          <w:b/>
          <w:lang w:eastAsia="zh-CN"/>
        </w:rPr>
      </w:pPr>
      <w:r>
        <w:rPr>
          <w:rFonts w:eastAsiaTheme="minorEastAsia"/>
          <w:b/>
          <w:lang w:eastAsia="zh-CN"/>
        </w:rPr>
        <w:t xml:space="preserve">Proposal 2: </w:t>
      </w:r>
      <w:r>
        <w:rPr>
          <w:rFonts w:eastAsia="宋体"/>
          <w:b/>
          <w:lang w:val="en-US" w:eastAsia="zh-CN"/>
        </w:rPr>
        <w:t xml:space="preserve">The measurement requirements for UE Rx-Tx timing difference is applicable provided that any SRS transmission is within [-X, +X]ms of at least one DL PRS resource of each TRP, where X = 80 or 160ms. </w:t>
      </w:r>
    </w:p>
    <w:p w:rsidR="00B334E8" w:rsidRPr="00B773EF" w:rsidRDefault="00B334E8" w:rsidP="00B334E8">
      <w:pPr>
        <w:spacing w:before="120" w:after="120"/>
        <w:rPr>
          <w:rFonts w:eastAsiaTheme="minorEastAsia"/>
          <w:b/>
          <w:lang w:eastAsia="zh-CN"/>
        </w:rPr>
      </w:pPr>
      <w:r w:rsidRPr="00B773EF">
        <w:rPr>
          <w:rFonts w:eastAsiaTheme="minorEastAsia" w:hint="eastAsia"/>
          <w:b/>
          <w:lang w:eastAsia="zh-CN"/>
        </w:rPr>
        <w:t>P</w:t>
      </w:r>
      <w:r w:rsidRPr="00B773EF">
        <w:rPr>
          <w:rFonts w:eastAsiaTheme="minorEastAsia"/>
          <w:b/>
          <w:lang w:eastAsia="zh-CN"/>
        </w:rPr>
        <w:t xml:space="preserve">roposal 3: UE Rx-Tx measurement period is not impacted by UL timing change (either due to network TA, UE autonomous time adjustment or </w:t>
      </w:r>
      <w:r w:rsidRPr="00B773EF">
        <w:rPr>
          <w:rFonts w:eastAsiaTheme="minorEastAsia"/>
          <w:b/>
          <w:lang w:val="fr-FR" w:eastAsia="zh-CN"/>
        </w:rPr>
        <w:t>NTA_offset change</w:t>
      </w:r>
      <w:r w:rsidRPr="00B773EF">
        <w:rPr>
          <w:rFonts w:eastAsiaTheme="minorEastAsia"/>
          <w:b/>
          <w:lang w:eastAsia="zh-CN"/>
        </w:rPr>
        <w:t>).</w:t>
      </w:r>
    </w:p>
    <w:p w:rsidR="00B334E8" w:rsidRDefault="00B334E8" w:rsidP="00B334E8">
      <w:pPr>
        <w:autoSpaceDE w:val="0"/>
        <w:autoSpaceDN w:val="0"/>
        <w:adjustRightInd w:val="0"/>
        <w:spacing w:before="120" w:after="120"/>
        <w:rPr>
          <w:rFonts w:eastAsia="宋体"/>
          <w:b/>
          <w:lang w:val="en-US" w:eastAsia="zh-CN"/>
        </w:rPr>
      </w:pPr>
      <w:r>
        <w:rPr>
          <w:rFonts w:eastAsia="宋体"/>
          <w:b/>
          <w:lang w:val="en-US" w:eastAsia="zh-CN"/>
        </w:rPr>
        <w:t>Proposal 4a: If</w:t>
      </w:r>
      <w:r>
        <w:rPr>
          <w:rFonts w:eastAsia="宋体"/>
          <w:b/>
          <w:lang w:eastAsia="zh-CN"/>
        </w:rPr>
        <w:t xml:space="preserve"> any of the </w:t>
      </w:r>
      <w:r>
        <w:rPr>
          <w:rFonts w:eastAsia="宋体"/>
          <w:b/>
          <w:lang w:val="en-US" w:eastAsia="zh-CN"/>
        </w:rPr>
        <w:t>the serving cell (PCell, PSCell, or SCell) configured with the SRS for positioning changes during the measurement period, UE restarts the Rx-Tx measurement.</w:t>
      </w:r>
    </w:p>
    <w:p w:rsidR="00822B63" w:rsidRPr="00B334E8" w:rsidRDefault="00B334E8" w:rsidP="00B334E8">
      <w:pPr>
        <w:autoSpaceDE w:val="0"/>
        <w:autoSpaceDN w:val="0"/>
        <w:adjustRightInd w:val="0"/>
        <w:spacing w:before="120" w:after="120"/>
        <w:rPr>
          <w:rFonts w:eastAsia="宋体"/>
          <w:b/>
          <w:lang w:eastAsia="zh-CN"/>
        </w:rPr>
      </w:pPr>
      <w:r>
        <w:rPr>
          <w:rFonts w:eastAsia="宋体"/>
          <w:b/>
          <w:lang w:val="en-US" w:eastAsia="zh-CN"/>
        </w:rPr>
        <w:t>Proposal 4b: If</w:t>
      </w:r>
      <w:r>
        <w:rPr>
          <w:rFonts w:eastAsia="宋体"/>
          <w:b/>
          <w:lang w:eastAsia="zh-CN"/>
        </w:rPr>
        <w:t xml:space="preserve"> any of the </w:t>
      </w:r>
      <w:r>
        <w:rPr>
          <w:rFonts w:eastAsia="宋体"/>
          <w:b/>
          <w:lang w:val="en-US" w:eastAsia="zh-CN"/>
        </w:rPr>
        <w:t xml:space="preserve">the serving cell (PCell, PSCell, or SCell) NOT configured with the SRS for positioning changes during the measurement period, UE continues the Rx-Tx measurement. No need to capture this in the spec. </w:t>
      </w:r>
    </w:p>
    <w:p w:rsidR="00C0754F" w:rsidRDefault="00C0754F" w:rsidP="00C0754F">
      <w:pPr>
        <w:pStyle w:val="1"/>
        <w:jc w:val="both"/>
        <w:rPr>
          <w:lang w:val="en-US"/>
        </w:rPr>
      </w:pPr>
      <w:r w:rsidRPr="00C0754F">
        <w:rPr>
          <w:lang w:val="en-US"/>
        </w:rPr>
        <w:t>Reference</w:t>
      </w:r>
    </w:p>
    <w:p w:rsidR="00980473" w:rsidRPr="00A37BA2" w:rsidRDefault="00A37BA2" w:rsidP="008359D2">
      <w:pPr>
        <w:numPr>
          <w:ilvl w:val="0"/>
          <w:numId w:val="5"/>
        </w:numPr>
        <w:spacing w:before="120" w:after="120"/>
        <w:rPr>
          <w:rFonts w:eastAsia="宋体"/>
          <w:lang w:eastAsia="zh-CN"/>
        </w:rPr>
      </w:pPr>
      <w:r>
        <w:rPr>
          <w:rFonts w:eastAsia="宋体"/>
          <w:lang w:eastAsia="zh-CN"/>
        </w:rPr>
        <w:t>R4-210</w:t>
      </w:r>
      <w:r w:rsidR="008359D2">
        <w:rPr>
          <w:rFonts w:eastAsia="宋体"/>
          <w:lang w:eastAsia="zh-CN"/>
        </w:rPr>
        <w:t>4076</w:t>
      </w:r>
      <w:r w:rsidR="00D57591">
        <w:rPr>
          <w:rFonts w:eastAsia="宋体"/>
          <w:lang w:eastAsia="zh-CN"/>
        </w:rPr>
        <w:t xml:space="preserve">, </w:t>
      </w:r>
      <w:r w:rsidR="008359D2" w:rsidRPr="008359D2">
        <w:rPr>
          <w:rFonts w:eastAsia="宋体"/>
          <w:lang w:eastAsia="zh-CN"/>
        </w:rPr>
        <w:t>WF on UE PRS measurement requirements</w:t>
      </w:r>
      <w:r w:rsidR="007E7A02">
        <w:rPr>
          <w:rFonts w:eastAsia="宋体"/>
          <w:lang w:eastAsia="zh-CN"/>
        </w:rPr>
        <w:t xml:space="preserve">, </w:t>
      </w:r>
      <w:r w:rsidR="008359D2" w:rsidRPr="008359D2">
        <w:rPr>
          <w:rFonts w:eastAsia="宋体"/>
          <w:lang w:eastAsia="zh-CN"/>
        </w:rPr>
        <w:t>Huawei, HiSilicon</w:t>
      </w:r>
    </w:p>
    <w:sectPr w:rsidR="00980473" w:rsidRPr="00A37BA2"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4243" w:rsidRDefault="00B84243">
      <w:pPr>
        <w:spacing w:before="120" w:after="120"/>
      </w:pPr>
      <w:r>
        <w:separator/>
      </w:r>
    </w:p>
  </w:endnote>
  <w:endnote w:type="continuationSeparator" w:id="0">
    <w:p w:rsidR="00B84243" w:rsidRDefault="00B84243">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4E5F" w:rsidRDefault="00444E5F">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444E5F" w:rsidRDefault="00444E5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4E5F" w:rsidRDefault="00444E5F">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355413">
      <w:rPr>
        <w:rStyle w:val="af1"/>
      </w:rPr>
      <w:t>5</w:t>
    </w:r>
    <w:r>
      <w:rPr>
        <w:rStyle w:val="af1"/>
      </w:rPr>
      <w:fldChar w:fldCharType="end"/>
    </w:r>
  </w:p>
  <w:p w:rsidR="00444E5F" w:rsidRDefault="00444E5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4243" w:rsidRDefault="00B84243">
      <w:pPr>
        <w:spacing w:before="120" w:after="120"/>
      </w:pPr>
      <w:r>
        <w:separator/>
      </w:r>
    </w:p>
  </w:footnote>
  <w:footnote w:type="continuationSeparator" w:id="0">
    <w:p w:rsidR="00B84243" w:rsidRDefault="00B84243">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F74C6"/>
    <w:multiLevelType w:val="hybridMultilevel"/>
    <w:tmpl w:val="3E3E32C6"/>
    <w:lvl w:ilvl="0" w:tplc="553C6A8E">
      <w:start w:val="1"/>
      <w:numFmt w:val="bullet"/>
      <w:lvlText w:val="•"/>
      <w:lvlJc w:val="left"/>
      <w:pPr>
        <w:tabs>
          <w:tab w:val="num" w:pos="360"/>
        </w:tabs>
        <w:ind w:left="360" w:hanging="360"/>
      </w:pPr>
      <w:rPr>
        <w:rFonts w:ascii="Arial" w:hAnsi="Arial" w:hint="default"/>
      </w:rPr>
    </w:lvl>
    <w:lvl w:ilvl="1" w:tplc="24E24BC2">
      <w:numFmt w:val="bullet"/>
      <w:lvlText w:val="–"/>
      <w:lvlJc w:val="left"/>
      <w:pPr>
        <w:tabs>
          <w:tab w:val="num" w:pos="1080"/>
        </w:tabs>
        <w:ind w:left="1080" w:hanging="360"/>
      </w:pPr>
      <w:rPr>
        <w:rFonts w:ascii="Arial" w:hAnsi="Arial" w:hint="default"/>
      </w:rPr>
    </w:lvl>
    <w:lvl w:ilvl="2" w:tplc="ABF6823A" w:tentative="1">
      <w:start w:val="1"/>
      <w:numFmt w:val="bullet"/>
      <w:lvlText w:val="•"/>
      <w:lvlJc w:val="left"/>
      <w:pPr>
        <w:tabs>
          <w:tab w:val="num" w:pos="1800"/>
        </w:tabs>
        <w:ind w:left="1800" w:hanging="360"/>
      </w:pPr>
      <w:rPr>
        <w:rFonts w:ascii="Arial" w:hAnsi="Arial" w:hint="default"/>
      </w:rPr>
    </w:lvl>
    <w:lvl w:ilvl="3" w:tplc="5970867C" w:tentative="1">
      <w:start w:val="1"/>
      <w:numFmt w:val="bullet"/>
      <w:lvlText w:val="•"/>
      <w:lvlJc w:val="left"/>
      <w:pPr>
        <w:tabs>
          <w:tab w:val="num" w:pos="2520"/>
        </w:tabs>
        <w:ind w:left="2520" w:hanging="360"/>
      </w:pPr>
      <w:rPr>
        <w:rFonts w:ascii="Arial" w:hAnsi="Arial" w:hint="default"/>
      </w:rPr>
    </w:lvl>
    <w:lvl w:ilvl="4" w:tplc="EA9C24EC" w:tentative="1">
      <w:start w:val="1"/>
      <w:numFmt w:val="bullet"/>
      <w:lvlText w:val="•"/>
      <w:lvlJc w:val="left"/>
      <w:pPr>
        <w:tabs>
          <w:tab w:val="num" w:pos="3240"/>
        </w:tabs>
        <w:ind w:left="3240" w:hanging="360"/>
      </w:pPr>
      <w:rPr>
        <w:rFonts w:ascii="Arial" w:hAnsi="Arial" w:hint="default"/>
      </w:rPr>
    </w:lvl>
    <w:lvl w:ilvl="5" w:tplc="B792E8C2" w:tentative="1">
      <w:start w:val="1"/>
      <w:numFmt w:val="bullet"/>
      <w:lvlText w:val="•"/>
      <w:lvlJc w:val="left"/>
      <w:pPr>
        <w:tabs>
          <w:tab w:val="num" w:pos="3960"/>
        </w:tabs>
        <w:ind w:left="3960" w:hanging="360"/>
      </w:pPr>
      <w:rPr>
        <w:rFonts w:ascii="Arial" w:hAnsi="Arial" w:hint="default"/>
      </w:rPr>
    </w:lvl>
    <w:lvl w:ilvl="6" w:tplc="04661B3A" w:tentative="1">
      <w:start w:val="1"/>
      <w:numFmt w:val="bullet"/>
      <w:lvlText w:val="•"/>
      <w:lvlJc w:val="left"/>
      <w:pPr>
        <w:tabs>
          <w:tab w:val="num" w:pos="4680"/>
        </w:tabs>
        <w:ind w:left="4680" w:hanging="360"/>
      </w:pPr>
      <w:rPr>
        <w:rFonts w:ascii="Arial" w:hAnsi="Arial" w:hint="default"/>
      </w:rPr>
    </w:lvl>
    <w:lvl w:ilvl="7" w:tplc="E2C07436" w:tentative="1">
      <w:start w:val="1"/>
      <w:numFmt w:val="bullet"/>
      <w:lvlText w:val="•"/>
      <w:lvlJc w:val="left"/>
      <w:pPr>
        <w:tabs>
          <w:tab w:val="num" w:pos="5400"/>
        </w:tabs>
        <w:ind w:left="5400" w:hanging="360"/>
      </w:pPr>
      <w:rPr>
        <w:rFonts w:ascii="Arial" w:hAnsi="Arial" w:hint="default"/>
      </w:rPr>
    </w:lvl>
    <w:lvl w:ilvl="8" w:tplc="B8BC8C70"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56933D8"/>
    <w:multiLevelType w:val="hybridMultilevel"/>
    <w:tmpl w:val="28989320"/>
    <w:lvl w:ilvl="0" w:tplc="BC30024C">
      <w:start w:val="1"/>
      <w:numFmt w:val="bullet"/>
      <w:lvlText w:val="•"/>
      <w:lvlJc w:val="left"/>
      <w:pPr>
        <w:tabs>
          <w:tab w:val="num" w:pos="720"/>
        </w:tabs>
        <w:ind w:left="720" w:hanging="360"/>
      </w:pPr>
      <w:rPr>
        <w:rFonts w:ascii="Arial" w:hAnsi="Arial" w:hint="default"/>
      </w:rPr>
    </w:lvl>
    <w:lvl w:ilvl="1" w:tplc="696E3638">
      <w:numFmt w:val="bullet"/>
      <w:lvlText w:val="–"/>
      <w:lvlJc w:val="left"/>
      <w:pPr>
        <w:tabs>
          <w:tab w:val="num" w:pos="1440"/>
        </w:tabs>
        <w:ind w:left="1440" w:hanging="360"/>
      </w:pPr>
      <w:rPr>
        <w:rFonts w:ascii="Arial" w:hAnsi="Arial" w:hint="default"/>
      </w:rPr>
    </w:lvl>
    <w:lvl w:ilvl="2" w:tplc="94E6EADC">
      <w:numFmt w:val="bullet"/>
      <w:lvlText w:val="•"/>
      <w:lvlJc w:val="left"/>
      <w:pPr>
        <w:tabs>
          <w:tab w:val="num" w:pos="2160"/>
        </w:tabs>
        <w:ind w:left="2160" w:hanging="360"/>
      </w:pPr>
      <w:rPr>
        <w:rFonts w:ascii="Arial" w:hAnsi="Arial" w:hint="default"/>
      </w:rPr>
    </w:lvl>
    <w:lvl w:ilvl="3" w:tplc="A4A4C420" w:tentative="1">
      <w:start w:val="1"/>
      <w:numFmt w:val="bullet"/>
      <w:lvlText w:val="•"/>
      <w:lvlJc w:val="left"/>
      <w:pPr>
        <w:tabs>
          <w:tab w:val="num" w:pos="2880"/>
        </w:tabs>
        <w:ind w:left="2880" w:hanging="360"/>
      </w:pPr>
      <w:rPr>
        <w:rFonts w:ascii="Arial" w:hAnsi="Arial" w:hint="default"/>
      </w:rPr>
    </w:lvl>
    <w:lvl w:ilvl="4" w:tplc="95B4C1D0" w:tentative="1">
      <w:start w:val="1"/>
      <w:numFmt w:val="bullet"/>
      <w:lvlText w:val="•"/>
      <w:lvlJc w:val="left"/>
      <w:pPr>
        <w:tabs>
          <w:tab w:val="num" w:pos="3600"/>
        </w:tabs>
        <w:ind w:left="3600" w:hanging="360"/>
      </w:pPr>
      <w:rPr>
        <w:rFonts w:ascii="Arial" w:hAnsi="Arial" w:hint="default"/>
      </w:rPr>
    </w:lvl>
    <w:lvl w:ilvl="5" w:tplc="BECE831A" w:tentative="1">
      <w:start w:val="1"/>
      <w:numFmt w:val="bullet"/>
      <w:lvlText w:val="•"/>
      <w:lvlJc w:val="left"/>
      <w:pPr>
        <w:tabs>
          <w:tab w:val="num" w:pos="4320"/>
        </w:tabs>
        <w:ind w:left="4320" w:hanging="360"/>
      </w:pPr>
      <w:rPr>
        <w:rFonts w:ascii="Arial" w:hAnsi="Arial" w:hint="default"/>
      </w:rPr>
    </w:lvl>
    <w:lvl w:ilvl="6" w:tplc="1060807E" w:tentative="1">
      <w:start w:val="1"/>
      <w:numFmt w:val="bullet"/>
      <w:lvlText w:val="•"/>
      <w:lvlJc w:val="left"/>
      <w:pPr>
        <w:tabs>
          <w:tab w:val="num" w:pos="5040"/>
        </w:tabs>
        <w:ind w:left="5040" w:hanging="360"/>
      </w:pPr>
      <w:rPr>
        <w:rFonts w:ascii="Arial" w:hAnsi="Arial" w:hint="default"/>
      </w:rPr>
    </w:lvl>
    <w:lvl w:ilvl="7" w:tplc="E4F8C49E" w:tentative="1">
      <w:start w:val="1"/>
      <w:numFmt w:val="bullet"/>
      <w:lvlText w:val="•"/>
      <w:lvlJc w:val="left"/>
      <w:pPr>
        <w:tabs>
          <w:tab w:val="num" w:pos="5760"/>
        </w:tabs>
        <w:ind w:left="5760" w:hanging="360"/>
      </w:pPr>
      <w:rPr>
        <w:rFonts w:ascii="Arial" w:hAnsi="Arial" w:hint="default"/>
      </w:rPr>
    </w:lvl>
    <w:lvl w:ilvl="8" w:tplc="6D34E1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6F68AE"/>
    <w:multiLevelType w:val="hybridMultilevel"/>
    <w:tmpl w:val="552E43BE"/>
    <w:lvl w:ilvl="0" w:tplc="61242AC4">
      <w:start w:val="1"/>
      <w:numFmt w:val="bullet"/>
      <w:lvlText w:val="─"/>
      <w:lvlJc w:val="left"/>
      <w:pPr>
        <w:tabs>
          <w:tab w:val="num" w:pos="720"/>
        </w:tabs>
        <w:ind w:left="720" w:hanging="360"/>
      </w:pPr>
      <w:rPr>
        <w:rFonts w:ascii="Calibri" w:hAnsi="Calibri" w:hint="default"/>
      </w:rPr>
    </w:lvl>
    <w:lvl w:ilvl="1" w:tplc="ED22BDC6">
      <w:start w:val="1"/>
      <w:numFmt w:val="bullet"/>
      <w:lvlText w:val="─"/>
      <w:lvlJc w:val="left"/>
      <w:pPr>
        <w:tabs>
          <w:tab w:val="num" w:pos="1440"/>
        </w:tabs>
        <w:ind w:left="1440" w:hanging="360"/>
      </w:pPr>
      <w:rPr>
        <w:rFonts w:ascii="Calibri" w:hAnsi="Calibri" w:hint="default"/>
      </w:rPr>
    </w:lvl>
    <w:lvl w:ilvl="2" w:tplc="F3C08E6C" w:tentative="1">
      <w:start w:val="1"/>
      <w:numFmt w:val="bullet"/>
      <w:lvlText w:val="─"/>
      <w:lvlJc w:val="left"/>
      <w:pPr>
        <w:tabs>
          <w:tab w:val="num" w:pos="2160"/>
        </w:tabs>
        <w:ind w:left="2160" w:hanging="360"/>
      </w:pPr>
      <w:rPr>
        <w:rFonts w:ascii="Calibri" w:hAnsi="Calibri" w:hint="default"/>
      </w:rPr>
    </w:lvl>
    <w:lvl w:ilvl="3" w:tplc="686445C0" w:tentative="1">
      <w:start w:val="1"/>
      <w:numFmt w:val="bullet"/>
      <w:lvlText w:val="─"/>
      <w:lvlJc w:val="left"/>
      <w:pPr>
        <w:tabs>
          <w:tab w:val="num" w:pos="2880"/>
        </w:tabs>
        <w:ind w:left="2880" w:hanging="360"/>
      </w:pPr>
      <w:rPr>
        <w:rFonts w:ascii="Calibri" w:hAnsi="Calibri" w:hint="default"/>
      </w:rPr>
    </w:lvl>
    <w:lvl w:ilvl="4" w:tplc="6CBAB258" w:tentative="1">
      <w:start w:val="1"/>
      <w:numFmt w:val="bullet"/>
      <w:lvlText w:val="─"/>
      <w:lvlJc w:val="left"/>
      <w:pPr>
        <w:tabs>
          <w:tab w:val="num" w:pos="3600"/>
        </w:tabs>
        <w:ind w:left="3600" w:hanging="360"/>
      </w:pPr>
      <w:rPr>
        <w:rFonts w:ascii="Calibri" w:hAnsi="Calibri" w:hint="default"/>
      </w:rPr>
    </w:lvl>
    <w:lvl w:ilvl="5" w:tplc="71C62E3C" w:tentative="1">
      <w:start w:val="1"/>
      <w:numFmt w:val="bullet"/>
      <w:lvlText w:val="─"/>
      <w:lvlJc w:val="left"/>
      <w:pPr>
        <w:tabs>
          <w:tab w:val="num" w:pos="4320"/>
        </w:tabs>
        <w:ind w:left="4320" w:hanging="360"/>
      </w:pPr>
      <w:rPr>
        <w:rFonts w:ascii="Calibri" w:hAnsi="Calibri" w:hint="default"/>
      </w:rPr>
    </w:lvl>
    <w:lvl w:ilvl="6" w:tplc="2E746C6E" w:tentative="1">
      <w:start w:val="1"/>
      <w:numFmt w:val="bullet"/>
      <w:lvlText w:val="─"/>
      <w:lvlJc w:val="left"/>
      <w:pPr>
        <w:tabs>
          <w:tab w:val="num" w:pos="5040"/>
        </w:tabs>
        <w:ind w:left="5040" w:hanging="360"/>
      </w:pPr>
      <w:rPr>
        <w:rFonts w:ascii="Calibri" w:hAnsi="Calibri" w:hint="default"/>
      </w:rPr>
    </w:lvl>
    <w:lvl w:ilvl="7" w:tplc="4084821A" w:tentative="1">
      <w:start w:val="1"/>
      <w:numFmt w:val="bullet"/>
      <w:lvlText w:val="─"/>
      <w:lvlJc w:val="left"/>
      <w:pPr>
        <w:tabs>
          <w:tab w:val="num" w:pos="5760"/>
        </w:tabs>
        <w:ind w:left="5760" w:hanging="360"/>
      </w:pPr>
      <w:rPr>
        <w:rFonts w:ascii="Calibri" w:hAnsi="Calibri" w:hint="default"/>
      </w:rPr>
    </w:lvl>
    <w:lvl w:ilvl="8" w:tplc="C30E67CA" w:tentative="1">
      <w:start w:val="1"/>
      <w:numFmt w:val="bullet"/>
      <w:lvlText w:val="─"/>
      <w:lvlJc w:val="left"/>
      <w:pPr>
        <w:tabs>
          <w:tab w:val="num" w:pos="6480"/>
        </w:tabs>
        <w:ind w:left="6480" w:hanging="360"/>
      </w:pPr>
      <w:rPr>
        <w:rFonts w:ascii="Calibri" w:hAnsi="Calibri" w:hint="default"/>
      </w:rPr>
    </w:lvl>
  </w:abstractNum>
  <w:abstractNum w:abstractNumId="3" w15:restartNumberingAfterBreak="0">
    <w:nsid w:val="1A641C1B"/>
    <w:multiLevelType w:val="hybridMultilevel"/>
    <w:tmpl w:val="E92E4036"/>
    <w:lvl w:ilvl="0" w:tplc="AADC3AC8">
      <w:start w:val="1"/>
      <w:numFmt w:val="bullet"/>
      <w:lvlText w:val="•"/>
      <w:lvlJc w:val="left"/>
      <w:pPr>
        <w:tabs>
          <w:tab w:val="num" w:pos="720"/>
        </w:tabs>
        <w:ind w:left="720" w:hanging="360"/>
      </w:pPr>
      <w:rPr>
        <w:rFonts w:ascii="Arial" w:hAnsi="Arial" w:hint="default"/>
      </w:rPr>
    </w:lvl>
    <w:lvl w:ilvl="1" w:tplc="9E3C0060">
      <w:numFmt w:val="bullet"/>
      <w:lvlText w:val="–"/>
      <w:lvlJc w:val="left"/>
      <w:pPr>
        <w:tabs>
          <w:tab w:val="num" w:pos="1440"/>
        </w:tabs>
        <w:ind w:left="1440" w:hanging="360"/>
      </w:pPr>
      <w:rPr>
        <w:rFonts w:ascii="Arial" w:hAnsi="Arial" w:hint="default"/>
      </w:rPr>
    </w:lvl>
    <w:lvl w:ilvl="2" w:tplc="D452D250" w:tentative="1">
      <w:start w:val="1"/>
      <w:numFmt w:val="bullet"/>
      <w:lvlText w:val="•"/>
      <w:lvlJc w:val="left"/>
      <w:pPr>
        <w:tabs>
          <w:tab w:val="num" w:pos="2160"/>
        </w:tabs>
        <w:ind w:left="2160" w:hanging="360"/>
      </w:pPr>
      <w:rPr>
        <w:rFonts w:ascii="Arial" w:hAnsi="Arial" w:hint="default"/>
      </w:rPr>
    </w:lvl>
    <w:lvl w:ilvl="3" w:tplc="C5246FFC" w:tentative="1">
      <w:start w:val="1"/>
      <w:numFmt w:val="bullet"/>
      <w:lvlText w:val="•"/>
      <w:lvlJc w:val="left"/>
      <w:pPr>
        <w:tabs>
          <w:tab w:val="num" w:pos="2880"/>
        </w:tabs>
        <w:ind w:left="2880" w:hanging="360"/>
      </w:pPr>
      <w:rPr>
        <w:rFonts w:ascii="Arial" w:hAnsi="Arial" w:hint="default"/>
      </w:rPr>
    </w:lvl>
    <w:lvl w:ilvl="4" w:tplc="98CC557A" w:tentative="1">
      <w:start w:val="1"/>
      <w:numFmt w:val="bullet"/>
      <w:lvlText w:val="•"/>
      <w:lvlJc w:val="left"/>
      <w:pPr>
        <w:tabs>
          <w:tab w:val="num" w:pos="3600"/>
        </w:tabs>
        <w:ind w:left="3600" w:hanging="360"/>
      </w:pPr>
      <w:rPr>
        <w:rFonts w:ascii="Arial" w:hAnsi="Arial" w:hint="default"/>
      </w:rPr>
    </w:lvl>
    <w:lvl w:ilvl="5" w:tplc="92B22BCA" w:tentative="1">
      <w:start w:val="1"/>
      <w:numFmt w:val="bullet"/>
      <w:lvlText w:val="•"/>
      <w:lvlJc w:val="left"/>
      <w:pPr>
        <w:tabs>
          <w:tab w:val="num" w:pos="4320"/>
        </w:tabs>
        <w:ind w:left="4320" w:hanging="360"/>
      </w:pPr>
      <w:rPr>
        <w:rFonts w:ascii="Arial" w:hAnsi="Arial" w:hint="default"/>
      </w:rPr>
    </w:lvl>
    <w:lvl w:ilvl="6" w:tplc="3FE81A20" w:tentative="1">
      <w:start w:val="1"/>
      <w:numFmt w:val="bullet"/>
      <w:lvlText w:val="•"/>
      <w:lvlJc w:val="left"/>
      <w:pPr>
        <w:tabs>
          <w:tab w:val="num" w:pos="5040"/>
        </w:tabs>
        <w:ind w:left="5040" w:hanging="360"/>
      </w:pPr>
      <w:rPr>
        <w:rFonts w:ascii="Arial" w:hAnsi="Arial" w:hint="default"/>
      </w:rPr>
    </w:lvl>
    <w:lvl w:ilvl="7" w:tplc="98744700" w:tentative="1">
      <w:start w:val="1"/>
      <w:numFmt w:val="bullet"/>
      <w:lvlText w:val="•"/>
      <w:lvlJc w:val="left"/>
      <w:pPr>
        <w:tabs>
          <w:tab w:val="num" w:pos="5760"/>
        </w:tabs>
        <w:ind w:left="5760" w:hanging="360"/>
      </w:pPr>
      <w:rPr>
        <w:rFonts w:ascii="Arial" w:hAnsi="Arial" w:hint="default"/>
      </w:rPr>
    </w:lvl>
    <w:lvl w:ilvl="8" w:tplc="2A520B3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892230"/>
    <w:multiLevelType w:val="hybridMultilevel"/>
    <w:tmpl w:val="6CE85F1E"/>
    <w:lvl w:ilvl="0" w:tplc="58E23522">
      <w:start w:val="1"/>
      <w:numFmt w:val="bullet"/>
      <w:lvlText w:val="•"/>
      <w:lvlJc w:val="left"/>
      <w:pPr>
        <w:tabs>
          <w:tab w:val="num" w:pos="720"/>
        </w:tabs>
        <w:ind w:left="720" w:hanging="360"/>
      </w:pPr>
      <w:rPr>
        <w:rFonts w:ascii="Arial" w:hAnsi="Arial" w:hint="default"/>
      </w:rPr>
    </w:lvl>
    <w:lvl w:ilvl="1" w:tplc="BDB2CBAC">
      <w:numFmt w:val="bullet"/>
      <w:lvlText w:val="–"/>
      <w:lvlJc w:val="left"/>
      <w:pPr>
        <w:tabs>
          <w:tab w:val="num" w:pos="1440"/>
        </w:tabs>
        <w:ind w:left="1440" w:hanging="360"/>
      </w:pPr>
      <w:rPr>
        <w:rFonts w:ascii="Arial" w:hAnsi="Arial" w:hint="default"/>
      </w:rPr>
    </w:lvl>
    <w:lvl w:ilvl="2" w:tplc="25C0BFEC">
      <w:numFmt w:val="bullet"/>
      <w:lvlText w:val="•"/>
      <w:lvlJc w:val="left"/>
      <w:pPr>
        <w:tabs>
          <w:tab w:val="num" w:pos="2160"/>
        </w:tabs>
        <w:ind w:left="2160" w:hanging="360"/>
      </w:pPr>
      <w:rPr>
        <w:rFonts w:ascii="Arial" w:hAnsi="Arial" w:hint="default"/>
      </w:rPr>
    </w:lvl>
    <w:lvl w:ilvl="3" w:tplc="5C00F4DC">
      <w:numFmt w:val="bullet"/>
      <w:lvlText w:val="–"/>
      <w:lvlJc w:val="left"/>
      <w:pPr>
        <w:tabs>
          <w:tab w:val="num" w:pos="2880"/>
        </w:tabs>
        <w:ind w:left="2880" w:hanging="360"/>
      </w:pPr>
      <w:rPr>
        <w:rFonts w:ascii="Arial" w:hAnsi="Arial" w:hint="default"/>
      </w:rPr>
    </w:lvl>
    <w:lvl w:ilvl="4" w:tplc="556A54CE" w:tentative="1">
      <w:start w:val="1"/>
      <w:numFmt w:val="bullet"/>
      <w:lvlText w:val="•"/>
      <w:lvlJc w:val="left"/>
      <w:pPr>
        <w:tabs>
          <w:tab w:val="num" w:pos="3600"/>
        </w:tabs>
        <w:ind w:left="3600" w:hanging="360"/>
      </w:pPr>
      <w:rPr>
        <w:rFonts w:ascii="Arial" w:hAnsi="Arial" w:hint="default"/>
      </w:rPr>
    </w:lvl>
    <w:lvl w:ilvl="5" w:tplc="B7720A46" w:tentative="1">
      <w:start w:val="1"/>
      <w:numFmt w:val="bullet"/>
      <w:lvlText w:val="•"/>
      <w:lvlJc w:val="left"/>
      <w:pPr>
        <w:tabs>
          <w:tab w:val="num" w:pos="4320"/>
        </w:tabs>
        <w:ind w:left="4320" w:hanging="360"/>
      </w:pPr>
      <w:rPr>
        <w:rFonts w:ascii="Arial" w:hAnsi="Arial" w:hint="default"/>
      </w:rPr>
    </w:lvl>
    <w:lvl w:ilvl="6" w:tplc="6504C9FA" w:tentative="1">
      <w:start w:val="1"/>
      <w:numFmt w:val="bullet"/>
      <w:lvlText w:val="•"/>
      <w:lvlJc w:val="left"/>
      <w:pPr>
        <w:tabs>
          <w:tab w:val="num" w:pos="5040"/>
        </w:tabs>
        <w:ind w:left="5040" w:hanging="360"/>
      </w:pPr>
      <w:rPr>
        <w:rFonts w:ascii="Arial" w:hAnsi="Arial" w:hint="default"/>
      </w:rPr>
    </w:lvl>
    <w:lvl w:ilvl="7" w:tplc="F7FE5842" w:tentative="1">
      <w:start w:val="1"/>
      <w:numFmt w:val="bullet"/>
      <w:lvlText w:val="•"/>
      <w:lvlJc w:val="left"/>
      <w:pPr>
        <w:tabs>
          <w:tab w:val="num" w:pos="5760"/>
        </w:tabs>
        <w:ind w:left="5760" w:hanging="360"/>
      </w:pPr>
      <w:rPr>
        <w:rFonts w:ascii="Arial" w:hAnsi="Arial" w:hint="default"/>
      </w:rPr>
    </w:lvl>
    <w:lvl w:ilvl="8" w:tplc="51DAA55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840767"/>
    <w:multiLevelType w:val="hybridMultilevel"/>
    <w:tmpl w:val="52C81E36"/>
    <w:lvl w:ilvl="0" w:tplc="4C34E14C">
      <w:start w:val="1"/>
      <w:numFmt w:val="bullet"/>
      <w:lvlText w:val="•"/>
      <w:lvlJc w:val="left"/>
      <w:pPr>
        <w:tabs>
          <w:tab w:val="num" w:pos="720"/>
        </w:tabs>
        <w:ind w:left="720" w:hanging="360"/>
      </w:pPr>
      <w:rPr>
        <w:rFonts w:ascii="Arial" w:hAnsi="Arial" w:hint="default"/>
      </w:rPr>
    </w:lvl>
    <w:lvl w:ilvl="1" w:tplc="D7BCE3AE">
      <w:numFmt w:val="bullet"/>
      <w:lvlText w:val="–"/>
      <w:lvlJc w:val="left"/>
      <w:pPr>
        <w:tabs>
          <w:tab w:val="num" w:pos="1440"/>
        </w:tabs>
        <w:ind w:left="1440" w:hanging="360"/>
      </w:pPr>
      <w:rPr>
        <w:rFonts w:ascii="Arial" w:hAnsi="Arial" w:hint="default"/>
      </w:rPr>
    </w:lvl>
    <w:lvl w:ilvl="2" w:tplc="169CB69C">
      <w:numFmt w:val="bullet"/>
      <w:lvlText w:val="•"/>
      <w:lvlJc w:val="left"/>
      <w:pPr>
        <w:tabs>
          <w:tab w:val="num" w:pos="2160"/>
        </w:tabs>
        <w:ind w:left="2160" w:hanging="360"/>
      </w:pPr>
      <w:rPr>
        <w:rFonts w:ascii="Arial" w:hAnsi="Arial" w:hint="default"/>
      </w:rPr>
    </w:lvl>
    <w:lvl w:ilvl="3" w:tplc="28709810">
      <w:numFmt w:val="bullet"/>
      <w:lvlText w:val="–"/>
      <w:lvlJc w:val="left"/>
      <w:pPr>
        <w:tabs>
          <w:tab w:val="num" w:pos="2880"/>
        </w:tabs>
        <w:ind w:left="2880" w:hanging="360"/>
      </w:pPr>
      <w:rPr>
        <w:rFonts w:ascii="Arial" w:hAnsi="Arial" w:hint="default"/>
      </w:rPr>
    </w:lvl>
    <w:lvl w:ilvl="4" w:tplc="1FC08A20" w:tentative="1">
      <w:start w:val="1"/>
      <w:numFmt w:val="bullet"/>
      <w:lvlText w:val="•"/>
      <w:lvlJc w:val="left"/>
      <w:pPr>
        <w:tabs>
          <w:tab w:val="num" w:pos="3600"/>
        </w:tabs>
        <w:ind w:left="3600" w:hanging="360"/>
      </w:pPr>
      <w:rPr>
        <w:rFonts w:ascii="Arial" w:hAnsi="Arial" w:hint="default"/>
      </w:rPr>
    </w:lvl>
    <w:lvl w:ilvl="5" w:tplc="4E882210" w:tentative="1">
      <w:start w:val="1"/>
      <w:numFmt w:val="bullet"/>
      <w:lvlText w:val="•"/>
      <w:lvlJc w:val="left"/>
      <w:pPr>
        <w:tabs>
          <w:tab w:val="num" w:pos="4320"/>
        </w:tabs>
        <w:ind w:left="4320" w:hanging="360"/>
      </w:pPr>
      <w:rPr>
        <w:rFonts w:ascii="Arial" w:hAnsi="Arial" w:hint="default"/>
      </w:rPr>
    </w:lvl>
    <w:lvl w:ilvl="6" w:tplc="0F049164" w:tentative="1">
      <w:start w:val="1"/>
      <w:numFmt w:val="bullet"/>
      <w:lvlText w:val="•"/>
      <w:lvlJc w:val="left"/>
      <w:pPr>
        <w:tabs>
          <w:tab w:val="num" w:pos="5040"/>
        </w:tabs>
        <w:ind w:left="5040" w:hanging="360"/>
      </w:pPr>
      <w:rPr>
        <w:rFonts w:ascii="Arial" w:hAnsi="Arial" w:hint="default"/>
      </w:rPr>
    </w:lvl>
    <w:lvl w:ilvl="7" w:tplc="0CCE7690" w:tentative="1">
      <w:start w:val="1"/>
      <w:numFmt w:val="bullet"/>
      <w:lvlText w:val="•"/>
      <w:lvlJc w:val="left"/>
      <w:pPr>
        <w:tabs>
          <w:tab w:val="num" w:pos="5760"/>
        </w:tabs>
        <w:ind w:left="5760" w:hanging="360"/>
      </w:pPr>
      <w:rPr>
        <w:rFonts w:ascii="Arial" w:hAnsi="Arial" w:hint="default"/>
      </w:rPr>
    </w:lvl>
    <w:lvl w:ilvl="8" w:tplc="F77608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AE614C"/>
    <w:multiLevelType w:val="hybridMultilevel"/>
    <w:tmpl w:val="FD9853C8"/>
    <w:lvl w:ilvl="0" w:tplc="8CE83C2C">
      <w:start w:val="1"/>
      <w:numFmt w:val="bullet"/>
      <w:lvlText w:val="•"/>
      <w:lvlJc w:val="left"/>
      <w:pPr>
        <w:tabs>
          <w:tab w:val="num" w:pos="720"/>
        </w:tabs>
        <w:ind w:left="720" w:hanging="360"/>
      </w:pPr>
      <w:rPr>
        <w:rFonts w:ascii="Arial" w:hAnsi="Arial" w:hint="default"/>
      </w:rPr>
    </w:lvl>
    <w:lvl w:ilvl="1" w:tplc="C2222F8E">
      <w:numFmt w:val="bullet"/>
      <w:lvlText w:val="–"/>
      <w:lvlJc w:val="left"/>
      <w:pPr>
        <w:tabs>
          <w:tab w:val="num" w:pos="1440"/>
        </w:tabs>
        <w:ind w:left="1440" w:hanging="360"/>
      </w:pPr>
      <w:rPr>
        <w:rFonts w:ascii="Arial" w:hAnsi="Arial" w:hint="default"/>
      </w:rPr>
    </w:lvl>
    <w:lvl w:ilvl="2" w:tplc="BE10EF26" w:tentative="1">
      <w:start w:val="1"/>
      <w:numFmt w:val="bullet"/>
      <w:lvlText w:val="•"/>
      <w:lvlJc w:val="left"/>
      <w:pPr>
        <w:tabs>
          <w:tab w:val="num" w:pos="2160"/>
        </w:tabs>
        <w:ind w:left="2160" w:hanging="360"/>
      </w:pPr>
      <w:rPr>
        <w:rFonts w:ascii="Arial" w:hAnsi="Arial" w:hint="default"/>
      </w:rPr>
    </w:lvl>
    <w:lvl w:ilvl="3" w:tplc="44943A7A" w:tentative="1">
      <w:start w:val="1"/>
      <w:numFmt w:val="bullet"/>
      <w:lvlText w:val="•"/>
      <w:lvlJc w:val="left"/>
      <w:pPr>
        <w:tabs>
          <w:tab w:val="num" w:pos="2880"/>
        </w:tabs>
        <w:ind w:left="2880" w:hanging="360"/>
      </w:pPr>
      <w:rPr>
        <w:rFonts w:ascii="Arial" w:hAnsi="Arial" w:hint="default"/>
      </w:rPr>
    </w:lvl>
    <w:lvl w:ilvl="4" w:tplc="BE1248E8" w:tentative="1">
      <w:start w:val="1"/>
      <w:numFmt w:val="bullet"/>
      <w:lvlText w:val="•"/>
      <w:lvlJc w:val="left"/>
      <w:pPr>
        <w:tabs>
          <w:tab w:val="num" w:pos="3600"/>
        </w:tabs>
        <w:ind w:left="3600" w:hanging="360"/>
      </w:pPr>
      <w:rPr>
        <w:rFonts w:ascii="Arial" w:hAnsi="Arial" w:hint="default"/>
      </w:rPr>
    </w:lvl>
    <w:lvl w:ilvl="5" w:tplc="6C8836D8" w:tentative="1">
      <w:start w:val="1"/>
      <w:numFmt w:val="bullet"/>
      <w:lvlText w:val="•"/>
      <w:lvlJc w:val="left"/>
      <w:pPr>
        <w:tabs>
          <w:tab w:val="num" w:pos="4320"/>
        </w:tabs>
        <w:ind w:left="4320" w:hanging="360"/>
      </w:pPr>
      <w:rPr>
        <w:rFonts w:ascii="Arial" w:hAnsi="Arial" w:hint="default"/>
      </w:rPr>
    </w:lvl>
    <w:lvl w:ilvl="6" w:tplc="858CCC0C" w:tentative="1">
      <w:start w:val="1"/>
      <w:numFmt w:val="bullet"/>
      <w:lvlText w:val="•"/>
      <w:lvlJc w:val="left"/>
      <w:pPr>
        <w:tabs>
          <w:tab w:val="num" w:pos="5040"/>
        </w:tabs>
        <w:ind w:left="5040" w:hanging="360"/>
      </w:pPr>
      <w:rPr>
        <w:rFonts w:ascii="Arial" w:hAnsi="Arial" w:hint="default"/>
      </w:rPr>
    </w:lvl>
    <w:lvl w:ilvl="7" w:tplc="6D16797E" w:tentative="1">
      <w:start w:val="1"/>
      <w:numFmt w:val="bullet"/>
      <w:lvlText w:val="•"/>
      <w:lvlJc w:val="left"/>
      <w:pPr>
        <w:tabs>
          <w:tab w:val="num" w:pos="5760"/>
        </w:tabs>
        <w:ind w:left="5760" w:hanging="360"/>
      </w:pPr>
      <w:rPr>
        <w:rFonts w:ascii="Arial" w:hAnsi="Arial" w:hint="default"/>
      </w:rPr>
    </w:lvl>
    <w:lvl w:ilvl="8" w:tplc="4260DC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5447F"/>
    <w:multiLevelType w:val="hybridMultilevel"/>
    <w:tmpl w:val="16365F0E"/>
    <w:lvl w:ilvl="0" w:tplc="30186802">
      <w:start w:val="1"/>
      <w:numFmt w:val="bullet"/>
      <w:lvlText w:val="•"/>
      <w:lvlJc w:val="left"/>
      <w:pPr>
        <w:tabs>
          <w:tab w:val="num" w:pos="720"/>
        </w:tabs>
        <w:ind w:left="720" w:hanging="360"/>
      </w:pPr>
      <w:rPr>
        <w:rFonts w:ascii="Arial" w:hAnsi="Arial" w:hint="default"/>
      </w:rPr>
    </w:lvl>
    <w:lvl w:ilvl="1" w:tplc="A89E1FB8">
      <w:numFmt w:val="bullet"/>
      <w:lvlText w:val="–"/>
      <w:lvlJc w:val="left"/>
      <w:pPr>
        <w:tabs>
          <w:tab w:val="num" w:pos="1440"/>
        </w:tabs>
        <w:ind w:left="1440" w:hanging="360"/>
      </w:pPr>
      <w:rPr>
        <w:rFonts w:ascii="Arial" w:hAnsi="Arial" w:hint="default"/>
      </w:rPr>
    </w:lvl>
    <w:lvl w:ilvl="2" w:tplc="3B14C11E">
      <w:numFmt w:val="bullet"/>
      <w:lvlText w:val="•"/>
      <w:lvlJc w:val="left"/>
      <w:pPr>
        <w:tabs>
          <w:tab w:val="num" w:pos="2160"/>
        </w:tabs>
        <w:ind w:left="2160" w:hanging="360"/>
      </w:pPr>
      <w:rPr>
        <w:rFonts w:ascii="Arial" w:hAnsi="Arial" w:hint="default"/>
      </w:rPr>
    </w:lvl>
    <w:lvl w:ilvl="3" w:tplc="47DC1988">
      <w:numFmt w:val="bullet"/>
      <w:lvlText w:val="–"/>
      <w:lvlJc w:val="left"/>
      <w:pPr>
        <w:tabs>
          <w:tab w:val="num" w:pos="2880"/>
        </w:tabs>
        <w:ind w:left="2880" w:hanging="360"/>
      </w:pPr>
      <w:rPr>
        <w:rFonts w:ascii="Arial" w:hAnsi="Arial" w:hint="default"/>
      </w:rPr>
    </w:lvl>
    <w:lvl w:ilvl="4" w:tplc="E7484EEC" w:tentative="1">
      <w:start w:val="1"/>
      <w:numFmt w:val="bullet"/>
      <w:lvlText w:val="•"/>
      <w:lvlJc w:val="left"/>
      <w:pPr>
        <w:tabs>
          <w:tab w:val="num" w:pos="3600"/>
        </w:tabs>
        <w:ind w:left="3600" w:hanging="360"/>
      </w:pPr>
      <w:rPr>
        <w:rFonts w:ascii="Arial" w:hAnsi="Arial" w:hint="default"/>
      </w:rPr>
    </w:lvl>
    <w:lvl w:ilvl="5" w:tplc="2028FA8A" w:tentative="1">
      <w:start w:val="1"/>
      <w:numFmt w:val="bullet"/>
      <w:lvlText w:val="•"/>
      <w:lvlJc w:val="left"/>
      <w:pPr>
        <w:tabs>
          <w:tab w:val="num" w:pos="4320"/>
        </w:tabs>
        <w:ind w:left="4320" w:hanging="360"/>
      </w:pPr>
      <w:rPr>
        <w:rFonts w:ascii="Arial" w:hAnsi="Arial" w:hint="default"/>
      </w:rPr>
    </w:lvl>
    <w:lvl w:ilvl="6" w:tplc="22C2DD6E" w:tentative="1">
      <w:start w:val="1"/>
      <w:numFmt w:val="bullet"/>
      <w:lvlText w:val="•"/>
      <w:lvlJc w:val="left"/>
      <w:pPr>
        <w:tabs>
          <w:tab w:val="num" w:pos="5040"/>
        </w:tabs>
        <w:ind w:left="5040" w:hanging="360"/>
      </w:pPr>
      <w:rPr>
        <w:rFonts w:ascii="Arial" w:hAnsi="Arial" w:hint="default"/>
      </w:rPr>
    </w:lvl>
    <w:lvl w:ilvl="7" w:tplc="8068BA62" w:tentative="1">
      <w:start w:val="1"/>
      <w:numFmt w:val="bullet"/>
      <w:lvlText w:val="•"/>
      <w:lvlJc w:val="left"/>
      <w:pPr>
        <w:tabs>
          <w:tab w:val="num" w:pos="5760"/>
        </w:tabs>
        <w:ind w:left="5760" w:hanging="360"/>
      </w:pPr>
      <w:rPr>
        <w:rFonts w:ascii="Arial" w:hAnsi="Arial" w:hint="default"/>
      </w:rPr>
    </w:lvl>
    <w:lvl w:ilvl="8" w:tplc="D4D475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1D6DB9"/>
    <w:multiLevelType w:val="hybridMultilevel"/>
    <w:tmpl w:val="58FC36A8"/>
    <w:lvl w:ilvl="0" w:tplc="4FA2604E">
      <w:start w:val="1"/>
      <w:numFmt w:val="bullet"/>
      <w:lvlText w:val="•"/>
      <w:lvlJc w:val="left"/>
      <w:pPr>
        <w:tabs>
          <w:tab w:val="num" w:pos="720"/>
        </w:tabs>
        <w:ind w:left="720" w:hanging="360"/>
      </w:pPr>
      <w:rPr>
        <w:rFonts w:ascii="Arial" w:hAnsi="Arial" w:hint="default"/>
      </w:rPr>
    </w:lvl>
    <w:lvl w:ilvl="1" w:tplc="07964BE0">
      <w:numFmt w:val="bullet"/>
      <w:lvlText w:val="–"/>
      <w:lvlJc w:val="left"/>
      <w:pPr>
        <w:tabs>
          <w:tab w:val="num" w:pos="1440"/>
        </w:tabs>
        <w:ind w:left="1440" w:hanging="360"/>
      </w:pPr>
      <w:rPr>
        <w:rFonts w:ascii="Arial" w:hAnsi="Arial" w:hint="default"/>
      </w:rPr>
    </w:lvl>
    <w:lvl w:ilvl="2" w:tplc="56C4132A">
      <w:numFmt w:val="bullet"/>
      <w:lvlText w:val="•"/>
      <w:lvlJc w:val="left"/>
      <w:pPr>
        <w:tabs>
          <w:tab w:val="num" w:pos="2160"/>
        </w:tabs>
        <w:ind w:left="2160" w:hanging="360"/>
      </w:pPr>
      <w:rPr>
        <w:rFonts w:ascii="Arial" w:hAnsi="Arial" w:hint="default"/>
      </w:rPr>
    </w:lvl>
    <w:lvl w:ilvl="3" w:tplc="A1B29C28">
      <w:numFmt w:val="bullet"/>
      <w:lvlText w:val="–"/>
      <w:lvlJc w:val="left"/>
      <w:pPr>
        <w:tabs>
          <w:tab w:val="num" w:pos="2880"/>
        </w:tabs>
        <w:ind w:left="2880" w:hanging="360"/>
      </w:pPr>
      <w:rPr>
        <w:rFonts w:ascii="Arial" w:hAnsi="Arial" w:hint="default"/>
      </w:rPr>
    </w:lvl>
    <w:lvl w:ilvl="4" w:tplc="5784BF00">
      <w:numFmt w:val="bullet"/>
      <w:lvlText w:val="»"/>
      <w:lvlJc w:val="left"/>
      <w:pPr>
        <w:tabs>
          <w:tab w:val="num" w:pos="3600"/>
        </w:tabs>
        <w:ind w:left="3600" w:hanging="360"/>
      </w:pPr>
      <w:rPr>
        <w:rFonts w:ascii="Arial" w:hAnsi="Arial" w:hint="default"/>
      </w:rPr>
    </w:lvl>
    <w:lvl w:ilvl="5" w:tplc="058AC980" w:tentative="1">
      <w:start w:val="1"/>
      <w:numFmt w:val="bullet"/>
      <w:lvlText w:val="•"/>
      <w:lvlJc w:val="left"/>
      <w:pPr>
        <w:tabs>
          <w:tab w:val="num" w:pos="4320"/>
        </w:tabs>
        <w:ind w:left="4320" w:hanging="360"/>
      </w:pPr>
      <w:rPr>
        <w:rFonts w:ascii="Arial" w:hAnsi="Arial" w:hint="default"/>
      </w:rPr>
    </w:lvl>
    <w:lvl w:ilvl="6" w:tplc="C6F41704" w:tentative="1">
      <w:start w:val="1"/>
      <w:numFmt w:val="bullet"/>
      <w:lvlText w:val="•"/>
      <w:lvlJc w:val="left"/>
      <w:pPr>
        <w:tabs>
          <w:tab w:val="num" w:pos="5040"/>
        </w:tabs>
        <w:ind w:left="5040" w:hanging="360"/>
      </w:pPr>
      <w:rPr>
        <w:rFonts w:ascii="Arial" w:hAnsi="Arial" w:hint="default"/>
      </w:rPr>
    </w:lvl>
    <w:lvl w:ilvl="7" w:tplc="39D27E30" w:tentative="1">
      <w:start w:val="1"/>
      <w:numFmt w:val="bullet"/>
      <w:lvlText w:val="•"/>
      <w:lvlJc w:val="left"/>
      <w:pPr>
        <w:tabs>
          <w:tab w:val="num" w:pos="5760"/>
        </w:tabs>
        <w:ind w:left="5760" w:hanging="360"/>
      </w:pPr>
      <w:rPr>
        <w:rFonts w:ascii="Arial" w:hAnsi="Arial" w:hint="default"/>
      </w:rPr>
    </w:lvl>
    <w:lvl w:ilvl="8" w:tplc="73BEC2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B846AF"/>
    <w:multiLevelType w:val="hybridMultilevel"/>
    <w:tmpl w:val="CE90FC74"/>
    <w:lvl w:ilvl="0" w:tplc="0DE4575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416647F"/>
    <w:multiLevelType w:val="hybridMultilevel"/>
    <w:tmpl w:val="2E92F9E0"/>
    <w:lvl w:ilvl="0" w:tplc="C108EC2A">
      <w:start w:val="1"/>
      <w:numFmt w:val="bullet"/>
      <w:lvlText w:val="•"/>
      <w:lvlJc w:val="left"/>
      <w:pPr>
        <w:tabs>
          <w:tab w:val="num" w:pos="360"/>
        </w:tabs>
        <w:ind w:left="360" w:hanging="360"/>
      </w:pPr>
      <w:rPr>
        <w:rFonts w:ascii="Arial" w:hAnsi="Arial" w:hint="default"/>
      </w:rPr>
    </w:lvl>
    <w:lvl w:ilvl="1" w:tplc="C1DC9912">
      <w:numFmt w:val="bullet"/>
      <w:lvlText w:val="–"/>
      <w:lvlJc w:val="left"/>
      <w:pPr>
        <w:tabs>
          <w:tab w:val="num" w:pos="1080"/>
        </w:tabs>
        <w:ind w:left="1080" w:hanging="360"/>
      </w:pPr>
      <w:rPr>
        <w:rFonts w:ascii="Arial" w:hAnsi="Arial" w:hint="default"/>
      </w:rPr>
    </w:lvl>
    <w:lvl w:ilvl="2" w:tplc="D230FF9A">
      <w:numFmt w:val="bullet"/>
      <w:lvlText w:val="•"/>
      <w:lvlJc w:val="left"/>
      <w:pPr>
        <w:tabs>
          <w:tab w:val="num" w:pos="1800"/>
        </w:tabs>
        <w:ind w:left="1800" w:hanging="360"/>
      </w:pPr>
      <w:rPr>
        <w:rFonts w:ascii="Arial" w:hAnsi="Arial" w:hint="default"/>
      </w:rPr>
    </w:lvl>
    <w:lvl w:ilvl="3" w:tplc="74184D52" w:tentative="1">
      <w:start w:val="1"/>
      <w:numFmt w:val="bullet"/>
      <w:lvlText w:val="•"/>
      <w:lvlJc w:val="left"/>
      <w:pPr>
        <w:tabs>
          <w:tab w:val="num" w:pos="2520"/>
        </w:tabs>
        <w:ind w:left="2520" w:hanging="360"/>
      </w:pPr>
      <w:rPr>
        <w:rFonts w:ascii="Arial" w:hAnsi="Arial" w:hint="default"/>
      </w:rPr>
    </w:lvl>
    <w:lvl w:ilvl="4" w:tplc="97566746" w:tentative="1">
      <w:start w:val="1"/>
      <w:numFmt w:val="bullet"/>
      <w:lvlText w:val="•"/>
      <w:lvlJc w:val="left"/>
      <w:pPr>
        <w:tabs>
          <w:tab w:val="num" w:pos="3240"/>
        </w:tabs>
        <w:ind w:left="3240" w:hanging="360"/>
      </w:pPr>
      <w:rPr>
        <w:rFonts w:ascii="Arial" w:hAnsi="Arial" w:hint="default"/>
      </w:rPr>
    </w:lvl>
    <w:lvl w:ilvl="5" w:tplc="674EA67C" w:tentative="1">
      <w:start w:val="1"/>
      <w:numFmt w:val="bullet"/>
      <w:lvlText w:val="•"/>
      <w:lvlJc w:val="left"/>
      <w:pPr>
        <w:tabs>
          <w:tab w:val="num" w:pos="3960"/>
        </w:tabs>
        <w:ind w:left="3960" w:hanging="360"/>
      </w:pPr>
      <w:rPr>
        <w:rFonts w:ascii="Arial" w:hAnsi="Arial" w:hint="default"/>
      </w:rPr>
    </w:lvl>
    <w:lvl w:ilvl="6" w:tplc="605C1EE2" w:tentative="1">
      <w:start w:val="1"/>
      <w:numFmt w:val="bullet"/>
      <w:lvlText w:val="•"/>
      <w:lvlJc w:val="left"/>
      <w:pPr>
        <w:tabs>
          <w:tab w:val="num" w:pos="4680"/>
        </w:tabs>
        <w:ind w:left="4680" w:hanging="360"/>
      </w:pPr>
      <w:rPr>
        <w:rFonts w:ascii="Arial" w:hAnsi="Arial" w:hint="default"/>
      </w:rPr>
    </w:lvl>
    <w:lvl w:ilvl="7" w:tplc="1638DE4C" w:tentative="1">
      <w:start w:val="1"/>
      <w:numFmt w:val="bullet"/>
      <w:lvlText w:val="•"/>
      <w:lvlJc w:val="left"/>
      <w:pPr>
        <w:tabs>
          <w:tab w:val="num" w:pos="5400"/>
        </w:tabs>
        <w:ind w:left="5400" w:hanging="360"/>
      </w:pPr>
      <w:rPr>
        <w:rFonts w:ascii="Arial" w:hAnsi="Arial" w:hint="default"/>
      </w:rPr>
    </w:lvl>
    <w:lvl w:ilvl="8" w:tplc="8C368AF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63123F8"/>
    <w:multiLevelType w:val="hybridMultilevel"/>
    <w:tmpl w:val="1BB8A046"/>
    <w:lvl w:ilvl="0" w:tplc="CC9E8844">
      <w:start w:val="17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8232405"/>
    <w:multiLevelType w:val="hybridMultilevel"/>
    <w:tmpl w:val="358A691A"/>
    <w:lvl w:ilvl="0" w:tplc="7A102EF2">
      <w:start w:val="1"/>
      <w:numFmt w:val="bullet"/>
      <w:lvlText w:val="–"/>
      <w:lvlJc w:val="left"/>
      <w:pPr>
        <w:tabs>
          <w:tab w:val="num" w:pos="360"/>
        </w:tabs>
        <w:ind w:left="360" w:hanging="360"/>
      </w:pPr>
      <w:rPr>
        <w:rFonts w:ascii="Arial" w:hAnsi="Arial" w:hint="default"/>
      </w:rPr>
    </w:lvl>
    <w:lvl w:ilvl="1" w:tplc="42FE8D28">
      <w:start w:val="1"/>
      <w:numFmt w:val="bullet"/>
      <w:lvlText w:val="–"/>
      <w:lvlJc w:val="left"/>
      <w:pPr>
        <w:tabs>
          <w:tab w:val="num" w:pos="1080"/>
        </w:tabs>
        <w:ind w:left="1080" w:hanging="360"/>
      </w:pPr>
      <w:rPr>
        <w:rFonts w:ascii="Arial" w:hAnsi="Arial" w:hint="default"/>
      </w:rPr>
    </w:lvl>
    <w:lvl w:ilvl="2" w:tplc="BF8E4F00">
      <w:numFmt w:val="bullet"/>
      <w:lvlText w:val="•"/>
      <w:lvlJc w:val="left"/>
      <w:pPr>
        <w:tabs>
          <w:tab w:val="num" w:pos="1800"/>
        </w:tabs>
        <w:ind w:left="1800" w:hanging="360"/>
      </w:pPr>
      <w:rPr>
        <w:rFonts w:ascii="Arial" w:hAnsi="Arial" w:hint="default"/>
      </w:rPr>
    </w:lvl>
    <w:lvl w:ilvl="3" w:tplc="204A2BB2">
      <w:numFmt w:val="bullet"/>
      <w:lvlText w:val="–"/>
      <w:lvlJc w:val="left"/>
      <w:pPr>
        <w:tabs>
          <w:tab w:val="num" w:pos="2520"/>
        </w:tabs>
        <w:ind w:left="2520" w:hanging="360"/>
      </w:pPr>
      <w:rPr>
        <w:rFonts w:ascii="Arial" w:hAnsi="Arial" w:hint="default"/>
      </w:rPr>
    </w:lvl>
    <w:lvl w:ilvl="4" w:tplc="C68225BC" w:tentative="1">
      <w:start w:val="1"/>
      <w:numFmt w:val="bullet"/>
      <w:lvlText w:val="–"/>
      <w:lvlJc w:val="left"/>
      <w:pPr>
        <w:tabs>
          <w:tab w:val="num" w:pos="3240"/>
        </w:tabs>
        <w:ind w:left="3240" w:hanging="360"/>
      </w:pPr>
      <w:rPr>
        <w:rFonts w:ascii="Arial" w:hAnsi="Arial" w:hint="default"/>
      </w:rPr>
    </w:lvl>
    <w:lvl w:ilvl="5" w:tplc="F47E4968" w:tentative="1">
      <w:start w:val="1"/>
      <w:numFmt w:val="bullet"/>
      <w:lvlText w:val="–"/>
      <w:lvlJc w:val="left"/>
      <w:pPr>
        <w:tabs>
          <w:tab w:val="num" w:pos="3960"/>
        </w:tabs>
        <w:ind w:left="3960" w:hanging="360"/>
      </w:pPr>
      <w:rPr>
        <w:rFonts w:ascii="Arial" w:hAnsi="Arial" w:hint="default"/>
      </w:rPr>
    </w:lvl>
    <w:lvl w:ilvl="6" w:tplc="897CD9B0" w:tentative="1">
      <w:start w:val="1"/>
      <w:numFmt w:val="bullet"/>
      <w:lvlText w:val="–"/>
      <w:lvlJc w:val="left"/>
      <w:pPr>
        <w:tabs>
          <w:tab w:val="num" w:pos="4680"/>
        </w:tabs>
        <w:ind w:left="4680" w:hanging="360"/>
      </w:pPr>
      <w:rPr>
        <w:rFonts w:ascii="Arial" w:hAnsi="Arial" w:hint="default"/>
      </w:rPr>
    </w:lvl>
    <w:lvl w:ilvl="7" w:tplc="D452E992" w:tentative="1">
      <w:start w:val="1"/>
      <w:numFmt w:val="bullet"/>
      <w:lvlText w:val="–"/>
      <w:lvlJc w:val="left"/>
      <w:pPr>
        <w:tabs>
          <w:tab w:val="num" w:pos="5400"/>
        </w:tabs>
        <w:ind w:left="5400" w:hanging="360"/>
      </w:pPr>
      <w:rPr>
        <w:rFonts w:ascii="Arial" w:hAnsi="Arial" w:hint="default"/>
      </w:rPr>
    </w:lvl>
    <w:lvl w:ilvl="8" w:tplc="4736715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9B60962"/>
    <w:multiLevelType w:val="hybridMultilevel"/>
    <w:tmpl w:val="41864172"/>
    <w:lvl w:ilvl="0" w:tplc="7C80DEE2">
      <w:start w:val="1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252632"/>
    <w:multiLevelType w:val="hybridMultilevel"/>
    <w:tmpl w:val="0370420E"/>
    <w:lvl w:ilvl="0" w:tplc="6EB0BE44">
      <w:start w:val="1"/>
      <w:numFmt w:val="bullet"/>
      <w:lvlText w:val="–"/>
      <w:lvlJc w:val="left"/>
      <w:pPr>
        <w:tabs>
          <w:tab w:val="num" w:pos="360"/>
        </w:tabs>
        <w:ind w:left="360" w:hanging="360"/>
      </w:pPr>
      <w:rPr>
        <w:rFonts w:ascii="Arial" w:hAnsi="Arial" w:hint="default"/>
      </w:rPr>
    </w:lvl>
    <w:lvl w:ilvl="1" w:tplc="D02A9410">
      <w:start w:val="1"/>
      <w:numFmt w:val="bullet"/>
      <w:lvlText w:val="–"/>
      <w:lvlJc w:val="left"/>
      <w:pPr>
        <w:tabs>
          <w:tab w:val="num" w:pos="1080"/>
        </w:tabs>
        <w:ind w:left="1080" w:hanging="360"/>
      </w:pPr>
      <w:rPr>
        <w:rFonts w:ascii="Arial" w:hAnsi="Arial" w:hint="default"/>
      </w:rPr>
    </w:lvl>
    <w:lvl w:ilvl="2" w:tplc="A04AA784">
      <w:numFmt w:val="bullet"/>
      <w:lvlText w:val="•"/>
      <w:lvlJc w:val="left"/>
      <w:pPr>
        <w:tabs>
          <w:tab w:val="num" w:pos="1800"/>
        </w:tabs>
        <w:ind w:left="1800" w:hanging="360"/>
      </w:pPr>
      <w:rPr>
        <w:rFonts w:ascii="Arial" w:hAnsi="Arial" w:hint="default"/>
      </w:rPr>
    </w:lvl>
    <w:lvl w:ilvl="3" w:tplc="06A08C54">
      <w:numFmt w:val="bullet"/>
      <w:lvlText w:val="–"/>
      <w:lvlJc w:val="left"/>
      <w:pPr>
        <w:tabs>
          <w:tab w:val="num" w:pos="2520"/>
        </w:tabs>
        <w:ind w:left="2520" w:hanging="360"/>
      </w:pPr>
      <w:rPr>
        <w:rFonts w:ascii="Arial" w:hAnsi="Arial" w:hint="default"/>
      </w:rPr>
    </w:lvl>
    <w:lvl w:ilvl="4" w:tplc="050CF4D8">
      <w:numFmt w:val="bullet"/>
      <w:lvlText w:val="»"/>
      <w:lvlJc w:val="left"/>
      <w:pPr>
        <w:tabs>
          <w:tab w:val="num" w:pos="3240"/>
        </w:tabs>
        <w:ind w:left="3240" w:hanging="360"/>
      </w:pPr>
      <w:rPr>
        <w:rFonts w:ascii="Arial" w:hAnsi="Arial" w:hint="default"/>
      </w:rPr>
    </w:lvl>
    <w:lvl w:ilvl="5" w:tplc="9E4C746C" w:tentative="1">
      <w:start w:val="1"/>
      <w:numFmt w:val="bullet"/>
      <w:lvlText w:val="–"/>
      <w:lvlJc w:val="left"/>
      <w:pPr>
        <w:tabs>
          <w:tab w:val="num" w:pos="3960"/>
        </w:tabs>
        <w:ind w:left="3960" w:hanging="360"/>
      </w:pPr>
      <w:rPr>
        <w:rFonts w:ascii="Arial" w:hAnsi="Arial" w:hint="default"/>
      </w:rPr>
    </w:lvl>
    <w:lvl w:ilvl="6" w:tplc="F4225770" w:tentative="1">
      <w:start w:val="1"/>
      <w:numFmt w:val="bullet"/>
      <w:lvlText w:val="–"/>
      <w:lvlJc w:val="left"/>
      <w:pPr>
        <w:tabs>
          <w:tab w:val="num" w:pos="4680"/>
        </w:tabs>
        <w:ind w:left="4680" w:hanging="360"/>
      </w:pPr>
      <w:rPr>
        <w:rFonts w:ascii="Arial" w:hAnsi="Arial" w:hint="default"/>
      </w:rPr>
    </w:lvl>
    <w:lvl w:ilvl="7" w:tplc="B56A3B84" w:tentative="1">
      <w:start w:val="1"/>
      <w:numFmt w:val="bullet"/>
      <w:lvlText w:val="–"/>
      <w:lvlJc w:val="left"/>
      <w:pPr>
        <w:tabs>
          <w:tab w:val="num" w:pos="5400"/>
        </w:tabs>
        <w:ind w:left="5400" w:hanging="360"/>
      </w:pPr>
      <w:rPr>
        <w:rFonts w:ascii="Arial" w:hAnsi="Arial" w:hint="default"/>
      </w:rPr>
    </w:lvl>
    <w:lvl w:ilvl="8" w:tplc="83605B1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B1B147B"/>
    <w:multiLevelType w:val="hybridMultilevel"/>
    <w:tmpl w:val="DAB6FF9C"/>
    <w:lvl w:ilvl="0" w:tplc="B4800694">
      <w:start w:val="1"/>
      <w:numFmt w:val="bullet"/>
      <w:lvlText w:val="•"/>
      <w:lvlJc w:val="left"/>
      <w:pPr>
        <w:tabs>
          <w:tab w:val="num" w:pos="720"/>
        </w:tabs>
        <w:ind w:left="720" w:hanging="360"/>
      </w:pPr>
      <w:rPr>
        <w:rFonts w:ascii="Arial" w:hAnsi="Arial" w:hint="default"/>
      </w:rPr>
    </w:lvl>
    <w:lvl w:ilvl="1" w:tplc="965A8C2A">
      <w:numFmt w:val="bullet"/>
      <w:lvlText w:val="–"/>
      <w:lvlJc w:val="left"/>
      <w:pPr>
        <w:tabs>
          <w:tab w:val="num" w:pos="1440"/>
        </w:tabs>
        <w:ind w:left="1440" w:hanging="360"/>
      </w:pPr>
      <w:rPr>
        <w:rFonts w:ascii="Arial" w:hAnsi="Arial" w:hint="default"/>
      </w:rPr>
    </w:lvl>
    <w:lvl w:ilvl="2" w:tplc="CD723126" w:tentative="1">
      <w:start w:val="1"/>
      <w:numFmt w:val="bullet"/>
      <w:lvlText w:val="•"/>
      <w:lvlJc w:val="left"/>
      <w:pPr>
        <w:tabs>
          <w:tab w:val="num" w:pos="2160"/>
        </w:tabs>
        <w:ind w:left="2160" w:hanging="360"/>
      </w:pPr>
      <w:rPr>
        <w:rFonts w:ascii="Arial" w:hAnsi="Arial" w:hint="default"/>
      </w:rPr>
    </w:lvl>
    <w:lvl w:ilvl="3" w:tplc="CD02809A" w:tentative="1">
      <w:start w:val="1"/>
      <w:numFmt w:val="bullet"/>
      <w:lvlText w:val="•"/>
      <w:lvlJc w:val="left"/>
      <w:pPr>
        <w:tabs>
          <w:tab w:val="num" w:pos="2880"/>
        </w:tabs>
        <w:ind w:left="2880" w:hanging="360"/>
      </w:pPr>
      <w:rPr>
        <w:rFonts w:ascii="Arial" w:hAnsi="Arial" w:hint="default"/>
      </w:rPr>
    </w:lvl>
    <w:lvl w:ilvl="4" w:tplc="FE3E3B7A" w:tentative="1">
      <w:start w:val="1"/>
      <w:numFmt w:val="bullet"/>
      <w:lvlText w:val="•"/>
      <w:lvlJc w:val="left"/>
      <w:pPr>
        <w:tabs>
          <w:tab w:val="num" w:pos="3600"/>
        </w:tabs>
        <w:ind w:left="3600" w:hanging="360"/>
      </w:pPr>
      <w:rPr>
        <w:rFonts w:ascii="Arial" w:hAnsi="Arial" w:hint="default"/>
      </w:rPr>
    </w:lvl>
    <w:lvl w:ilvl="5" w:tplc="4288E6CC" w:tentative="1">
      <w:start w:val="1"/>
      <w:numFmt w:val="bullet"/>
      <w:lvlText w:val="•"/>
      <w:lvlJc w:val="left"/>
      <w:pPr>
        <w:tabs>
          <w:tab w:val="num" w:pos="4320"/>
        </w:tabs>
        <w:ind w:left="4320" w:hanging="360"/>
      </w:pPr>
      <w:rPr>
        <w:rFonts w:ascii="Arial" w:hAnsi="Arial" w:hint="default"/>
      </w:rPr>
    </w:lvl>
    <w:lvl w:ilvl="6" w:tplc="D8B66FD4" w:tentative="1">
      <w:start w:val="1"/>
      <w:numFmt w:val="bullet"/>
      <w:lvlText w:val="•"/>
      <w:lvlJc w:val="left"/>
      <w:pPr>
        <w:tabs>
          <w:tab w:val="num" w:pos="5040"/>
        </w:tabs>
        <w:ind w:left="5040" w:hanging="360"/>
      </w:pPr>
      <w:rPr>
        <w:rFonts w:ascii="Arial" w:hAnsi="Arial" w:hint="default"/>
      </w:rPr>
    </w:lvl>
    <w:lvl w:ilvl="7" w:tplc="78D2A2CC" w:tentative="1">
      <w:start w:val="1"/>
      <w:numFmt w:val="bullet"/>
      <w:lvlText w:val="•"/>
      <w:lvlJc w:val="left"/>
      <w:pPr>
        <w:tabs>
          <w:tab w:val="num" w:pos="5760"/>
        </w:tabs>
        <w:ind w:left="5760" w:hanging="360"/>
      </w:pPr>
      <w:rPr>
        <w:rFonts w:ascii="Arial" w:hAnsi="Arial" w:hint="default"/>
      </w:rPr>
    </w:lvl>
    <w:lvl w:ilvl="8" w:tplc="EE70D0E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7B403E"/>
    <w:multiLevelType w:val="hybridMultilevel"/>
    <w:tmpl w:val="A574DA7C"/>
    <w:lvl w:ilvl="0" w:tplc="7A383354">
      <w:start w:val="1"/>
      <w:numFmt w:val="bullet"/>
      <w:lvlText w:val="•"/>
      <w:lvlJc w:val="left"/>
      <w:pPr>
        <w:tabs>
          <w:tab w:val="num" w:pos="720"/>
        </w:tabs>
        <w:ind w:left="720" w:hanging="360"/>
      </w:pPr>
      <w:rPr>
        <w:rFonts w:ascii="Arial" w:hAnsi="Arial" w:hint="default"/>
      </w:rPr>
    </w:lvl>
    <w:lvl w:ilvl="1" w:tplc="9B48C5CA">
      <w:numFmt w:val="bullet"/>
      <w:lvlText w:val="–"/>
      <w:lvlJc w:val="left"/>
      <w:pPr>
        <w:tabs>
          <w:tab w:val="num" w:pos="1440"/>
        </w:tabs>
        <w:ind w:left="1440" w:hanging="360"/>
      </w:pPr>
      <w:rPr>
        <w:rFonts w:ascii="Arial" w:hAnsi="Arial" w:hint="default"/>
      </w:rPr>
    </w:lvl>
    <w:lvl w:ilvl="2" w:tplc="80CE03CE">
      <w:numFmt w:val="bullet"/>
      <w:lvlText w:val="•"/>
      <w:lvlJc w:val="left"/>
      <w:pPr>
        <w:tabs>
          <w:tab w:val="num" w:pos="2160"/>
        </w:tabs>
        <w:ind w:left="2160" w:hanging="360"/>
      </w:pPr>
      <w:rPr>
        <w:rFonts w:ascii="Arial" w:hAnsi="Arial" w:hint="default"/>
      </w:rPr>
    </w:lvl>
    <w:lvl w:ilvl="3" w:tplc="5DC4A2C2">
      <w:numFmt w:val="bullet"/>
      <w:lvlText w:val="–"/>
      <w:lvlJc w:val="left"/>
      <w:pPr>
        <w:tabs>
          <w:tab w:val="num" w:pos="2880"/>
        </w:tabs>
        <w:ind w:left="2880" w:hanging="360"/>
      </w:pPr>
      <w:rPr>
        <w:rFonts w:ascii="Arial" w:hAnsi="Arial" w:hint="default"/>
      </w:rPr>
    </w:lvl>
    <w:lvl w:ilvl="4" w:tplc="864A4AAA" w:tentative="1">
      <w:start w:val="1"/>
      <w:numFmt w:val="bullet"/>
      <w:lvlText w:val="•"/>
      <w:lvlJc w:val="left"/>
      <w:pPr>
        <w:tabs>
          <w:tab w:val="num" w:pos="3600"/>
        </w:tabs>
        <w:ind w:left="3600" w:hanging="360"/>
      </w:pPr>
      <w:rPr>
        <w:rFonts w:ascii="Arial" w:hAnsi="Arial" w:hint="default"/>
      </w:rPr>
    </w:lvl>
    <w:lvl w:ilvl="5" w:tplc="DA22DB6A" w:tentative="1">
      <w:start w:val="1"/>
      <w:numFmt w:val="bullet"/>
      <w:lvlText w:val="•"/>
      <w:lvlJc w:val="left"/>
      <w:pPr>
        <w:tabs>
          <w:tab w:val="num" w:pos="4320"/>
        </w:tabs>
        <w:ind w:left="4320" w:hanging="360"/>
      </w:pPr>
      <w:rPr>
        <w:rFonts w:ascii="Arial" w:hAnsi="Arial" w:hint="default"/>
      </w:rPr>
    </w:lvl>
    <w:lvl w:ilvl="6" w:tplc="FE98A490" w:tentative="1">
      <w:start w:val="1"/>
      <w:numFmt w:val="bullet"/>
      <w:lvlText w:val="•"/>
      <w:lvlJc w:val="left"/>
      <w:pPr>
        <w:tabs>
          <w:tab w:val="num" w:pos="5040"/>
        </w:tabs>
        <w:ind w:left="5040" w:hanging="360"/>
      </w:pPr>
      <w:rPr>
        <w:rFonts w:ascii="Arial" w:hAnsi="Arial" w:hint="default"/>
      </w:rPr>
    </w:lvl>
    <w:lvl w:ilvl="7" w:tplc="93A22D00" w:tentative="1">
      <w:start w:val="1"/>
      <w:numFmt w:val="bullet"/>
      <w:lvlText w:val="•"/>
      <w:lvlJc w:val="left"/>
      <w:pPr>
        <w:tabs>
          <w:tab w:val="num" w:pos="5760"/>
        </w:tabs>
        <w:ind w:left="5760" w:hanging="360"/>
      </w:pPr>
      <w:rPr>
        <w:rFonts w:ascii="Arial" w:hAnsi="Arial" w:hint="default"/>
      </w:rPr>
    </w:lvl>
    <w:lvl w:ilvl="8" w:tplc="DB025C8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E3D3608"/>
    <w:multiLevelType w:val="hybridMultilevel"/>
    <w:tmpl w:val="1804A308"/>
    <w:lvl w:ilvl="0" w:tplc="DF8815E4">
      <w:start w:val="1"/>
      <w:numFmt w:val="bullet"/>
      <w:lvlText w:val="─"/>
      <w:lvlJc w:val="left"/>
      <w:pPr>
        <w:tabs>
          <w:tab w:val="num" w:pos="720"/>
        </w:tabs>
        <w:ind w:left="720" w:hanging="360"/>
      </w:pPr>
      <w:rPr>
        <w:rFonts w:ascii="Calibri" w:hAnsi="Calibri" w:hint="default"/>
      </w:rPr>
    </w:lvl>
    <w:lvl w:ilvl="1" w:tplc="0D024CB2">
      <w:start w:val="1"/>
      <w:numFmt w:val="bullet"/>
      <w:lvlText w:val="─"/>
      <w:lvlJc w:val="left"/>
      <w:pPr>
        <w:tabs>
          <w:tab w:val="num" w:pos="1440"/>
        </w:tabs>
        <w:ind w:left="1440" w:hanging="360"/>
      </w:pPr>
      <w:rPr>
        <w:rFonts w:ascii="Calibri" w:hAnsi="Calibri" w:hint="default"/>
      </w:rPr>
    </w:lvl>
    <w:lvl w:ilvl="2" w:tplc="B9FCA052" w:tentative="1">
      <w:start w:val="1"/>
      <w:numFmt w:val="bullet"/>
      <w:lvlText w:val="─"/>
      <w:lvlJc w:val="left"/>
      <w:pPr>
        <w:tabs>
          <w:tab w:val="num" w:pos="2160"/>
        </w:tabs>
        <w:ind w:left="2160" w:hanging="360"/>
      </w:pPr>
      <w:rPr>
        <w:rFonts w:ascii="Calibri" w:hAnsi="Calibri" w:hint="default"/>
      </w:rPr>
    </w:lvl>
    <w:lvl w:ilvl="3" w:tplc="DA48A0E8" w:tentative="1">
      <w:start w:val="1"/>
      <w:numFmt w:val="bullet"/>
      <w:lvlText w:val="─"/>
      <w:lvlJc w:val="left"/>
      <w:pPr>
        <w:tabs>
          <w:tab w:val="num" w:pos="2880"/>
        </w:tabs>
        <w:ind w:left="2880" w:hanging="360"/>
      </w:pPr>
      <w:rPr>
        <w:rFonts w:ascii="Calibri" w:hAnsi="Calibri" w:hint="default"/>
      </w:rPr>
    </w:lvl>
    <w:lvl w:ilvl="4" w:tplc="901E43C6" w:tentative="1">
      <w:start w:val="1"/>
      <w:numFmt w:val="bullet"/>
      <w:lvlText w:val="─"/>
      <w:lvlJc w:val="left"/>
      <w:pPr>
        <w:tabs>
          <w:tab w:val="num" w:pos="3600"/>
        </w:tabs>
        <w:ind w:left="3600" w:hanging="360"/>
      </w:pPr>
      <w:rPr>
        <w:rFonts w:ascii="Calibri" w:hAnsi="Calibri" w:hint="default"/>
      </w:rPr>
    </w:lvl>
    <w:lvl w:ilvl="5" w:tplc="5BA678C6" w:tentative="1">
      <w:start w:val="1"/>
      <w:numFmt w:val="bullet"/>
      <w:lvlText w:val="─"/>
      <w:lvlJc w:val="left"/>
      <w:pPr>
        <w:tabs>
          <w:tab w:val="num" w:pos="4320"/>
        </w:tabs>
        <w:ind w:left="4320" w:hanging="360"/>
      </w:pPr>
      <w:rPr>
        <w:rFonts w:ascii="Calibri" w:hAnsi="Calibri" w:hint="default"/>
      </w:rPr>
    </w:lvl>
    <w:lvl w:ilvl="6" w:tplc="A83A3094" w:tentative="1">
      <w:start w:val="1"/>
      <w:numFmt w:val="bullet"/>
      <w:lvlText w:val="─"/>
      <w:lvlJc w:val="left"/>
      <w:pPr>
        <w:tabs>
          <w:tab w:val="num" w:pos="5040"/>
        </w:tabs>
        <w:ind w:left="5040" w:hanging="360"/>
      </w:pPr>
      <w:rPr>
        <w:rFonts w:ascii="Calibri" w:hAnsi="Calibri" w:hint="default"/>
      </w:rPr>
    </w:lvl>
    <w:lvl w:ilvl="7" w:tplc="13A278B6" w:tentative="1">
      <w:start w:val="1"/>
      <w:numFmt w:val="bullet"/>
      <w:lvlText w:val="─"/>
      <w:lvlJc w:val="left"/>
      <w:pPr>
        <w:tabs>
          <w:tab w:val="num" w:pos="5760"/>
        </w:tabs>
        <w:ind w:left="5760" w:hanging="360"/>
      </w:pPr>
      <w:rPr>
        <w:rFonts w:ascii="Calibri" w:hAnsi="Calibri" w:hint="default"/>
      </w:rPr>
    </w:lvl>
    <w:lvl w:ilvl="8" w:tplc="53487B9C"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4F8B5797"/>
    <w:multiLevelType w:val="hybridMultilevel"/>
    <w:tmpl w:val="09602214"/>
    <w:lvl w:ilvl="0" w:tplc="9C143D7A">
      <w:start w:val="1"/>
      <w:numFmt w:val="bullet"/>
      <w:lvlText w:val="•"/>
      <w:lvlJc w:val="left"/>
      <w:pPr>
        <w:tabs>
          <w:tab w:val="num" w:pos="720"/>
        </w:tabs>
        <w:ind w:left="720" w:hanging="360"/>
      </w:pPr>
      <w:rPr>
        <w:rFonts w:ascii="Arial" w:hAnsi="Arial" w:hint="default"/>
      </w:rPr>
    </w:lvl>
    <w:lvl w:ilvl="1" w:tplc="E8583796">
      <w:numFmt w:val="bullet"/>
      <w:lvlText w:val="–"/>
      <w:lvlJc w:val="left"/>
      <w:pPr>
        <w:tabs>
          <w:tab w:val="num" w:pos="1440"/>
        </w:tabs>
        <w:ind w:left="1440" w:hanging="360"/>
      </w:pPr>
      <w:rPr>
        <w:rFonts w:ascii="Arial" w:hAnsi="Arial" w:hint="default"/>
      </w:rPr>
    </w:lvl>
    <w:lvl w:ilvl="2" w:tplc="E4FE7882" w:tentative="1">
      <w:start w:val="1"/>
      <w:numFmt w:val="bullet"/>
      <w:lvlText w:val="•"/>
      <w:lvlJc w:val="left"/>
      <w:pPr>
        <w:tabs>
          <w:tab w:val="num" w:pos="2160"/>
        </w:tabs>
        <w:ind w:left="2160" w:hanging="360"/>
      </w:pPr>
      <w:rPr>
        <w:rFonts w:ascii="Arial" w:hAnsi="Arial" w:hint="default"/>
      </w:rPr>
    </w:lvl>
    <w:lvl w:ilvl="3" w:tplc="77F2E894" w:tentative="1">
      <w:start w:val="1"/>
      <w:numFmt w:val="bullet"/>
      <w:lvlText w:val="•"/>
      <w:lvlJc w:val="left"/>
      <w:pPr>
        <w:tabs>
          <w:tab w:val="num" w:pos="2880"/>
        </w:tabs>
        <w:ind w:left="2880" w:hanging="360"/>
      </w:pPr>
      <w:rPr>
        <w:rFonts w:ascii="Arial" w:hAnsi="Arial" w:hint="default"/>
      </w:rPr>
    </w:lvl>
    <w:lvl w:ilvl="4" w:tplc="F3E2D202" w:tentative="1">
      <w:start w:val="1"/>
      <w:numFmt w:val="bullet"/>
      <w:lvlText w:val="•"/>
      <w:lvlJc w:val="left"/>
      <w:pPr>
        <w:tabs>
          <w:tab w:val="num" w:pos="3600"/>
        </w:tabs>
        <w:ind w:left="3600" w:hanging="360"/>
      </w:pPr>
      <w:rPr>
        <w:rFonts w:ascii="Arial" w:hAnsi="Arial" w:hint="default"/>
      </w:rPr>
    </w:lvl>
    <w:lvl w:ilvl="5" w:tplc="16EA6A5E" w:tentative="1">
      <w:start w:val="1"/>
      <w:numFmt w:val="bullet"/>
      <w:lvlText w:val="•"/>
      <w:lvlJc w:val="left"/>
      <w:pPr>
        <w:tabs>
          <w:tab w:val="num" w:pos="4320"/>
        </w:tabs>
        <w:ind w:left="4320" w:hanging="360"/>
      </w:pPr>
      <w:rPr>
        <w:rFonts w:ascii="Arial" w:hAnsi="Arial" w:hint="default"/>
      </w:rPr>
    </w:lvl>
    <w:lvl w:ilvl="6" w:tplc="3A80B284" w:tentative="1">
      <w:start w:val="1"/>
      <w:numFmt w:val="bullet"/>
      <w:lvlText w:val="•"/>
      <w:lvlJc w:val="left"/>
      <w:pPr>
        <w:tabs>
          <w:tab w:val="num" w:pos="5040"/>
        </w:tabs>
        <w:ind w:left="5040" w:hanging="360"/>
      </w:pPr>
      <w:rPr>
        <w:rFonts w:ascii="Arial" w:hAnsi="Arial" w:hint="default"/>
      </w:rPr>
    </w:lvl>
    <w:lvl w:ilvl="7" w:tplc="EB188008" w:tentative="1">
      <w:start w:val="1"/>
      <w:numFmt w:val="bullet"/>
      <w:lvlText w:val="•"/>
      <w:lvlJc w:val="left"/>
      <w:pPr>
        <w:tabs>
          <w:tab w:val="num" w:pos="5760"/>
        </w:tabs>
        <w:ind w:left="5760" w:hanging="360"/>
      </w:pPr>
      <w:rPr>
        <w:rFonts w:ascii="Arial" w:hAnsi="Arial" w:hint="default"/>
      </w:rPr>
    </w:lvl>
    <w:lvl w:ilvl="8" w:tplc="225CA9F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A441E4"/>
    <w:multiLevelType w:val="hybridMultilevel"/>
    <w:tmpl w:val="25B2804C"/>
    <w:lvl w:ilvl="0" w:tplc="7AA47C44">
      <w:start w:val="1"/>
      <w:numFmt w:val="bullet"/>
      <w:lvlText w:val="•"/>
      <w:lvlJc w:val="left"/>
      <w:pPr>
        <w:tabs>
          <w:tab w:val="num" w:pos="720"/>
        </w:tabs>
        <w:ind w:left="720" w:hanging="360"/>
      </w:pPr>
      <w:rPr>
        <w:rFonts w:ascii="Arial" w:hAnsi="Arial" w:hint="default"/>
      </w:rPr>
    </w:lvl>
    <w:lvl w:ilvl="1" w:tplc="A3FEB8EC" w:tentative="1">
      <w:start w:val="1"/>
      <w:numFmt w:val="bullet"/>
      <w:lvlText w:val="•"/>
      <w:lvlJc w:val="left"/>
      <w:pPr>
        <w:tabs>
          <w:tab w:val="num" w:pos="1440"/>
        </w:tabs>
        <w:ind w:left="1440" w:hanging="360"/>
      </w:pPr>
      <w:rPr>
        <w:rFonts w:ascii="Arial" w:hAnsi="Arial" w:hint="default"/>
      </w:rPr>
    </w:lvl>
    <w:lvl w:ilvl="2" w:tplc="A7CE1E1A">
      <w:start w:val="1"/>
      <w:numFmt w:val="bullet"/>
      <w:lvlText w:val="•"/>
      <w:lvlJc w:val="left"/>
      <w:pPr>
        <w:tabs>
          <w:tab w:val="num" w:pos="2160"/>
        </w:tabs>
        <w:ind w:left="2160" w:hanging="360"/>
      </w:pPr>
      <w:rPr>
        <w:rFonts w:ascii="Arial" w:hAnsi="Arial" w:hint="default"/>
      </w:rPr>
    </w:lvl>
    <w:lvl w:ilvl="3" w:tplc="45042768" w:tentative="1">
      <w:start w:val="1"/>
      <w:numFmt w:val="bullet"/>
      <w:lvlText w:val="•"/>
      <w:lvlJc w:val="left"/>
      <w:pPr>
        <w:tabs>
          <w:tab w:val="num" w:pos="2880"/>
        </w:tabs>
        <w:ind w:left="2880" w:hanging="360"/>
      </w:pPr>
      <w:rPr>
        <w:rFonts w:ascii="Arial" w:hAnsi="Arial" w:hint="default"/>
      </w:rPr>
    </w:lvl>
    <w:lvl w:ilvl="4" w:tplc="061CA70E" w:tentative="1">
      <w:start w:val="1"/>
      <w:numFmt w:val="bullet"/>
      <w:lvlText w:val="•"/>
      <w:lvlJc w:val="left"/>
      <w:pPr>
        <w:tabs>
          <w:tab w:val="num" w:pos="3600"/>
        </w:tabs>
        <w:ind w:left="3600" w:hanging="360"/>
      </w:pPr>
      <w:rPr>
        <w:rFonts w:ascii="Arial" w:hAnsi="Arial" w:hint="default"/>
      </w:rPr>
    </w:lvl>
    <w:lvl w:ilvl="5" w:tplc="3EE2B752" w:tentative="1">
      <w:start w:val="1"/>
      <w:numFmt w:val="bullet"/>
      <w:lvlText w:val="•"/>
      <w:lvlJc w:val="left"/>
      <w:pPr>
        <w:tabs>
          <w:tab w:val="num" w:pos="4320"/>
        </w:tabs>
        <w:ind w:left="4320" w:hanging="360"/>
      </w:pPr>
      <w:rPr>
        <w:rFonts w:ascii="Arial" w:hAnsi="Arial" w:hint="default"/>
      </w:rPr>
    </w:lvl>
    <w:lvl w:ilvl="6" w:tplc="341C7F60" w:tentative="1">
      <w:start w:val="1"/>
      <w:numFmt w:val="bullet"/>
      <w:lvlText w:val="•"/>
      <w:lvlJc w:val="left"/>
      <w:pPr>
        <w:tabs>
          <w:tab w:val="num" w:pos="5040"/>
        </w:tabs>
        <w:ind w:left="5040" w:hanging="360"/>
      </w:pPr>
      <w:rPr>
        <w:rFonts w:ascii="Arial" w:hAnsi="Arial" w:hint="default"/>
      </w:rPr>
    </w:lvl>
    <w:lvl w:ilvl="7" w:tplc="E422B04E" w:tentative="1">
      <w:start w:val="1"/>
      <w:numFmt w:val="bullet"/>
      <w:lvlText w:val="•"/>
      <w:lvlJc w:val="left"/>
      <w:pPr>
        <w:tabs>
          <w:tab w:val="num" w:pos="5760"/>
        </w:tabs>
        <w:ind w:left="5760" w:hanging="360"/>
      </w:pPr>
      <w:rPr>
        <w:rFonts w:ascii="Arial" w:hAnsi="Arial" w:hint="default"/>
      </w:rPr>
    </w:lvl>
    <w:lvl w:ilvl="8" w:tplc="1442A70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5" w15:restartNumberingAfterBreak="0">
    <w:nsid w:val="52901B4E"/>
    <w:multiLevelType w:val="hybridMultilevel"/>
    <w:tmpl w:val="B6486C0C"/>
    <w:lvl w:ilvl="0" w:tplc="9392B906">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57E0C6E"/>
    <w:multiLevelType w:val="hybridMultilevel"/>
    <w:tmpl w:val="25D22EEE"/>
    <w:lvl w:ilvl="0" w:tplc="D2D23BB8">
      <w:start w:val="1"/>
      <w:numFmt w:val="bullet"/>
      <w:lvlText w:val="–"/>
      <w:lvlJc w:val="left"/>
      <w:pPr>
        <w:tabs>
          <w:tab w:val="num" w:pos="360"/>
        </w:tabs>
        <w:ind w:left="360" w:hanging="360"/>
      </w:pPr>
      <w:rPr>
        <w:rFonts w:ascii="Arial" w:hAnsi="Arial" w:hint="default"/>
      </w:rPr>
    </w:lvl>
    <w:lvl w:ilvl="1" w:tplc="4AD8BE4C">
      <w:start w:val="1"/>
      <w:numFmt w:val="bullet"/>
      <w:lvlText w:val="–"/>
      <w:lvlJc w:val="left"/>
      <w:pPr>
        <w:tabs>
          <w:tab w:val="num" w:pos="1080"/>
        </w:tabs>
        <w:ind w:left="1080" w:hanging="360"/>
      </w:pPr>
      <w:rPr>
        <w:rFonts w:ascii="Arial" w:hAnsi="Arial" w:hint="default"/>
      </w:rPr>
    </w:lvl>
    <w:lvl w:ilvl="2" w:tplc="04B844D2">
      <w:numFmt w:val="bullet"/>
      <w:lvlText w:val="•"/>
      <w:lvlJc w:val="left"/>
      <w:pPr>
        <w:tabs>
          <w:tab w:val="num" w:pos="1800"/>
        </w:tabs>
        <w:ind w:left="1800" w:hanging="360"/>
      </w:pPr>
      <w:rPr>
        <w:rFonts w:ascii="Arial" w:hAnsi="Arial" w:hint="default"/>
      </w:rPr>
    </w:lvl>
    <w:lvl w:ilvl="3" w:tplc="78CE077C">
      <w:numFmt w:val="bullet"/>
      <w:lvlText w:val="–"/>
      <w:lvlJc w:val="left"/>
      <w:pPr>
        <w:tabs>
          <w:tab w:val="num" w:pos="2520"/>
        </w:tabs>
        <w:ind w:left="2520" w:hanging="360"/>
      </w:pPr>
      <w:rPr>
        <w:rFonts w:ascii="Arial" w:hAnsi="Arial" w:hint="default"/>
      </w:rPr>
    </w:lvl>
    <w:lvl w:ilvl="4" w:tplc="92624D74">
      <w:numFmt w:val="bullet"/>
      <w:lvlText w:val="»"/>
      <w:lvlJc w:val="left"/>
      <w:pPr>
        <w:tabs>
          <w:tab w:val="num" w:pos="3240"/>
        </w:tabs>
        <w:ind w:left="3240" w:hanging="360"/>
      </w:pPr>
      <w:rPr>
        <w:rFonts w:ascii="Arial" w:hAnsi="Arial" w:hint="default"/>
      </w:rPr>
    </w:lvl>
    <w:lvl w:ilvl="5" w:tplc="DA80E4EC" w:tentative="1">
      <w:start w:val="1"/>
      <w:numFmt w:val="bullet"/>
      <w:lvlText w:val="–"/>
      <w:lvlJc w:val="left"/>
      <w:pPr>
        <w:tabs>
          <w:tab w:val="num" w:pos="3960"/>
        </w:tabs>
        <w:ind w:left="3960" w:hanging="360"/>
      </w:pPr>
      <w:rPr>
        <w:rFonts w:ascii="Arial" w:hAnsi="Arial" w:hint="default"/>
      </w:rPr>
    </w:lvl>
    <w:lvl w:ilvl="6" w:tplc="F34AEA20" w:tentative="1">
      <w:start w:val="1"/>
      <w:numFmt w:val="bullet"/>
      <w:lvlText w:val="–"/>
      <w:lvlJc w:val="left"/>
      <w:pPr>
        <w:tabs>
          <w:tab w:val="num" w:pos="4680"/>
        </w:tabs>
        <w:ind w:left="4680" w:hanging="360"/>
      </w:pPr>
      <w:rPr>
        <w:rFonts w:ascii="Arial" w:hAnsi="Arial" w:hint="default"/>
      </w:rPr>
    </w:lvl>
    <w:lvl w:ilvl="7" w:tplc="962A5ED6" w:tentative="1">
      <w:start w:val="1"/>
      <w:numFmt w:val="bullet"/>
      <w:lvlText w:val="–"/>
      <w:lvlJc w:val="left"/>
      <w:pPr>
        <w:tabs>
          <w:tab w:val="num" w:pos="5400"/>
        </w:tabs>
        <w:ind w:left="5400" w:hanging="360"/>
      </w:pPr>
      <w:rPr>
        <w:rFonts w:ascii="Arial" w:hAnsi="Arial" w:hint="default"/>
      </w:rPr>
    </w:lvl>
    <w:lvl w:ilvl="8" w:tplc="A0682C10"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3C42D54"/>
    <w:multiLevelType w:val="hybridMultilevel"/>
    <w:tmpl w:val="41B4FE98"/>
    <w:lvl w:ilvl="0" w:tplc="F67ED83E">
      <w:start w:val="16"/>
      <w:numFmt w:val="bullet"/>
      <w:lvlText w:val="-"/>
      <w:lvlJc w:val="left"/>
      <w:pPr>
        <w:ind w:left="300" w:hanging="360"/>
      </w:pPr>
      <w:rPr>
        <w:rFonts w:ascii="Times New Roman" w:eastAsia="宋体" w:hAnsi="Times New Roman" w:cs="Times New Roman" w:hint="default"/>
      </w:rPr>
    </w:lvl>
    <w:lvl w:ilvl="1" w:tplc="04090003">
      <w:start w:val="1"/>
      <w:numFmt w:val="bullet"/>
      <w:lvlText w:val=""/>
      <w:lvlJc w:val="left"/>
      <w:pPr>
        <w:ind w:left="780" w:hanging="420"/>
      </w:pPr>
      <w:rPr>
        <w:rFonts w:ascii="Wingdings" w:hAnsi="Wingdings" w:hint="default"/>
      </w:rPr>
    </w:lvl>
    <w:lvl w:ilvl="2" w:tplc="04090005">
      <w:start w:val="1"/>
      <w:numFmt w:val="bullet"/>
      <w:lvlText w:val=""/>
      <w:lvlJc w:val="left"/>
      <w:pPr>
        <w:ind w:left="1200" w:hanging="420"/>
      </w:pPr>
      <w:rPr>
        <w:rFonts w:ascii="Wingdings" w:hAnsi="Wingdings" w:hint="default"/>
      </w:rPr>
    </w:lvl>
    <w:lvl w:ilvl="3" w:tplc="04090001">
      <w:start w:val="1"/>
      <w:numFmt w:val="bullet"/>
      <w:lvlText w:val=""/>
      <w:lvlJc w:val="left"/>
      <w:pPr>
        <w:ind w:left="1620" w:hanging="420"/>
      </w:pPr>
      <w:rPr>
        <w:rFonts w:ascii="Wingdings" w:hAnsi="Wingdings" w:hint="default"/>
      </w:rPr>
    </w:lvl>
    <w:lvl w:ilvl="4" w:tplc="04090003">
      <w:start w:val="1"/>
      <w:numFmt w:val="bullet"/>
      <w:lvlText w:val=""/>
      <w:lvlJc w:val="left"/>
      <w:pPr>
        <w:ind w:left="2040" w:hanging="420"/>
      </w:pPr>
      <w:rPr>
        <w:rFonts w:ascii="Wingdings" w:hAnsi="Wingdings" w:hint="default"/>
      </w:rPr>
    </w:lvl>
    <w:lvl w:ilvl="5" w:tplc="04090005">
      <w:start w:val="1"/>
      <w:numFmt w:val="bullet"/>
      <w:lvlText w:val=""/>
      <w:lvlJc w:val="left"/>
      <w:pPr>
        <w:ind w:left="2460" w:hanging="420"/>
      </w:pPr>
      <w:rPr>
        <w:rFonts w:ascii="Wingdings" w:hAnsi="Wingdings" w:hint="default"/>
      </w:rPr>
    </w:lvl>
    <w:lvl w:ilvl="6" w:tplc="04090001">
      <w:start w:val="1"/>
      <w:numFmt w:val="bullet"/>
      <w:lvlText w:val=""/>
      <w:lvlJc w:val="left"/>
      <w:pPr>
        <w:ind w:left="2880" w:hanging="420"/>
      </w:pPr>
      <w:rPr>
        <w:rFonts w:ascii="Wingdings" w:hAnsi="Wingdings" w:hint="default"/>
      </w:rPr>
    </w:lvl>
    <w:lvl w:ilvl="7" w:tplc="04090003">
      <w:start w:val="1"/>
      <w:numFmt w:val="bullet"/>
      <w:lvlText w:val=""/>
      <w:lvlJc w:val="left"/>
      <w:pPr>
        <w:ind w:left="3300" w:hanging="420"/>
      </w:pPr>
      <w:rPr>
        <w:rFonts w:ascii="Wingdings" w:hAnsi="Wingdings" w:hint="default"/>
      </w:rPr>
    </w:lvl>
    <w:lvl w:ilvl="8" w:tplc="04090005">
      <w:start w:val="1"/>
      <w:numFmt w:val="bullet"/>
      <w:lvlText w:val=""/>
      <w:lvlJc w:val="left"/>
      <w:pPr>
        <w:ind w:left="3720" w:hanging="420"/>
      </w:pPr>
      <w:rPr>
        <w:rFonts w:ascii="Wingdings" w:hAnsi="Wingdings" w:hint="default"/>
      </w:rPr>
    </w:lvl>
  </w:abstractNum>
  <w:abstractNum w:abstractNumId="3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C4143EB"/>
    <w:multiLevelType w:val="hybridMultilevel"/>
    <w:tmpl w:val="AC607D3A"/>
    <w:lvl w:ilvl="0" w:tplc="B89A7EA6">
      <w:start w:val="1"/>
      <w:numFmt w:val="bullet"/>
      <w:lvlText w:val="–"/>
      <w:lvlJc w:val="left"/>
      <w:pPr>
        <w:tabs>
          <w:tab w:val="num" w:pos="360"/>
        </w:tabs>
        <w:ind w:left="360" w:hanging="360"/>
      </w:pPr>
      <w:rPr>
        <w:rFonts w:ascii="Arial" w:hAnsi="Arial" w:hint="default"/>
      </w:rPr>
    </w:lvl>
    <w:lvl w:ilvl="1" w:tplc="217A8BA6">
      <w:start w:val="1"/>
      <w:numFmt w:val="bullet"/>
      <w:lvlText w:val="–"/>
      <w:lvlJc w:val="left"/>
      <w:pPr>
        <w:tabs>
          <w:tab w:val="num" w:pos="1080"/>
        </w:tabs>
        <w:ind w:left="1080" w:hanging="360"/>
      </w:pPr>
      <w:rPr>
        <w:rFonts w:ascii="Arial" w:hAnsi="Arial" w:hint="default"/>
      </w:rPr>
    </w:lvl>
    <w:lvl w:ilvl="2" w:tplc="F33CFFFA">
      <w:numFmt w:val="bullet"/>
      <w:lvlText w:val="•"/>
      <w:lvlJc w:val="left"/>
      <w:pPr>
        <w:tabs>
          <w:tab w:val="num" w:pos="1800"/>
        </w:tabs>
        <w:ind w:left="1800" w:hanging="360"/>
      </w:pPr>
      <w:rPr>
        <w:rFonts w:ascii="Arial" w:hAnsi="Arial" w:hint="default"/>
      </w:rPr>
    </w:lvl>
    <w:lvl w:ilvl="3" w:tplc="CFAEC9C2">
      <w:numFmt w:val="bullet"/>
      <w:lvlText w:val="–"/>
      <w:lvlJc w:val="left"/>
      <w:pPr>
        <w:tabs>
          <w:tab w:val="num" w:pos="2520"/>
        </w:tabs>
        <w:ind w:left="2520" w:hanging="360"/>
      </w:pPr>
      <w:rPr>
        <w:rFonts w:ascii="Arial" w:hAnsi="Arial" w:hint="default"/>
      </w:rPr>
    </w:lvl>
    <w:lvl w:ilvl="4" w:tplc="CDA6FDE4">
      <w:numFmt w:val="bullet"/>
      <w:lvlText w:val="»"/>
      <w:lvlJc w:val="left"/>
      <w:pPr>
        <w:tabs>
          <w:tab w:val="num" w:pos="3240"/>
        </w:tabs>
        <w:ind w:left="3240" w:hanging="360"/>
      </w:pPr>
      <w:rPr>
        <w:rFonts w:ascii="Arial" w:hAnsi="Arial" w:hint="default"/>
      </w:rPr>
    </w:lvl>
    <w:lvl w:ilvl="5" w:tplc="97809360" w:tentative="1">
      <w:start w:val="1"/>
      <w:numFmt w:val="bullet"/>
      <w:lvlText w:val="–"/>
      <w:lvlJc w:val="left"/>
      <w:pPr>
        <w:tabs>
          <w:tab w:val="num" w:pos="3960"/>
        </w:tabs>
        <w:ind w:left="3960" w:hanging="360"/>
      </w:pPr>
      <w:rPr>
        <w:rFonts w:ascii="Arial" w:hAnsi="Arial" w:hint="default"/>
      </w:rPr>
    </w:lvl>
    <w:lvl w:ilvl="6" w:tplc="5BB6C106" w:tentative="1">
      <w:start w:val="1"/>
      <w:numFmt w:val="bullet"/>
      <w:lvlText w:val="–"/>
      <w:lvlJc w:val="left"/>
      <w:pPr>
        <w:tabs>
          <w:tab w:val="num" w:pos="4680"/>
        </w:tabs>
        <w:ind w:left="4680" w:hanging="360"/>
      </w:pPr>
      <w:rPr>
        <w:rFonts w:ascii="Arial" w:hAnsi="Arial" w:hint="default"/>
      </w:rPr>
    </w:lvl>
    <w:lvl w:ilvl="7" w:tplc="A3F20050" w:tentative="1">
      <w:start w:val="1"/>
      <w:numFmt w:val="bullet"/>
      <w:lvlText w:val="–"/>
      <w:lvlJc w:val="left"/>
      <w:pPr>
        <w:tabs>
          <w:tab w:val="num" w:pos="5400"/>
        </w:tabs>
        <w:ind w:left="5400" w:hanging="360"/>
      </w:pPr>
      <w:rPr>
        <w:rFonts w:ascii="Arial" w:hAnsi="Arial" w:hint="default"/>
      </w:rPr>
    </w:lvl>
    <w:lvl w:ilvl="8" w:tplc="41BC46F0"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CB935E4"/>
    <w:multiLevelType w:val="hybridMultilevel"/>
    <w:tmpl w:val="5A4EDDA6"/>
    <w:lvl w:ilvl="0" w:tplc="D2C21CB2">
      <w:start w:val="1"/>
      <w:numFmt w:val="bullet"/>
      <w:lvlText w:val="•"/>
      <w:lvlJc w:val="left"/>
      <w:pPr>
        <w:tabs>
          <w:tab w:val="num" w:pos="720"/>
        </w:tabs>
        <w:ind w:left="720" w:hanging="360"/>
      </w:pPr>
      <w:rPr>
        <w:rFonts w:ascii="Arial" w:hAnsi="Arial" w:hint="default"/>
      </w:rPr>
    </w:lvl>
    <w:lvl w:ilvl="1" w:tplc="43569B3A">
      <w:numFmt w:val="bullet"/>
      <w:lvlText w:val="–"/>
      <w:lvlJc w:val="left"/>
      <w:pPr>
        <w:tabs>
          <w:tab w:val="num" w:pos="1440"/>
        </w:tabs>
        <w:ind w:left="1440" w:hanging="360"/>
      </w:pPr>
      <w:rPr>
        <w:rFonts w:ascii="Arial" w:hAnsi="Arial" w:hint="default"/>
      </w:rPr>
    </w:lvl>
    <w:lvl w:ilvl="2" w:tplc="86C6BB18">
      <w:numFmt w:val="bullet"/>
      <w:lvlText w:val="•"/>
      <w:lvlJc w:val="left"/>
      <w:pPr>
        <w:tabs>
          <w:tab w:val="num" w:pos="2160"/>
        </w:tabs>
        <w:ind w:left="2160" w:hanging="360"/>
      </w:pPr>
      <w:rPr>
        <w:rFonts w:ascii="Arial" w:hAnsi="Arial" w:hint="default"/>
      </w:rPr>
    </w:lvl>
    <w:lvl w:ilvl="3" w:tplc="04D01550" w:tentative="1">
      <w:start w:val="1"/>
      <w:numFmt w:val="bullet"/>
      <w:lvlText w:val="•"/>
      <w:lvlJc w:val="left"/>
      <w:pPr>
        <w:tabs>
          <w:tab w:val="num" w:pos="2880"/>
        </w:tabs>
        <w:ind w:left="2880" w:hanging="360"/>
      </w:pPr>
      <w:rPr>
        <w:rFonts w:ascii="Arial" w:hAnsi="Arial" w:hint="default"/>
      </w:rPr>
    </w:lvl>
    <w:lvl w:ilvl="4" w:tplc="E278DA2A" w:tentative="1">
      <w:start w:val="1"/>
      <w:numFmt w:val="bullet"/>
      <w:lvlText w:val="•"/>
      <w:lvlJc w:val="left"/>
      <w:pPr>
        <w:tabs>
          <w:tab w:val="num" w:pos="3600"/>
        </w:tabs>
        <w:ind w:left="3600" w:hanging="360"/>
      </w:pPr>
      <w:rPr>
        <w:rFonts w:ascii="Arial" w:hAnsi="Arial" w:hint="default"/>
      </w:rPr>
    </w:lvl>
    <w:lvl w:ilvl="5" w:tplc="05DAED90" w:tentative="1">
      <w:start w:val="1"/>
      <w:numFmt w:val="bullet"/>
      <w:lvlText w:val="•"/>
      <w:lvlJc w:val="left"/>
      <w:pPr>
        <w:tabs>
          <w:tab w:val="num" w:pos="4320"/>
        </w:tabs>
        <w:ind w:left="4320" w:hanging="360"/>
      </w:pPr>
      <w:rPr>
        <w:rFonts w:ascii="Arial" w:hAnsi="Arial" w:hint="default"/>
      </w:rPr>
    </w:lvl>
    <w:lvl w:ilvl="6" w:tplc="5620968E" w:tentative="1">
      <w:start w:val="1"/>
      <w:numFmt w:val="bullet"/>
      <w:lvlText w:val="•"/>
      <w:lvlJc w:val="left"/>
      <w:pPr>
        <w:tabs>
          <w:tab w:val="num" w:pos="5040"/>
        </w:tabs>
        <w:ind w:left="5040" w:hanging="360"/>
      </w:pPr>
      <w:rPr>
        <w:rFonts w:ascii="Arial" w:hAnsi="Arial" w:hint="default"/>
      </w:rPr>
    </w:lvl>
    <w:lvl w:ilvl="7" w:tplc="4EF6A51E" w:tentative="1">
      <w:start w:val="1"/>
      <w:numFmt w:val="bullet"/>
      <w:lvlText w:val="•"/>
      <w:lvlJc w:val="left"/>
      <w:pPr>
        <w:tabs>
          <w:tab w:val="num" w:pos="5760"/>
        </w:tabs>
        <w:ind w:left="5760" w:hanging="360"/>
      </w:pPr>
      <w:rPr>
        <w:rFonts w:ascii="Arial" w:hAnsi="Arial" w:hint="default"/>
      </w:rPr>
    </w:lvl>
    <w:lvl w:ilvl="8" w:tplc="06CE8CA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C1443D"/>
    <w:multiLevelType w:val="hybridMultilevel"/>
    <w:tmpl w:val="1CE86558"/>
    <w:lvl w:ilvl="0" w:tplc="457E6DB6">
      <w:start w:val="1"/>
      <w:numFmt w:val="bullet"/>
      <w:lvlText w:val="•"/>
      <w:lvlJc w:val="left"/>
      <w:pPr>
        <w:tabs>
          <w:tab w:val="num" w:pos="720"/>
        </w:tabs>
        <w:ind w:left="720" w:hanging="360"/>
      </w:pPr>
      <w:rPr>
        <w:rFonts w:ascii="Arial" w:hAnsi="Arial" w:hint="default"/>
      </w:rPr>
    </w:lvl>
    <w:lvl w:ilvl="1" w:tplc="37C040FA">
      <w:numFmt w:val="bullet"/>
      <w:lvlText w:val="–"/>
      <w:lvlJc w:val="left"/>
      <w:pPr>
        <w:tabs>
          <w:tab w:val="num" w:pos="1440"/>
        </w:tabs>
        <w:ind w:left="1440" w:hanging="360"/>
      </w:pPr>
      <w:rPr>
        <w:rFonts w:ascii="Arial" w:hAnsi="Arial" w:hint="default"/>
      </w:rPr>
    </w:lvl>
    <w:lvl w:ilvl="2" w:tplc="3D2A0596">
      <w:numFmt w:val="bullet"/>
      <w:lvlText w:val="•"/>
      <w:lvlJc w:val="left"/>
      <w:pPr>
        <w:tabs>
          <w:tab w:val="num" w:pos="2160"/>
        </w:tabs>
        <w:ind w:left="2160" w:hanging="360"/>
      </w:pPr>
      <w:rPr>
        <w:rFonts w:ascii="Arial" w:hAnsi="Arial" w:hint="default"/>
      </w:rPr>
    </w:lvl>
    <w:lvl w:ilvl="3" w:tplc="B0985F1A" w:tentative="1">
      <w:start w:val="1"/>
      <w:numFmt w:val="bullet"/>
      <w:lvlText w:val="•"/>
      <w:lvlJc w:val="left"/>
      <w:pPr>
        <w:tabs>
          <w:tab w:val="num" w:pos="2880"/>
        </w:tabs>
        <w:ind w:left="2880" w:hanging="360"/>
      </w:pPr>
      <w:rPr>
        <w:rFonts w:ascii="Arial" w:hAnsi="Arial" w:hint="default"/>
      </w:rPr>
    </w:lvl>
    <w:lvl w:ilvl="4" w:tplc="E89A1986" w:tentative="1">
      <w:start w:val="1"/>
      <w:numFmt w:val="bullet"/>
      <w:lvlText w:val="•"/>
      <w:lvlJc w:val="left"/>
      <w:pPr>
        <w:tabs>
          <w:tab w:val="num" w:pos="3600"/>
        </w:tabs>
        <w:ind w:left="3600" w:hanging="360"/>
      </w:pPr>
      <w:rPr>
        <w:rFonts w:ascii="Arial" w:hAnsi="Arial" w:hint="default"/>
      </w:rPr>
    </w:lvl>
    <w:lvl w:ilvl="5" w:tplc="97D418AC" w:tentative="1">
      <w:start w:val="1"/>
      <w:numFmt w:val="bullet"/>
      <w:lvlText w:val="•"/>
      <w:lvlJc w:val="left"/>
      <w:pPr>
        <w:tabs>
          <w:tab w:val="num" w:pos="4320"/>
        </w:tabs>
        <w:ind w:left="4320" w:hanging="360"/>
      </w:pPr>
      <w:rPr>
        <w:rFonts w:ascii="Arial" w:hAnsi="Arial" w:hint="default"/>
      </w:rPr>
    </w:lvl>
    <w:lvl w:ilvl="6" w:tplc="CD887DA2" w:tentative="1">
      <w:start w:val="1"/>
      <w:numFmt w:val="bullet"/>
      <w:lvlText w:val="•"/>
      <w:lvlJc w:val="left"/>
      <w:pPr>
        <w:tabs>
          <w:tab w:val="num" w:pos="5040"/>
        </w:tabs>
        <w:ind w:left="5040" w:hanging="360"/>
      </w:pPr>
      <w:rPr>
        <w:rFonts w:ascii="Arial" w:hAnsi="Arial" w:hint="default"/>
      </w:rPr>
    </w:lvl>
    <w:lvl w:ilvl="7" w:tplc="4A10A6D2" w:tentative="1">
      <w:start w:val="1"/>
      <w:numFmt w:val="bullet"/>
      <w:lvlText w:val="•"/>
      <w:lvlJc w:val="left"/>
      <w:pPr>
        <w:tabs>
          <w:tab w:val="num" w:pos="5760"/>
        </w:tabs>
        <w:ind w:left="5760" w:hanging="360"/>
      </w:pPr>
      <w:rPr>
        <w:rFonts w:ascii="Arial" w:hAnsi="Arial" w:hint="default"/>
      </w:rPr>
    </w:lvl>
    <w:lvl w:ilvl="8" w:tplc="38E4E44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2BD17FF"/>
    <w:multiLevelType w:val="hybridMultilevel"/>
    <w:tmpl w:val="833E74F0"/>
    <w:lvl w:ilvl="0" w:tplc="83860D7C">
      <w:start w:val="1"/>
      <w:numFmt w:val="bullet"/>
      <w:lvlText w:val="•"/>
      <w:lvlJc w:val="left"/>
      <w:pPr>
        <w:tabs>
          <w:tab w:val="num" w:pos="360"/>
        </w:tabs>
        <w:ind w:left="360" w:hanging="360"/>
      </w:pPr>
      <w:rPr>
        <w:rFonts w:ascii="Arial" w:hAnsi="Arial" w:hint="default"/>
      </w:rPr>
    </w:lvl>
    <w:lvl w:ilvl="1" w:tplc="CF50A5C4">
      <w:numFmt w:val="bullet"/>
      <w:lvlText w:val="–"/>
      <w:lvlJc w:val="left"/>
      <w:pPr>
        <w:tabs>
          <w:tab w:val="num" w:pos="1080"/>
        </w:tabs>
        <w:ind w:left="1080" w:hanging="360"/>
      </w:pPr>
      <w:rPr>
        <w:rFonts w:ascii="Arial" w:hAnsi="Arial" w:hint="default"/>
      </w:rPr>
    </w:lvl>
    <w:lvl w:ilvl="2" w:tplc="03703042">
      <w:numFmt w:val="bullet"/>
      <w:lvlText w:val="•"/>
      <w:lvlJc w:val="left"/>
      <w:pPr>
        <w:tabs>
          <w:tab w:val="num" w:pos="1800"/>
        </w:tabs>
        <w:ind w:left="1800" w:hanging="360"/>
      </w:pPr>
      <w:rPr>
        <w:rFonts w:ascii="Arial" w:hAnsi="Arial" w:hint="default"/>
      </w:rPr>
    </w:lvl>
    <w:lvl w:ilvl="3" w:tplc="C3A4022C" w:tentative="1">
      <w:start w:val="1"/>
      <w:numFmt w:val="bullet"/>
      <w:lvlText w:val="•"/>
      <w:lvlJc w:val="left"/>
      <w:pPr>
        <w:tabs>
          <w:tab w:val="num" w:pos="2520"/>
        </w:tabs>
        <w:ind w:left="2520" w:hanging="360"/>
      </w:pPr>
      <w:rPr>
        <w:rFonts w:ascii="Arial" w:hAnsi="Arial" w:hint="default"/>
      </w:rPr>
    </w:lvl>
    <w:lvl w:ilvl="4" w:tplc="91C22B42" w:tentative="1">
      <w:start w:val="1"/>
      <w:numFmt w:val="bullet"/>
      <w:lvlText w:val="•"/>
      <w:lvlJc w:val="left"/>
      <w:pPr>
        <w:tabs>
          <w:tab w:val="num" w:pos="3240"/>
        </w:tabs>
        <w:ind w:left="3240" w:hanging="360"/>
      </w:pPr>
      <w:rPr>
        <w:rFonts w:ascii="Arial" w:hAnsi="Arial" w:hint="default"/>
      </w:rPr>
    </w:lvl>
    <w:lvl w:ilvl="5" w:tplc="CC1AB756" w:tentative="1">
      <w:start w:val="1"/>
      <w:numFmt w:val="bullet"/>
      <w:lvlText w:val="•"/>
      <w:lvlJc w:val="left"/>
      <w:pPr>
        <w:tabs>
          <w:tab w:val="num" w:pos="3960"/>
        </w:tabs>
        <w:ind w:left="3960" w:hanging="360"/>
      </w:pPr>
      <w:rPr>
        <w:rFonts w:ascii="Arial" w:hAnsi="Arial" w:hint="default"/>
      </w:rPr>
    </w:lvl>
    <w:lvl w:ilvl="6" w:tplc="EF983654" w:tentative="1">
      <w:start w:val="1"/>
      <w:numFmt w:val="bullet"/>
      <w:lvlText w:val="•"/>
      <w:lvlJc w:val="left"/>
      <w:pPr>
        <w:tabs>
          <w:tab w:val="num" w:pos="4680"/>
        </w:tabs>
        <w:ind w:left="4680" w:hanging="360"/>
      </w:pPr>
      <w:rPr>
        <w:rFonts w:ascii="Arial" w:hAnsi="Arial" w:hint="default"/>
      </w:rPr>
    </w:lvl>
    <w:lvl w:ilvl="7" w:tplc="9FC48FB0" w:tentative="1">
      <w:start w:val="1"/>
      <w:numFmt w:val="bullet"/>
      <w:lvlText w:val="•"/>
      <w:lvlJc w:val="left"/>
      <w:pPr>
        <w:tabs>
          <w:tab w:val="num" w:pos="5400"/>
        </w:tabs>
        <w:ind w:left="5400" w:hanging="360"/>
      </w:pPr>
      <w:rPr>
        <w:rFonts w:ascii="Arial" w:hAnsi="Arial" w:hint="default"/>
      </w:rPr>
    </w:lvl>
    <w:lvl w:ilvl="8" w:tplc="CFACA7E0"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72F15244"/>
    <w:multiLevelType w:val="hybridMultilevel"/>
    <w:tmpl w:val="613E2214"/>
    <w:lvl w:ilvl="0" w:tplc="D8CCC58C">
      <w:start w:val="1"/>
      <w:numFmt w:val="bullet"/>
      <w:lvlText w:val="•"/>
      <w:lvlJc w:val="left"/>
      <w:pPr>
        <w:tabs>
          <w:tab w:val="num" w:pos="720"/>
        </w:tabs>
        <w:ind w:left="720" w:hanging="360"/>
      </w:pPr>
      <w:rPr>
        <w:rFonts w:ascii="Arial" w:hAnsi="Arial" w:hint="default"/>
      </w:rPr>
    </w:lvl>
    <w:lvl w:ilvl="1" w:tplc="46F0BC9C">
      <w:numFmt w:val="bullet"/>
      <w:lvlText w:val="–"/>
      <w:lvlJc w:val="left"/>
      <w:pPr>
        <w:tabs>
          <w:tab w:val="num" w:pos="1440"/>
        </w:tabs>
        <w:ind w:left="1440" w:hanging="360"/>
      </w:pPr>
      <w:rPr>
        <w:rFonts w:ascii="Arial" w:hAnsi="Arial" w:hint="default"/>
      </w:rPr>
    </w:lvl>
    <w:lvl w:ilvl="2" w:tplc="3E9AE738">
      <w:numFmt w:val="bullet"/>
      <w:lvlText w:val="•"/>
      <w:lvlJc w:val="left"/>
      <w:pPr>
        <w:tabs>
          <w:tab w:val="num" w:pos="2160"/>
        </w:tabs>
        <w:ind w:left="2160" w:hanging="360"/>
      </w:pPr>
      <w:rPr>
        <w:rFonts w:ascii="Arial" w:hAnsi="Arial" w:hint="default"/>
      </w:rPr>
    </w:lvl>
    <w:lvl w:ilvl="3" w:tplc="D1960E96" w:tentative="1">
      <w:start w:val="1"/>
      <w:numFmt w:val="bullet"/>
      <w:lvlText w:val="•"/>
      <w:lvlJc w:val="left"/>
      <w:pPr>
        <w:tabs>
          <w:tab w:val="num" w:pos="2880"/>
        </w:tabs>
        <w:ind w:left="2880" w:hanging="360"/>
      </w:pPr>
      <w:rPr>
        <w:rFonts w:ascii="Arial" w:hAnsi="Arial" w:hint="default"/>
      </w:rPr>
    </w:lvl>
    <w:lvl w:ilvl="4" w:tplc="EE8E4B6C" w:tentative="1">
      <w:start w:val="1"/>
      <w:numFmt w:val="bullet"/>
      <w:lvlText w:val="•"/>
      <w:lvlJc w:val="left"/>
      <w:pPr>
        <w:tabs>
          <w:tab w:val="num" w:pos="3600"/>
        </w:tabs>
        <w:ind w:left="3600" w:hanging="360"/>
      </w:pPr>
      <w:rPr>
        <w:rFonts w:ascii="Arial" w:hAnsi="Arial" w:hint="default"/>
      </w:rPr>
    </w:lvl>
    <w:lvl w:ilvl="5" w:tplc="BB345D06" w:tentative="1">
      <w:start w:val="1"/>
      <w:numFmt w:val="bullet"/>
      <w:lvlText w:val="•"/>
      <w:lvlJc w:val="left"/>
      <w:pPr>
        <w:tabs>
          <w:tab w:val="num" w:pos="4320"/>
        </w:tabs>
        <w:ind w:left="4320" w:hanging="360"/>
      </w:pPr>
      <w:rPr>
        <w:rFonts w:ascii="Arial" w:hAnsi="Arial" w:hint="default"/>
      </w:rPr>
    </w:lvl>
    <w:lvl w:ilvl="6" w:tplc="2C005146" w:tentative="1">
      <w:start w:val="1"/>
      <w:numFmt w:val="bullet"/>
      <w:lvlText w:val="•"/>
      <w:lvlJc w:val="left"/>
      <w:pPr>
        <w:tabs>
          <w:tab w:val="num" w:pos="5040"/>
        </w:tabs>
        <w:ind w:left="5040" w:hanging="360"/>
      </w:pPr>
      <w:rPr>
        <w:rFonts w:ascii="Arial" w:hAnsi="Arial" w:hint="default"/>
      </w:rPr>
    </w:lvl>
    <w:lvl w:ilvl="7" w:tplc="56626176" w:tentative="1">
      <w:start w:val="1"/>
      <w:numFmt w:val="bullet"/>
      <w:lvlText w:val="•"/>
      <w:lvlJc w:val="left"/>
      <w:pPr>
        <w:tabs>
          <w:tab w:val="num" w:pos="5760"/>
        </w:tabs>
        <w:ind w:left="5760" w:hanging="360"/>
      </w:pPr>
      <w:rPr>
        <w:rFonts w:ascii="Arial" w:hAnsi="Arial" w:hint="default"/>
      </w:rPr>
    </w:lvl>
    <w:lvl w:ilvl="8" w:tplc="7D1659F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7DD359C"/>
    <w:multiLevelType w:val="hybridMultilevel"/>
    <w:tmpl w:val="9FD07A74"/>
    <w:lvl w:ilvl="0" w:tplc="15F81C04">
      <w:start w:val="1"/>
      <w:numFmt w:val="bullet"/>
      <w:lvlText w:val="–"/>
      <w:lvlJc w:val="left"/>
      <w:pPr>
        <w:tabs>
          <w:tab w:val="num" w:pos="360"/>
        </w:tabs>
        <w:ind w:left="360" w:hanging="360"/>
      </w:pPr>
      <w:rPr>
        <w:rFonts w:ascii="Arial" w:hAnsi="Arial" w:hint="default"/>
      </w:rPr>
    </w:lvl>
    <w:lvl w:ilvl="1" w:tplc="2AA2FF26">
      <w:start w:val="1"/>
      <w:numFmt w:val="bullet"/>
      <w:lvlText w:val="–"/>
      <w:lvlJc w:val="left"/>
      <w:pPr>
        <w:tabs>
          <w:tab w:val="num" w:pos="1080"/>
        </w:tabs>
        <w:ind w:left="1080" w:hanging="360"/>
      </w:pPr>
      <w:rPr>
        <w:rFonts w:ascii="Arial" w:hAnsi="Arial" w:hint="default"/>
      </w:rPr>
    </w:lvl>
    <w:lvl w:ilvl="2" w:tplc="DD0E15B8">
      <w:numFmt w:val="bullet"/>
      <w:lvlText w:val="•"/>
      <w:lvlJc w:val="left"/>
      <w:pPr>
        <w:tabs>
          <w:tab w:val="num" w:pos="1800"/>
        </w:tabs>
        <w:ind w:left="1800" w:hanging="360"/>
      </w:pPr>
      <w:rPr>
        <w:rFonts w:ascii="Arial" w:hAnsi="Arial" w:hint="default"/>
      </w:rPr>
    </w:lvl>
    <w:lvl w:ilvl="3" w:tplc="8C58B8B6">
      <w:numFmt w:val="bullet"/>
      <w:lvlText w:val="–"/>
      <w:lvlJc w:val="left"/>
      <w:pPr>
        <w:tabs>
          <w:tab w:val="num" w:pos="2520"/>
        </w:tabs>
        <w:ind w:left="2520" w:hanging="360"/>
      </w:pPr>
      <w:rPr>
        <w:rFonts w:ascii="Arial" w:hAnsi="Arial" w:hint="default"/>
      </w:rPr>
    </w:lvl>
    <w:lvl w:ilvl="4" w:tplc="983A7E88">
      <w:numFmt w:val="bullet"/>
      <w:lvlText w:val="»"/>
      <w:lvlJc w:val="left"/>
      <w:pPr>
        <w:tabs>
          <w:tab w:val="num" w:pos="3240"/>
        </w:tabs>
        <w:ind w:left="3240" w:hanging="360"/>
      </w:pPr>
      <w:rPr>
        <w:rFonts w:ascii="Arial" w:hAnsi="Arial" w:hint="default"/>
      </w:rPr>
    </w:lvl>
    <w:lvl w:ilvl="5" w:tplc="A4BA1410" w:tentative="1">
      <w:start w:val="1"/>
      <w:numFmt w:val="bullet"/>
      <w:lvlText w:val="–"/>
      <w:lvlJc w:val="left"/>
      <w:pPr>
        <w:tabs>
          <w:tab w:val="num" w:pos="3960"/>
        </w:tabs>
        <w:ind w:left="3960" w:hanging="360"/>
      </w:pPr>
      <w:rPr>
        <w:rFonts w:ascii="Arial" w:hAnsi="Arial" w:hint="default"/>
      </w:rPr>
    </w:lvl>
    <w:lvl w:ilvl="6" w:tplc="302C7D9E" w:tentative="1">
      <w:start w:val="1"/>
      <w:numFmt w:val="bullet"/>
      <w:lvlText w:val="–"/>
      <w:lvlJc w:val="left"/>
      <w:pPr>
        <w:tabs>
          <w:tab w:val="num" w:pos="4680"/>
        </w:tabs>
        <w:ind w:left="4680" w:hanging="360"/>
      </w:pPr>
      <w:rPr>
        <w:rFonts w:ascii="Arial" w:hAnsi="Arial" w:hint="default"/>
      </w:rPr>
    </w:lvl>
    <w:lvl w:ilvl="7" w:tplc="88A0D8C4" w:tentative="1">
      <w:start w:val="1"/>
      <w:numFmt w:val="bullet"/>
      <w:lvlText w:val="–"/>
      <w:lvlJc w:val="left"/>
      <w:pPr>
        <w:tabs>
          <w:tab w:val="num" w:pos="5400"/>
        </w:tabs>
        <w:ind w:left="5400" w:hanging="360"/>
      </w:pPr>
      <w:rPr>
        <w:rFonts w:ascii="Arial" w:hAnsi="Arial" w:hint="default"/>
      </w:rPr>
    </w:lvl>
    <w:lvl w:ilvl="8" w:tplc="78C809B6"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B8615C1"/>
    <w:multiLevelType w:val="hybridMultilevel"/>
    <w:tmpl w:val="9E74403E"/>
    <w:lvl w:ilvl="0" w:tplc="F4668BD8">
      <w:start w:val="1"/>
      <w:numFmt w:val="bullet"/>
      <w:lvlText w:val="•"/>
      <w:lvlJc w:val="left"/>
      <w:pPr>
        <w:tabs>
          <w:tab w:val="num" w:pos="720"/>
        </w:tabs>
        <w:ind w:left="720" w:hanging="360"/>
      </w:pPr>
      <w:rPr>
        <w:rFonts w:ascii="Arial" w:hAnsi="Arial" w:hint="default"/>
      </w:rPr>
    </w:lvl>
    <w:lvl w:ilvl="1" w:tplc="7A209470">
      <w:numFmt w:val="bullet"/>
      <w:lvlText w:val="–"/>
      <w:lvlJc w:val="left"/>
      <w:pPr>
        <w:tabs>
          <w:tab w:val="num" w:pos="1440"/>
        </w:tabs>
        <w:ind w:left="1440" w:hanging="360"/>
      </w:pPr>
      <w:rPr>
        <w:rFonts w:ascii="Arial" w:hAnsi="Arial" w:hint="default"/>
      </w:rPr>
    </w:lvl>
    <w:lvl w:ilvl="2" w:tplc="10C603AE" w:tentative="1">
      <w:start w:val="1"/>
      <w:numFmt w:val="bullet"/>
      <w:lvlText w:val="•"/>
      <w:lvlJc w:val="left"/>
      <w:pPr>
        <w:tabs>
          <w:tab w:val="num" w:pos="2160"/>
        </w:tabs>
        <w:ind w:left="2160" w:hanging="360"/>
      </w:pPr>
      <w:rPr>
        <w:rFonts w:ascii="Arial" w:hAnsi="Arial" w:hint="default"/>
      </w:rPr>
    </w:lvl>
    <w:lvl w:ilvl="3" w:tplc="91785226" w:tentative="1">
      <w:start w:val="1"/>
      <w:numFmt w:val="bullet"/>
      <w:lvlText w:val="•"/>
      <w:lvlJc w:val="left"/>
      <w:pPr>
        <w:tabs>
          <w:tab w:val="num" w:pos="2880"/>
        </w:tabs>
        <w:ind w:left="2880" w:hanging="360"/>
      </w:pPr>
      <w:rPr>
        <w:rFonts w:ascii="Arial" w:hAnsi="Arial" w:hint="default"/>
      </w:rPr>
    </w:lvl>
    <w:lvl w:ilvl="4" w:tplc="DC565AD6" w:tentative="1">
      <w:start w:val="1"/>
      <w:numFmt w:val="bullet"/>
      <w:lvlText w:val="•"/>
      <w:lvlJc w:val="left"/>
      <w:pPr>
        <w:tabs>
          <w:tab w:val="num" w:pos="3600"/>
        </w:tabs>
        <w:ind w:left="3600" w:hanging="360"/>
      </w:pPr>
      <w:rPr>
        <w:rFonts w:ascii="Arial" w:hAnsi="Arial" w:hint="default"/>
      </w:rPr>
    </w:lvl>
    <w:lvl w:ilvl="5" w:tplc="2E527850" w:tentative="1">
      <w:start w:val="1"/>
      <w:numFmt w:val="bullet"/>
      <w:lvlText w:val="•"/>
      <w:lvlJc w:val="left"/>
      <w:pPr>
        <w:tabs>
          <w:tab w:val="num" w:pos="4320"/>
        </w:tabs>
        <w:ind w:left="4320" w:hanging="360"/>
      </w:pPr>
      <w:rPr>
        <w:rFonts w:ascii="Arial" w:hAnsi="Arial" w:hint="default"/>
      </w:rPr>
    </w:lvl>
    <w:lvl w:ilvl="6" w:tplc="202C8DCC" w:tentative="1">
      <w:start w:val="1"/>
      <w:numFmt w:val="bullet"/>
      <w:lvlText w:val="•"/>
      <w:lvlJc w:val="left"/>
      <w:pPr>
        <w:tabs>
          <w:tab w:val="num" w:pos="5040"/>
        </w:tabs>
        <w:ind w:left="5040" w:hanging="360"/>
      </w:pPr>
      <w:rPr>
        <w:rFonts w:ascii="Arial" w:hAnsi="Arial" w:hint="default"/>
      </w:rPr>
    </w:lvl>
    <w:lvl w:ilvl="7" w:tplc="2ED0494C" w:tentative="1">
      <w:start w:val="1"/>
      <w:numFmt w:val="bullet"/>
      <w:lvlText w:val="•"/>
      <w:lvlJc w:val="left"/>
      <w:pPr>
        <w:tabs>
          <w:tab w:val="num" w:pos="5760"/>
        </w:tabs>
        <w:ind w:left="5760" w:hanging="360"/>
      </w:pPr>
      <w:rPr>
        <w:rFonts w:ascii="Arial" w:hAnsi="Arial" w:hint="default"/>
      </w:rPr>
    </w:lvl>
    <w:lvl w:ilvl="8" w:tplc="60D0683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5"/>
  </w:num>
  <w:num w:numId="2">
    <w:abstractNumId w:val="34"/>
  </w:num>
  <w:num w:numId="3">
    <w:abstractNumId w:val="39"/>
  </w:num>
  <w:num w:numId="4">
    <w:abstractNumId w:val="9"/>
  </w:num>
  <w:num w:numId="5">
    <w:abstractNumId w:val="14"/>
  </w:num>
  <w:num w:numId="6">
    <w:abstractNumId w:val="30"/>
  </w:num>
  <w:num w:numId="7">
    <w:abstractNumId w:val="24"/>
  </w:num>
  <w:num w:numId="8">
    <w:abstractNumId w:val="40"/>
    <w:lvlOverride w:ilvl="0">
      <w:startOverride w:val="1"/>
    </w:lvlOverride>
  </w:num>
  <w:num w:numId="9">
    <w:abstractNumId w:val="28"/>
  </w:num>
  <w:num w:numId="10">
    <w:abstractNumId w:val="17"/>
  </w:num>
  <w:num w:numId="11">
    <w:abstractNumId w:val="25"/>
  </w:num>
  <w:num w:numId="12">
    <w:abstractNumId w:val="6"/>
  </w:num>
  <w:num w:numId="13">
    <w:abstractNumId w:val="27"/>
  </w:num>
  <w:num w:numId="14">
    <w:abstractNumId w:val="0"/>
  </w:num>
  <w:num w:numId="15">
    <w:abstractNumId w:val="1"/>
  </w:num>
  <w:num w:numId="16">
    <w:abstractNumId w:val="3"/>
  </w:num>
  <w:num w:numId="17">
    <w:abstractNumId w:val="22"/>
  </w:num>
  <w:num w:numId="18">
    <w:abstractNumId w:val="35"/>
  </w:num>
  <w:num w:numId="19">
    <w:abstractNumId w:val="7"/>
  </w:num>
  <w:num w:numId="20">
    <w:abstractNumId w:val="19"/>
  </w:num>
  <w:num w:numId="21">
    <w:abstractNumId w:val="12"/>
  </w:num>
  <w:num w:numId="22">
    <w:abstractNumId w:val="21"/>
  </w:num>
  <w:num w:numId="23">
    <w:abstractNumId w:val="2"/>
  </w:num>
  <w:num w:numId="24">
    <w:abstractNumId w:val="11"/>
  </w:num>
  <w:num w:numId="25">
    <w:abstractNumId w:val="32"/>
  </w:num>
  <w:num w:numId="26">
    <w:abstractNumId w:val="10"/>
  </w:num>
  <w:num w:numId="27">
    <w:abstractNumId w:val="4"/>
  </w:num>
  <w:num w:numId="28">
    <w:abstractNumId w:val="38"/>
  </w:num>
  <w:num w:numId="29">
    <w:abstractNumId w:val="8"/>
  </w:num>
  <w:num w:numId="30">
    <w:abstractNumId w:val="13"/>
  </w:num>
  <w:num w:numId="31">
    <w:abstractNumId w:val="33"/>
  </w:num>
  <w:num w:numId="32">
    <w:abstractNumId w:val="23"/>
  </w:num>
  <w:num w:numId="33">
    <w:abstractNumId w:val="20"/>
  </w:num>
  <w:num w:numId="34">
    <w:abstractNumId w:val="36"/>
  </w:num>
  <w:num w:numId="35">
    <w:abstractNumId w:val="5"/>
  </w:num>
  <w:num w:numId="36">
    <w:abstractNumId w:val="13"/>
  </w:num>
  <w:num w:numId="37">
    <w:abstractNumId w:val="26"/>
  </w:num>
  <w:num w:numId="38">
    <w:abstractNumId w:val="29"/>
  </w:num>
  <w:num w:numId="39">
    <w:abstractNumId w:val="31"/>
  </w:num>
  <w:num w:numId="40">
    <w:abstractNumId w:val="16"/>
  </w:num>
  <w:num w:numId="41">
    <w:abstractNumId w:val="37"/>
  </w:num>
  <w:num w:numId="42">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2D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328"/>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5BF"/>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2C4"/>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A5D"/>
    <w:rsid w:val="001A3B21"/>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8B3"/>
    <w:rsid w:val="001E39F0"/>
    <w:rsid w:val="001E3AE2"/>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CF1"/>
    <w:rsid w:val="00211D4D"/>
    <w:rsid w:val="002121D7"/>
    <w:rsid w:val="00212317"/>
    <w:rsid w:val="00212793"/>
    <w:rsid w:val="002127B4"/>
    <w:rsid w:val="002127E6"/>
    <w:rsid w:val="002128DF"/>
    <w:rsid w:val="002129BB"/>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326"/>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DDB"/>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C1F"/>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413"/>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CFD"/>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67"/>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9F6"/>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4E5F"/>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47C"/>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0BA8"/>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CAC"/>
    <w:rsid w:val="004D5F99"/>
    <w:rsid w:val="004D6385"/>
    <w:rsid w:val="004D67CB"/>
    <w:rsid w:val="004D68A2"/>
    <w:rsid w:val="004D71A9"/>
    <w:rsid w:val="004D7313"/>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C02"/>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723"/>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E61"/>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FB"/>
    <w:rsid w:val="006D7740"/>
    <w:rsid w:val="006D7BDC"/>
    <w:rsid w:val="006D7EAD"/>
    <w:rsid w:val="006D7ECB"/>
    <w:rsid w:val="006E0370"/>
    <w:rsid w:val="006E0E9E"/>
    <w:rsid w:val="006E1076"/>
    <w:rsid w:val="006E198F"/>
    <w:rsid w:val="006E1B28"/>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A42"/>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9A0"/>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15B"/>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B6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9D2"/>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0781"/>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3D10"/>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A5F"/>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BA2"/>
    <w:rsid w:val="00A37E38"/>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82F"/>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9F4"/>
    <w:rsid w:val="00B31F99"/>
    <w:rsid w:val="00B32292"/>
    <w:rsid w:val="00B32368"/>
    <w:rsid w:val="00B326DC"/>
    <w:rsid w:val="00B3272B"/>
    <w:rsid w:val="00B32778"/>
    <w:rsid w:val="00B334E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251"/>
    <w:rsid w:val="00B57CDE"/>
    <w:rsid w:val="00B57E24"/>
    <w:rsid w:val="00B57E43"/>
    <w:rsid w:val="00B57ED9"/>
    <w:rsid w:val="00B6039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3EF"/>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243"/>
    <w:rsid w:val="00B84464"/>
    <w:rsid w:val="00B84535"/>
    <w:rsid w:val="00B85071"/>
    <w:rsid w:val="00B8575B"/>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1F"/>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1BD"/>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uiPriority w:val="99"/>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445329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4835910">
      <w:bodyDiv w:val="1"/>
      <w:marLeft w:val="0"/>
      <w:marRight w:val="0"/>
      <w:marTop w:val="0"/>
      <w:marBottom w:val="0"/>
      <w:divBdr>
        <w:top w:val="none" w:sz="0" w:space="0" w:color="auto"/>
        <w:left w:val="none" w:sz="0" w:space="0" w:color="auto"/>
        <w:bottom w:val="none" w:sz="0" w:space="0" w:color="auto"/>
        <w:right w:val="none" w:sz="0" w:space="0" w:color="auto"/>
      </w:divBdr>
      <w:divsChild>
        <w:div w:id="312488951">
          <w:marLeft w:val="1166"/>
          <w:marRight w:val="0"/>
          <w:marTop w:val="77"/>
          <w:marBottom w:val="0"/>
          <w:divBdr>
            <w:top w:val="none" w:sz="0" w:space="0" w:color="auto"/>
            <w:left w:val="none" w:sz="0" w:space="0" w:color="auto"/>
            <w:bottom w:val="none" w:sz="0" w:space="0" w:color="auto"/>
            <w:right w:val="none" w:sz="0" w:space="0" w:color="auto"/>
          </w:divBdr>
        </w:div>
        <w:div w:id="2021855020">
          <w:marLeft w:val="1800"/>
          <w:marRight w:val="0"/>
          <w:marTop w:val="72"/>
          <w:marBottom w:val="0"/>
          <w:divBdr>
            <w:top w:val="none" w:sz="0" w:space="0" w:color="auto"/>
            <w:left w:val="none" w:sz="0" w:space="0" w:color="auto"/>
            <w:bottom w:val="none" w:sz="0" w:space="0" w:color="auto"/>
            <w:right w:val="none" w:sz="0" w:space="0" w:color="auto"/>
          </w:divBdr>
        </w:div>
        <w:div w:id="342822731">
          <w:marLeft w:val="2520"/>
          <w:marRight w:val="0"/>
          <w:marTop w:val="58"/>
          <w:marBottom w:val="0"/>
          <w:divBdr>
            <w:top w:val="none" w:sz="0" w:space="0" w:color="auto"/>
            <w:left w:val="none" w:sz="0" w:space="0" w:color="auto"/>
            <w:bottom w:val="none" w:sz="0" w:space="0" w:color="auto"/>
            <w:right w:val="none" w:sz="0" w:space="0" w:color="auto"/>
          </w:divBdr>
        </w:div>
        <w:div w:id="471144974">
          <w:marLeft w:val="1800"/>
          <w:marRight w:val="0"/>
          <w:marTop w:val="72"/>
          <w:marBottom w:val="0"/>
          <w:divBdr>
            <w:top w:val="none" w:sz="0" w:space="0" w:color="auto"/>
            <w:left w:val="none" w:sz="0" w:space="0" w:color="auto"/>
            <w:bottom w:val="none" w:sz="0" w:space="0" w:color="auto"/>
            <w:right w:val="none" w:sz="0" w:space="0" w:color="auto"/>
          </w:divBdr>
        </w:div>
        <w:div w:id="1654480365">
          <w:marLeft w:val="2520"/>
          <w:marRight w:val="0"/>
          <w:marTop w:val="58"/>
          <w:marBottom w:val="0"/>
          <w:divBdr>
            <w:top w:val="none" w:sz="0" w:space="0" w:color="auto"/>
            <w:left w:val="none" w:sz="0" w:space="0" w:color="auto"/>
            <w:bottom w:val="none" w:sz="0" w:space="0" w:color="auto"/>
            <w:right w:val="none" w:sz="0" w:space="0" w:color="auto"/>
          </w:divBdr>
        </w:div>
        <w:div w:id="1493063816">
          <w:marLeft w:val="3240"/>
          <w:marRight w:val="0"/>
          <w:marTop w:val="58"/>
          <w:marBottom w:val="0"/>
          <w:divBdr>
            <w:top w:val="none" w:sz="0" w:space="0" w:color="auto"/>
            <w:left w:val="none" w:sz="0" w:space="0" w:color="auto"/>
            <w:bottom w:val="none" w:sz="0" w:space="0" w:color="auto"/>
            <w:right w:val="none" w:sz="0" w:space="0" w:color="auto"/>
          </w:divBdr>
        </w:div>
        <w:div w:id="751581809">
          <w:marLeft w:val="1800"/>
          <w:marRight w:val="0"/>
          <w:marTop w:val="72"/>
          <w:marBottom w:val="0"/>
          <w:divBdr>
            <w:top w:val="none" w:sz="0" w:space="0" w:color="auto"/>
            <w:left w:val="none" w:sz="0" w:space="0" w:color="auto"/>
            <w:bottom w:val="none" w:sz="0" w:space="0" w:color="auto"/>
            <w:right w:val="none" w:sz="0" w:space="0" w:color="auto"/>
          </w:divBdr>
        </w:div>
        <w:div w:id="1852067926">
          <w:marLeft w:val="2520"/>
          <w:marRight w:val="0"/>
          <w:marTop w:val="58"/>
          <w:marBottom w:val="0"/>
          <w:divBdr>
            <w:top w:val="none" w:sz="0" w:space="0" w:color="auto"/>
            <w:left w:val="none" w:sz="0" w:space="0" w:color="auto"/>
            <w:bottom w:val="none" w:sz="0" w:space="0" w:color="auto"/>
            <w:right w:val="none" w:sz="0" w:space="0" w:color="auto"/>
          </w:divBdr>
        </w:div>
        <w:div w:id="998994995">
          <w:marLeft w:val="3240"/>
          <w:marRight w:val="0"/>
          <w:marTop w:val="58"/>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10975454">
      <w:bodyDiv w:val="1"/>
      <w:marLeft w:val="0"/>
      <w:marRight w:val="0"/>
      <w:marTop w:val="0"/>
      <w:marBottom w:val="0"/>
      <w:divBdr>
        <w:top w:val="none" w:sz="0" w:space="0" w:color="auto"/>
        <w:left w:val="none" w:sz="0" w:space="0" w:color="auto"/>
        <w:bottom w:val="none" w:sz="0" w:space="0" w:color="auto"/>
        <w:right w:val="none" w:sz="0" w:space="0" w:color="auto"/>
      </w:divBdr>
      <w:divsChild>
        <w:div w:id="286203470">
          <w:marLeft w:val="547"/>
          <w:marRight w:val="0"/>
          <w:marTop w:val="106"/>
          <w:marBottom w:val="0"/>
          <w:divBdr>
            <w:top w:val="none" w:sz="0" w:space="0" w:color="auto"/>
            <w:left w:val="none" w:sz="0" w:space="0" w:color="auto"/>
            <w:bottom w:val="none" w:sz="0" w:space="0" w:color="auto"/>
            <w:right w:val="none" w:sz="0" w:space="0" w:color="auto"/>
          </w:divBdr>
        </w:div>
        <w:div w:id="1130247217">
          <w:marLeft w:val="1166"/>
          <w:marRight w:val="0"/>
          <w:marTop w:val="91"/>
          <w:marBottom w:val="0"/>
          <w:divBdr>
            <w:top w:val="none" w:sz="0" w:space="0" w:color="auto"/>
            <w:left w:val="none" w:sz="0" w:space="0" w:color="auto"/>
            <w:bottom w:val="none" w:sz="0" w:space="0" w:color="auto"/>
            <w:right w:val="none" w:sz="0" w:space="0" w:color="auto"/>
          </w:divBdr>
        </w:div>
        <w:div w:id="1792627359">
          <w:marLeft w:val="1800"/>
          <w:marRight w:val="0"/>
          <w:marTop w:val="91"/>
          <w:marBottom w:val="0"/>
          <w:divBdr>
            <w:top w:val="none" w:sz="0" w:space="0" w:color="auto"/>
            <w:left w:val="none" w:sz="0" w:space="0" w:color="auto"/>
            <w:bottom w:val="none" w:sz="0" w:space="0" w:color="auto"/>
            <w:right w:val="none" w:sz="0" w:space="0" w:color="auto"/>
          </w:divBdr>
        </w:div>
        <w:div w:id="1029529149">
          <w:marLeft w:val="1166"/>
          <w:marRight w:val="0"/>
          <w:marTop w:val="91"/>
          <w:marBottom w:val="0"/>
          <w:divBdr>
            <w:top w:val="none" w:sz="0" w:space="0" w:color="auto"/>
            <w:left w:val="none" w:sz="0" w:space="0" w:color="auto"/>
            <w:bottom w:val="none" w:sz="0" w:space="0" w:color="auto"/>
            <w:right w:val="none" w:sz="0" w:space="0" w:color="auto"/>
          </w:divBdr>
        </w:div>
        <w:div w:id="1862471825">
          <w:marLeft w:val="1800"/>
          <w:marRight w:val="0"/>
          <w:marTop w:val="91"/>
          <w:marBottom w:val="0"/>
          <w:divBdr>
            <w:top w:val="none" w:sz="0" w:space="0" w:color="auto"/>
            <w:left w:val="none" w:sz="0" w:space="0" w:color="auto"/>
            <w:bottom w:val="none" w:sz="0" w:space="0" w:color="auto"/>
            <w:right w:val="none" w:sz="0" w:space="0" w:color="auto"/>
          </w:divBdr>
        </w:div>
        <w:div w:id="1946234126">
          <w:marLeft w:val="1166"/>
          <w:marRight w:val="0"/>
          <w:marTop w:val="82"/>
          <w:marBottom w:val="0"/>
          <w:divBdr>
            <w:top w:val="none" w:sz="0" w:space="0" w:color="auto"/>
            <w:left w:val="none" w:sz="0" w:space="0" w:color="auto"/>
            <w:bottom w:val="none" w:sz="0" w:space="0" w:color="auto"/>
            <w:right w:val="none" w:sz="0" w:space="0" w:color="auto"/>
          </w:divBdr>
        </w:div>
        <w:div w:id="1182935662">
          <w:marLeft w:val="1800"/>
          <w:marRight w:val="0"/>
          <w:marTop w:val="91"/>
          <w:marBottom w:val="0"/>
          <w:divBdr>
            <w:top w:val="none" w:sz="0" w:space="0" w:color="auto"/>
            <w:left w:val="none" w:sz="0" w:space="0" w:color="auto"/>
            <w:bottom w:val="none" w:sz="0" w:space="0" w:color="auto"/>
            <w:right w:val="none" w:sz="0" w:space="0" w:color="auto"/>
          </w:divBdr>
        </w:div>
        <w:div w:id="571700139">
          <w:marLeft w:val="1166"/>
          <w:marRight w:val="0"/>
          <w:marTop w:val="82"/>
          <w:marBottom w:val="0"/>
          <w:divBdr>
            <w:top w:val="none" w:sz="0" w:space="0" w:color="auto"/>
            <w:left w:val="none" w:sz="0" w:space="0" w:color="auto"/>
            <w:bottom w:val="none" w:sz="0" w:space="0" w:color="auto"/>
            <w:right w:val="none" w:sz="0" w:space="0" w:color="auto"/>
          </w:divBdr>
        </w:div>
        <w:div w:id="201330568">
          <w:marLeft w:val="1800"/>
          <w:marRight w:val="0"/>
          <w:marTop w:val="91"/>
          <w:marBottom w:val="0"/>
          <w:divBdr>
            <w:top w:val="none" w:sz="0" w:space="0" w:color="auto"/>
            <w:left w:val="none" w:sz="0" w:space="0" w:color="auto"/>
            <w:bottom w:val="none" w:sz="0" w:space="0" w:color="auto"/>
            <w:right w:val="none" w:sz="0" w:space="0" w:color="auto"/>
          </w:divBdr>
        </w:div>
        <w:div w:id="131362482">
          <w:marLeft w:val="1800"/>
          <w:marRight w:val="0"/>
          <w:marTop w:val="91"/>
          <w:marBottom w:val="0"/>
          <w:divBdr>
            <w:top w:val="none" w:sz="0" w:space="0" w:color="auto"/>
            <w:left w:val="none" w:sz="0" w:space="0" w:color="auto"/>
            <w:bottom w:val="none" w:sz="0" w:space="0" w:color="auto"/>
            <w:right w:val="none" w:sz="0" w:space="0" w:color="auto"/>
          </w:divBdr>
        </w:div>
        <w:div w:id="573852751">
          <w:marLeft w:val="2520"/>
          <w:marRight w:val="0"/>
          <w:marTop w:val="77"/>
          <w:marBottom w:val="0"/>
          <w:divBdr>
            <w:top w:val="none" w:sz="0" w:space="0" w:color="auto"/>
            <w:left w:val="none" w:sz="0" w:space="0" w:color="auto"/>
            <w:bottom w:val="none" w:sz="0" w:space="0" w:color="auto"/>
            <w:right w:val="none" w:sz="0" w:space="0" w:color="auto"/>
          </w:divBdr>
        </w:div>
        <w:div w:id="1664309598">
          <w:marLeft w:val="2520"/>
          <w:marRight w:val="0"/>
          <w:marTop w:val="77"/>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74157072">
      <w:bodyDiv w:val="1"/>
      <w:marLeft w:val="0"/>
      <w:marRight w:val="0"/>
      <w:marTop w:val="0"/>
      <w:marBottom w:val="0"/>
      <w:divBdr>
        <w:top w:val="none" w:sz="0" w:space="0" w:color="auto"/>
        <w:left w:val="none" w:sz="0" w:space="0" w:color="auto"/>
        <w:bottom w:val="none" w:sz="0" w:space="0" w:color="auto"/>
        <w:right w:val="none" w:sz="0" w:space="0" w:color="auto"/>
      </w:divBdr>
      <w:divsChild>
        <w:div w:id="1475559747">
          <w:marLeft w:val="547"/>
          <w:marRight w:val="0"/>
          <w:marTop w:val="106"/>
          <w:marBottom w:val="0"/>
          <w:divBdr>
            <w:top w:val="none" w:sz="0" w:space="0" w:color="auto"/>
            <w:left w:val="none" w:sz="0" w:space="0" w:color="auto"/>
            <w:bottom w:val="none" w:sz="0" w:space="0" w:color="auto"/>
            <w:right w:val="none" w:sz="0" w:space="0" w:color="auto"/>
          </w:divBdr>
        </w:div>
        <w:div w:id="1448701414">
          <w:marLeft w:val="1166"/>
          <w:marRight w:val="0"/>
          <w:marTop w:val="91"/>
          <w:marBottom w:val="0"/>
          <w:divBdr>
            <w:top w:val="none" w:sz="0" w:space="0" w:color="auto"/>
            <w:left w:val="none" w:sz="0" w:space="0" w:color="auto"/>
            <w:bottom w:val="none" w:sz="0" w:space="0" w:color="auto"/>
            <w:right w:val="none" w:sz="0" w:space="0" w:color="auto"/>
          </w:divBdr>
        </w:div>
        <w:div w:id="1334451960">
          <w:marLeft w:val="1800"/>
          <w:marRight w:val="0"/>
          <w:marTop w:val="91"/>
          <w:marBottom w:val="0"/>
          <w:divBdr>
            <w:top w:val="none" w:sz="0" w:space="0" w:color="auto"/>
            <w:left w:val="none" w:sz="0" w:space="0" w:color="auto"/>
            <w:bottom w:val="none" w:sz="0" w:space="0" w:color="auto"/>
            <w:right w:val="none" w:sz="0" w:space="0" w:color="auto"/>
          </w:divBdr>
        </w:div>
        <w:div w:id="970940316">
          <w:marLeft w:val="1166"/>
          <w:marRight w:val="0"/>
          <w:marTop w:val="91"/>
          <w:marBottom w:val="0"/>
          <w:divBdr>
            <w:top w:val="none" w:sz="0" w:space="0" w:color="auto"/>
            <w:left w:val="none" w:sz="0" w:space="0" w:color="auto"/>
            <w:bottom w:val="none" w:sz="0" w:space="0" w:color="auto"/>
            <w:right w:val="none" w:sz="0" w:space="0" w:color="auto"/>
          </w:divBdr>
        </w:div>
        <w:div w:id="1495990864">
          <w:marLeft w:val="1800"/>
          <w:marRight w:val="0"/>
          <w:marTop w:val="82"/>
          <w:marBottom w:val="0"/>
          <w:divBdr>
            <w:top w:val="none" w:sz="0" w:space="0" w:color="auto"/>
            <w:left w:val="none" w:sz="0" w:space="0" w:color="auto"/>
            <w:bottom w:val="none" w:sz="0" w:space="0" w:color="auto"/>
            <w:right w:val="none" w:sz="0" w:space="0" w:color="auto"/>
          </w:divBdr>
        </w:div>
        <w:div w:id="595211600">
          <w:marLeft w:val="547"/>
          <w:marRight w:val="0"/>
          <w:marTop w:val="106"/>
          <w:marBottom w:val="0"/>
          <w:divBdr>
            <w:top w:val="none" w:sz="0" w:space="0" w:color="auto"/>
            <w:left w:val="none" w:sz="0" w:space="0" w:color="auto"/>
            <w:bottom w:val="none" w:sz="0" w:space="0" w:color="auto"/>
            <w:right w:val="none" w:sz="0" w:space="0" w:color="auto"/>
          </w:divBdr>
        </w:div>
        <w:div w:id="989752884">
          <w:marLeft w:val="1166"/>
          <w:marRight w:val="0"/>
          <w:marTop w:val="91"/>
          <w:marBottom w:val="0"/>
          <w:divBdr>
            <w:top w:val="none" w:sz="0" w:space="0" w:color="auto"/>
            <w:left w:val="none" w:sz="0" w:space="0" w:color="auto"/>
            <w:bottom w:val="none" w:sz="0" w:space="0" w:color="auto"/>
            <w:right w:val="none" w:sz="0" w:space="0" w:color="auto"/>
          </w:divBdr>
        </w:div>
        <w:div w:id="2034108035">
          <w:marLeft w:val="1800"/>
          <w:marRight w:val="0"/>
          <w:marTop w:val="91"/>
          <w:marBottom w:val="0"/>
          <w:divBdr>
            <w:top w:val="none" w:sz="0" w:space="0" w:color="auto"/>
            <w:left w:val="none" w:sz="0" w:space="0" w:color="auto"/>
            <w:bottom w:val="none" w:sz="0" w:space="0" w:color="auto"/>
            <w:right w:val="none" w:sz="0" w:space="0" w:color="auto"/>
          </w:divBdr>
        </w:div>
        <w:div w:id="895700744">
          <w:marLeft w:val="1166"/>
          <w:marRight w:val="0"/>
          <w:marTop w:val="91"/>
          <w:marBottom w:val="0"/>
          <w:divBdr>
            <w:top w:val="none" w:sz="0" w:space="0" w:color="auto"/>
            <w:left w:val="none" w:sz="0" w:space="0" w:color="auto"/>
            <w:bottom w:val="none" w:sz="0" w:space="0" w:color="auto"/>
            <w:right w:val="none" w:sz="0" w:space="0" w:color="auto"/>
          </w:divBdr>
        </w:div>
        <w:div w:id="493643637">
          <w:marLeft w:val="1800"/>
          <w:marRight w:val="0"/>
          <w:marTop w:val="91"/>
          <w:marBottom w:val="0"/>
          <w:divBdr>
            <w:top w:val="none" w:sz="0" w:space="0" w:color="auto"/>
            <w:left w:val="none" w:sz="0" w:space="0" w:color="auto"/>
            <w:bottom w:val="none" w:sz="0" w:space="0" w:color="auto"/>
            <w:right w:val="none" w:sz="0" w:space="0" w:color="auto"/>
          </w:divBdr>
        </w:div>
      </w:divsChild>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55677378">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1844962">
      <w:bodyDiv w:val="1"/>
      <w:marLeft w:val="0"/>
      <w:marRight w:val="0"/>
      <w:marTop w:val="0"/>
      <w:marBottom w:val="0"/>
      <w:divBdr>
        <w:top w:val="none" w:sz="0" w:space="0" w:color="auto"/>
        <w:left w:val="none" w:sz="0" w:space="0" w:color="auto"/>
        <w:bottom w:val="none" w:sz="0" w:space="0" w:color="auto"/>
        <w:right w:val="none" w:sz="0" w:space="0" w:color="auto"/>
      </w:divBdr>
      <w:divsChild>
        <w:div w:id="1740983228">
          <w:marLeft w:val="547"/>
          <w:marRight w:val="0"/>
          <w:marTop w:val="72"/>
          <w:marBottom w:val="0"/>
          <w:divBdr>
            <w:top w:val="none" w:sz="0" w:space="0" w:color="auto"/>
            <w:left w:val="none" w:sz="0" w:space="0" w:color="auto"/>
            <w:bottom w:val="none" w:sz="0" w:space="0" w:color="auto"/>
            <w:right w:val="none" w:sz="0" w:space="0" w:color="auto"/>
          </w:divBdr>
        </w:div>
        <w:div w:id="1953628609">
          <w:marLeft w:val="1166"/>
          <w:marRight w:val="0"/>
          <w:marTop w:val="62"/>
          <w:marBottom w:val="0"/>
          <w:divBdr>
            <w:top w:val="none" w:sz="0" w:space="0" w:color="auto"/>
            <w:left w:val="none" w:sz="0" w:space="0" w:color="auto"/>
            <w:bottom w:val="none" w:sz="0" w:space="0" w:color="auto"/>
            <w:right w:val="none" w:sz="0" w:space="0" w:color="auto"/>
          </w:divBdr>
        </w:div>
        <w:div w:id="1904636285">
          <w:marLeft w:val="1800"/>
          <w:marRight w:val="0"/>
          <w:marTop w:val="48"/>
          <w:marBottom w:val="0"/>
          <w:divBdr>
            <w:top w:val="none" w:sz="0" w:space="0" w:color="auto"/>
            <w:left w:val="none" w:sz="0" w:space="0" w:color="auto"/>
            <w:bottom w:val="none" w:sz="0" w:space="0" w:color="auto"/>
            <w:right w:val="none" w:sz="0" w:space="0" w:color="auto"/>
          </w:divBdr>
        </w:div>
        <w:div w:id="1210728810">
          <w:marLeft w:val="2520"/>
          <w:marRight w:val="0"/>
          <w:marTop w:val="48"/>
          <w:marBottom w:val="0"/>
          <w:divBdr>
            <w:top w:val="none" w:sz="0" w:space="0" w:color="auto"/>
            <w:left w:val="none" w:sz="0" w:space="0" w:color="auto"/>
            <w:bottom w:val="none" w:sz="0" w:space="0" w:color="auto"/>
            <w:right w:val="none" w:sz="0" w:space="0" w:color="auto"/>
          </w:divBdr>
        </w:div>
        <w:div w:id="1826122272">
          <w:marLeft w:val="1800"/>
          <w:marRight w:val="0"/>
          <w:marTop w:val="48"/>
          <w:marBottom w:val="0"/>
          <w:divBdr>
            <w:top w:val="none" w:sz="0" w:space="0" w:color="auto"/>
            <w:left w:val="none" w:sz="0" w:space="0" w:color="auto"/>
            <w:bottom w:val="none" w:sz="0" w:space="0" w:color="auto"/>
            <w:right w:val="none" w:sz="0" w:space="0" w:color="auto"/>
          </w:divBdr>
        </w:div>
        <w:div w:id="1582569187">
          <w:marLeft w:val="2520"/>
          <w:marRight w:val="0"/>
          <w:marTop w:val="48"/>
          <w:marBottom w:val="0"/>
          <w:divBdr>
            <w:top w:val="none" w:sz="0" w:space="0" w:color="auto"/>
            <w:left w:val="none" w:sz="0" w:space="0" w:color="auto"/>
            <w:bottom w:val="none" w:sz="0" w:space="0" w:color="auto"/>
            <w:right w:val="none" w:sz="0" w:space="0" w:color="auto"/>
          </w:divBdr>
        </w:div>
        <w:div w:id="924993164">
          <w:marLeft w:val="1166"/>
          <w:marRight w:val="0"/>
          <w:marTop w:val="62"/>
          <w:marBottom w:val="0"/>
          <w:divBdr>
            <w:top w:val="none" w:sz="0" w:space="0" w:color="auto"/>
            <w:left w:val="none" w:sz="0" w:space="0" w:color="auto"/>
            <w:bottom w:val="none" w:sz="0" w:space="0" w:color="auto"/>
            <w:right w:val="none" w:sz="0" w:space="0" w:color="auto"/>
          </w:divBdr>
        </w:div>
        <w:div w:id="769668052">
          <w:marLeft w:val="1800"/>
          <w:marRight w:val="0"/>
          <w:marTop w:val="48"/>
          <w:marBottom w:val="0"/>
          <w:divBdr>
            <w:top w:val="none" w:sz="0" w:space="0" w:color="auto"/>
            <w:left w:val="none" w:sz="0" w:space="0" w:color="auto"/>
            <w:bottom w:val="none" w:sz="0" w:space="0" w:color="auto"/>
            <w:right w:val="none" w:sz="0" w:space="0" w:color="auto"/>
          </w:divBdr>
        </w:div>
        <w:div w:id="81996611">
          <w:marLeft w:val="2520"/>
          <w:marRight w:val="0"/>
          <w:marTop w:val="48"/>
          <w:marBottom w:val="0"/>
          <w:divBdr>
            <w:top w:val="none" w:sz="0" w:space="0" w:color="auto"/>
            <w:left w:val="none" w:sz="0" w:space="0" w:color="auto"/>
            <w:bottom w:val="none" w:sz="0" w:space="0" w:color="auto"/>
            <w:right w:val="none" w:sz="0" w:space="0" w:color="auto"/>
          </w:divBdr>
        </w:div>
        <w:div w:id="134180177">
          <w:marLeft w:val="1800"/>
          <w:marRight w:val="0"/>
          <w:marTop w:val="48"/>
          <w:marBottom w:val="0"/>
          <w:divBdr>
            <w:top w:val="none" w:sz="0" w:space="0" w:color="auto"/>
            <w:left w:val="none" w:sz="0" w:space="0" w:color="auto"/>
            <w:bottom w:val="none" w:sz="0" w:space="0" w:color="auto"/>
            <w:right w:val="none" w:sz="0" w:space="0" w:color="auto"/>
          </w:divBdr>
        </w:div>
        <w:div w:id="1967739447">
          <w:marLeft w:val="2520"/>
          <w:marRight w:val="0"/>
          <w:marTop w:val="48"/>
          <w:marBottom w:val="0"/>
          <w:divBdr>
            <w:top w:val="none" w:sz="0" w:space="0" w:color="auto"/>
            <w:left w:val="none" w:sz="0" w:space="0" w:color="auto"/>
            <w:bottom w:val="none" w:sz="0" w:space="0" w:color="auto"/>
            <w:right w:val="none" w:sz="0" w:space="0" w:color="auto"/>
          </w:divBdr>
        </w:div>
        <w:div w:id="1170565181">
          <w:marLeft w:val="1166"/>
          <w:marRight w:val="0"/>
          <w:marTop w:val="62"/>
          <w:marBottom w:val="0"/>
          <w:divBdr>
            <w:top w:val="none" w:sz="0" w:space="0" w:color="auto"/>
            <w:left w:val="none" w:sz="0" w:space="0" w:color="auto"/>
            <w:bottom w:val="none" w:sz="0" w:space="0" w:color="auto"/>
            <w:right w:val="none" w:sz="0" w:space="0" w:color="auto"/>
          </w:divBdr>
        </w:div>
        <w:div w:id="1741974884">
          <w:marLeft w:val="1800"/>
          <w:marRight w:val="0"/>
          <w:marTop w:val="48"/>
          <w:marBottom w:val="0"/>
          <w:divBdr>
            <w:top w:val="none" w:sz="0" w:space="0" w:color="auto"/>
            <w:left w:val="none" w:sz="0" w:space="0" w:color="auto"/>
            <w:bottom w:val="none" w:sz="0" w:space="0" w:color="auto"/>
            <w:right w:val="none" w:sz="0" w:space="0" w:color="auto"/>
          </w:divBdr>
        </w:div>
        <w:div w:id="2077777578">
          <w:marLeft w:val="2520"/>
          <w:marRight w:val="0"/>
          <w:marTop w:val="48"/>
          <w:marBottom w:val="0"/>
          <w:divBdr>
            <w:top w:val="none" w:sz="0" w:space="0" w:color="auto"/>
            <w:left w:val="none" w:sz="0" w:space="0" w:color="auto"/>
            <w:bottom w:val="none" w:sz="0" w:space="0" w:color="auto"/>
            <w:right w:val="none" w:sz="0" w:space="0" w:color="auto"/>
          </w:divBdr>
        </w:div>
        <w:div w:id="1136143387">
          <w:marLeft w:val="1800"/>
          <w:marRight w:val="0"/>
          <w:marTop w:val="48"/>
          <w:marBottom w:val="0"/>
          <w:divBdr>
            <w:top w:val="none" w:sz="0" w:space="0" w:color="auto"/>
            <w:left w:val="none" w:sz="0" w:space="0" w:color="auto"/>
            <w:bottom w:val="none" w:sz="0" w:space="0" w:color="auto"/>
            <w:right w:val="none" w:sz="0" w:space="0" w:color="auto"/>
          </w:divBdr>
        </w:div>
        <w:div w:id="1933581600">
          <w:marLeft w:val="2520"/>
          <w:marRight w:val="0"/>
          <w:marTop w:val="48"/>
          <w:marBottom w:val="0"/>
          <w:divBdr>
            <w:top w:val="none" w:sz="0" w:space="0" w:color="auto"/>
            <w:left w:val="none" w:sz="0" w:space="0" w:color="auto"/>
            <w:bottom w:val="none" w:sz="0" w:space="0" w:color="auto"/>
            <w:right w:val="none" w:sz="0" w:space="0" w:color="auto"/>
          </w:divBdr>
        </w:div>
        <w:div w:id="1983609842">
          <w:marLeft w:val="1166"/>
          <w:marRight w:val="0"/>
          <w:marTop w:val="62"/>
          <w:marBottom w:val="0"/>
          <w:divBdr>
            <w:top w:val="none" w:sz="0" w:space="0" w:color="auto"/>
            <w:left w:val="none" w:sz="0" w:space="0" w:color="auto"/>
            <w:bottom w:val="none" w:sz="0" w:space="0" w:color="auto"/>
            <w:right w:val="none" w:sz="0" w:space="0" w:color="auto"/>
          </w:divBdr>
        </w:div>
        <w:div w:id="345209189">
          <w:marLeft w:val="1800"/>
          <w:marRight w:val="0"/>
          <w:marTop w:val="48"/>
          <w:marBottom w:val="0"/>
          <w:divBdr>
            <w:top w:val="none" w:sz="0" w:space="0" w:color="auto"/>
            <w:left w:val="none" w:sz="0" w:space="0" w:color="auto"/>
            <w:bottom w:val="none" w:sz="0" w:space="0" w:color="auto"/>
            <w:right w:val="none" w:sz="0" w:space="0" w:color="auto"/>
          </w:divBdr>
        </w:div>
        <w:div w:id="1199777194">
          <w:marLeft w:val="2520"/>
          <w:marRight w:val="0"/>
          <w:marTop w:val="48"/>
          <w:marBottom w:val="0"/>
          <w:divBdr>
            <w:top w:val="none" w:sz="0" w:space="0" w:color="auto"/>
            <w:left w:val="none" w:sz="0" w:space="0" w:color="auto"/>
            <w:bottom w:val="none" w:sz="0" w:space="0" w:color="auto"/>
            <w:right w:val="none" w:sz="0" w:space="0" w:color="auto"/>
          </w:divBdr>
        </w:div>
        <w:div w:id="300427461">
          <w:marLeft w:val="1800"/>
          <w:marRight w:val="0"/>
          <w:marTop w:val="48"/>
          <w:marBottom w:val="0"/>
          <w:divBdr>
            <w:top w:val="none" w:sz="0" w:space="0" w:color="auto"/>
            <w:left w:val="none" w:sz="0" w:space="0" w:color="auto"/>
            <w:bottom w:val="none" w:sz="0" w:space="0" w:color="auto"/>
            <w:right w:val="none" w:sz="0" w:space="0" w:color="auto"/>
          </w:divBdr>
        </w:div>
        <w:div w:id="441920552">
          <w:marLeft w:val="2520"/>
          <w:marRight w:val="0"/>
          <w:marTop w:val="48"/>
          <w:marBottom w:val="0"/>
          <w:divBdr>
            <w:top w:val="none" w:sz="0" w:space="0" w:color="auto"/>
            <w:left w:val="none" w:sz="0" w:space="0" w:color="auto"/>
            <w:bottom w:val="none" w:sz="0" w:space="0" w:color="auto"/>
            <w:right w:val="none" w:sz="0" w:space="0" w:color="auto"/>
          </w:divBdr>
        </w:div>
        <w:div w:id="317342575">
          <w:marLeft w:val="1166"/>
          <w:marRight w:val="0"/>
          <w:marTop w:val="62"/>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72140849">
      <w:bodyDiv w:val="1"/>
      <w:marLeft w:val="0"/>
      <w:marRight w:val="0"/>
      <w:marTop w:val="0"/>
      <w:marBottom w:val="0"/>
      <w:divBdr>
        <w:top w:val="none" w:sz="0" w:space="0" w:color="auto"/>
        <w:left w:val="none" w:sz="0" w:space="0" w:color="auto"/>
        <w:bottom w:val="none" w:sz="0" w:space="0" w:color="auto"/>
        <w:right w:val="none" w:sz="0" w:space="0" w:color="auto"/>
      </w:divBdr>
      <w:divsChild>
        <w:div w:id="1837643958">
          <w:marLeft w:val="1166"/>
          <w:marRight w:val="0"/>
          <w:marTop w:val="82"/>
          <w:marBottom w:val="0"/>
          <w:divBdr>
            <w:top w:val="none" w:sz="0" w:space="0" w:color="auto"/>
            <w:left w:val="none" w:sz="0" w:space="0" w:color="auto"/>
            <w:bottom w:val="none" w:sz="0" w:space="0" w:color="auto"/>
            <w:right w:val="none" w:sz="0" w:space="0" w:color="auto"/>
          </w:divBdr>
        </w:div>
        <w:div w:id="2082632999">
          <w:marLeft w:val="1800"/>
          <w:marRight w:val="0"/>
          <w:marTop w:val="67"/>
          <w:marBottom w:val="0"/>
          <w:divBdr>
            <w:top w:val="none" w:sz="0" w:space="0" w:color="auto"/>
            <w:left w:val="none" w:sz="0" w:space="0" w:color="auto"/>
            <w:bottom w:val="none" w:sz="0" w:space="0" w:color="auto"/>
            <w:right w:val="none" w:sz="0" w:space="0" w:color="auto"/>
          </w:divBdr>
        </w:div>
        <w:div w:id="1623069562">
          <w:marLeft w:val="2520"/>
          <w:marRight w:val="0"/>
          <w:marTop w:val="48"/>
          <w:marBottom w:val="0"/>
          <w:divBdr>
            <w:top w:val="none" w:sz="0" w:space="0" w:color="auto"/>
            <w:left w:val="none" w:sz="0" w:space="0" w:color="auto"/>
            <w:bottom w:val="none" w:sz="0" w:space="0" w:color="auto"/>
            <w:right w:val="none" w:sz="0" w:space="0" w:color="auto"/>
          </w:divBdr>
        </w:div>
        <w:div w:id="347172354">
          <w:marLeft w:val="3240"/>
          <w:marRight w:val="0"/>
          <w:marTop w:val="48"/>
          <w:marBottom w:val="0"/>
          <w:divBdr>
            <w:top w:val="none" w:sz="0" w:space="0" w:color="auto"/>
            <w:left w:val="none" w:sz="0" w:space="0" w:color="auto"/>
            <w:bottom w:val="none" w:sz="0" w:space="0" w:color="auto"/>
            <w:right w:val="none" w:sz="0" w:space="0" w:color="auto"/>
          </w:divBdr>
        </w:div>
        <w:div w:id="1113789467">
          <w:marLeft w:val="2520"/>
          <w:marRight w:val="0"/>
          <w:marTop w:val="48"/>
          <w:marBottom w:val="0"/>
          <w:divBdr>
            <w:top w:val="none" w:sz="0" w:space="0" w:color="auto"/>
            <w:left w:val="none" w:sz="0" w:space="0" w:color="auto"/>
            <w:bottom w:val="none" w:sz="0" w:space="0" w:color="auto"/>
            <w:right w:val="none" w:sz="0" w:space="0" w:color="auto"/>
          </w:divBdr>
        </w:div>
        <w:div w:id="435173541">
          <w:marLeft w:val="3240"/>
          <w:marRight w:val="0"/>
          <w:marTop w:val="48"/>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3245959">
      <w:bodyDiv w:val="1"/>
      <w:marLeft w:val="0"/>
      <w:marRight w:val="0"/>
      <w:marTop w:val="0"/>
      <w:marBottom w:val="0"/>
      <w:divBdr>
        <w:top w:val="none" w:sz="0" w:space="0" w:color="auto"/>
        <w:left w:val="none" w:sz="0" w:space="0" w:color="auto"/>
        <w:bottom w:val="none" w:sz="0" w:space="0" w:color="auto"/>
        <w:right w:val="none" w:sz="0" w:space="0" w:color="auto"/>
      </w:divBdr>
      <w:divsChild>
        <w:div w:id="1363288423">
          <w:marLeft w:val="1166"/>
          <w:marRight w:val="0"/>
          <w:marTop w:val="82"/>
          <w:marBottom w:val="0"/>
          <w:divBdr>
            <w:top w:val="none" w:sz="0" w:space="0" w:color="auto"/>
            <w:left w:val="none" w:sz="0" w:space="0" w:color="auto"/>
            <w:bottom w:val="none" w:sz="0" w:space="0" w:color="auto"/>
            <w:right w:val="none" w:sz="0" w:space="0" w:color="auto"/>
          </w:divBdr>
        </w:div>
        <w:div w:id="551238517">
          <w:marLeft w:val="1800"/>
          <w:marRight w:val="0"/>
          <w:marTop w:val="67"/>
          <w:marBottom w:val="0"/>
          <w:divBdr>
            <w:top w:val="none" w:sz="0" w:space="0" w:color="auto"/>
            <w:left w:val="none" w:sz="0" w:space="0" w:color="auto"/>
            <w:bottom w:val="none" w:sz="0" w:space="0" w:color="auto"/>
            <w:right w:val="none" w:sz="0" w:space="0" w:color="auto"/>
          </w:divBdr>
        </w:div>
        <w:div w:id="208080717">
          <w:marLeft w:val="2520"/>
          <w:marRight w:val="0"/>
          <w:marTop w:val="48"/>
          <w:marBottom w:val="0"/>
          <w:divBdr>
            <w:top w:val="none" w:sz="0" w:space="0" w:color="auto"/>
            <w:left w:val="none" w:sz="0" w:space="0" w:color="auto"/>
            <w:bottom w:val="none" w:sz="0" w:space="0" w:color="auto"/>
            <w:right w:val="none" w:sz="0" w:space="0" w:color="auto"/>
          </w:divBdr>
        </w:div>
        <w:div w:id="613024937">
          <w:marLeft w:val="3240"/>
          <w:marRight w:val="0"/>
          <w:marTop w:val="48"/>
          <w:marBottom w:val="0"/>
          <w:divBdr>
            <w:top w:val="none" w:sz="0" w:space="0" w:color="auto"/>
            <w:left w:val="none" w:sz="0" w:space="0" w:color="auto"/>
            <w:bottom w:val="none" w:sz="0" w:space="0" w:color="auto"/>
            <w:right w:val="none" w:sz="0" w:space="0" w:color="auto"/>
          </w:divBdr>
        </w:div>
        <w:div w:id="1256479057">
          <w:marLeft w:val="2520"/>
          <w:marRight w:val="0"/>
          <w:marTop w:val="43"/>
          <w:marBottom w:val="0"/>
          <w:divBdr>
            <w:top w:val="none" w:sz="0" w:space="0" w:color="auto"/>
            <w:left w:val="none" w:sz="0" w:space="0" w:color="auto"/>
            <w:bottom w:val="none" w:sz="0" w:space="0" w:color="auto"/>
            <w:right w:val="none" w:sz="0" w:space="0" w:color="auto"/>
          </w:divBdr>
        </w:div>
        <w:div w:id="939021454">
          <w:marLeft w:val="3240"/>
          <w:marRight w:val="0"/>
          <w:marTop w:val="43"/>
          <w:marBottom w:val="0"/>
          <w:divBdr>
            <w:top w:val="none" w:sz="0" w:space="0" w:color="auto"/>
            <w:left w:val="none" w:sz="0" w:space="0" w:color="auto"/>
            <w:bottom w:val="none" w:sz="0" w:space="0" w:color="auto"/>
            <w:right w:val="none" w:sz="0" w:space="0" w:color="auto"/>
          </w:divBdr>
        </w:div>
        <w:div w:id="1129474212">
          <w:marLeft w:val="1800"/>
          <w:marRight w:val="0"/>
          <w:marTop w:val="67"/>
          <w:marBottom w:val="0"/>
          <w:divBdr>
            <w:top w:val="none" w:sz="0" w:space="0" w:color="auto"/>
            <w:left w:val="none" w:sz="0" w:space="0" w:color="auto"/>
            <w:bottom w:val="none" w:sz="0" w:space="0" w:color="auto"/>
            <w:right w:val="none" w:sz="0" w:space="0" w:color="auto"/>
          </w:divBdr>
        </w:div>
        <w:div w:id="97257165">
          <w:marLeft w:val="2520"/>
          <w:marRight w:val="0"/>
          <w:marTop w:val="43"/>
          <w:marBottom w:val="0"/>
          <w:divBdr>
            <w:top w:val="none" w:sz="0" w:space="0" w:color="auto"/>
            <w:left w:val="none" w:sz="0" w:space="0" w:color="auto"/>
            <w:bottom w:val="none" w:sz="0" w:space="0" w:color="auto"/>
            <w:right w:val="none" w:sz="0" w:space="0" w:color="auto"/>
          </w:divBdr>
        </w:div>
        <w:div w:id="1447890575">
          <w:marLeft w:val="3240"/>
          <w:marRight w:val="0"/>
          <w:marTop w:val="43"/>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4489027">
      <w:bodyDiv w:val="1"/>
      <w:marLeft w:val="0"/>
      <w:marRight w:val="0"/>
      <w:marTop w:val="0"/>
      <w:marBottom w:val="0"/>
      <w:divBdr>
        <w:top w:val="none" w:sz="0" w:space="0" w:color="auto"/>
        <w:left w:val="none" w:sz="0" w:space="0" w:color="auto"/>
        <w:bottom w:val="none" w:sz="0" w:space="0" w:color="auto"/>
        <w:right w:val="none" w:sz="0" w:space="0" w:color="auto"/>
      </w:divBdr>
      <w:divsChild>
        <w:div w:id="1721635827">
          <w:marLeft w:val="1166"/>
          <w:marRight w:val="0"/>
          <w:marTop w:val="77"/>
          <w:marBottom w:val="0"/>
          <w:divBdr>
            <w:top w:val="none" w:sz="0" w:space="0" w:color="auto"/>
            <w:left w:val="none" w:sz="0" w:space="0" w:color="auto"/>
            <w:bottom w:val="none" w:sz="0" w:space="0" w:color="auto"/>
            <w:right w:val="none" w:sz="0" w:space="0" w:color="auto"/>
          </w:divBdr>
        </w:div>
        <w:div w:id="1701130111">
          <w:marLeft w:val="1800"/>
          <w:marRight w:val="0"/>
          <w:marTop w:val="72"/>
          <w:marBottom w:val="0"/>
          <w:divBdr>
            <w:top w:val="none" w:sz="0" w:space="0" w:color="auto"/>
            <w:left w:val="none" w:sz="0" w:space="0" w:color="auto"/>
            <w:bottom w:val="none" w:sz="0" w:space="0" w:color="auto"/>
            <w:right w:val="none" w:sz="0" w:space="0" w:color="auto"/>
          </w:divBdr>
        </w:div>
        <w:div w:id="55781415">
          <w:marLeft w:val="2520"/>
          <w:marRight w:val="0"/>
          <w:marTop w:val="58"/>
          <w:marBottom w:val="0"/>
          <w:divBdr>
            <w:top w:val="none" w:sz="0" w:space="0" w:color="auto"/>
            <w:left w:val="none" w:sz="0" w:space="0" w:color="auto"/>
            <w:bottom w:val="none" w:sz="0" w:space="0" w:color="auto"/>
            <w:right w:val="none" w:sz="0" w:space="0" w:color="auto"/>
          </w:divBdr>
        </w:div>
        <w:div w:id="408238151">
          <w:marLeft w:val="3240"/>
          <w:marRight w:val="0"/>
          <w:marTop w:val="58"/>
          <w:marBottom w:val="0"/>
          <w:divBdr>
            <w:top w:val="none" w:sz="0" w:space="0" w:color="auto"/>
            <w:left w:val="none" w:sz="0" w:space="0" w:color="auto"/>
            <w:bottom w:val="none" w:sz="0" w:space="0" w:color="auto"/>
            <w:right w:val="none" w:sz="0" w:space="0" w:color="auto"/>
          </w:divBdr>
        </w:div>
        <w:div w:id="1092554128">
          <w:marLeft w:val="3240"/>
          <w:marRight w:val="0"/>
          <w:marTop w:val="58"/>
          <w:marBottom w:val="0"/>
          <w:divBdr>
            <w:top w:val="none" w:sz="0" w:space="0" w:color="auto"/>
            <w:left w:val="none" w:sz="0" w:space="0" w:color="auto"/>
            <w:bottom w:val="none" w:sz="0" w:space="0" w:color="auto"/>
            <w:right w:val="none" w:sz="0" w:space="0" w:color="auto"/>
          </w:divBdr>
        </w:div>
        <w:div w:id="1095246074">
          <w:marLeft w:val="1800"/>
          <w:marRight w:val="0"/>
          <w:marTop w:val="72"/>
          <w:marBottom w:val="0"/>
          <w:divBdr>
            <w:top w:val="none" w:sz="0" w:space="0" w:color="auto"/>
            <w:left w:val="none" w:sz="0" w:space="0" w:color="auto"/>
            <w:bottom w:val="none" w:sz="0" w:space="0" w:color="auto"/>
            <w:right w:val="none" w:sz="0" w:space="0" w:color="auto"/>
          </w:divBdr>
        </w:div>
        <w:div w:id="1299989715">
          <w:marLeft w:val="2520"/>
          <w:marRight w:val="0"/>
          <w:marTop w:val="58"/>
          <w:marBottom w:val="0"/>
          <w:divBdr>
            <w:top w:val="none" w:sz="0" w:space="0" w:color="auto"/>
            <w:left w:val="none" w:sz="0" w:space="0" w:color="auto"/>
            <w:bottom w:val="none" w:sz="0" w:space="0" w:color="auto"/>
            <w:right w:val="none" w:sz="0" w:space="0" w:color="auto"/>
          </w:divBdr>
        </w:div>
        <w:div w:id="2097818319">
          <w:marLeft w:val="3240"/>
          <w:marRight w:val="0"/>
          <w:marTop w:val="58"/>
          <w:marBottom w:val="0"/>
          <w:divBdr>
            <w:top w:val="none" w:sz="0" w:space="0" w:color="auto"/>
            <w:left w:val="none" w:sz="0" w:space="0" w:color="auto"/>
            <w:bottom w:val="none" w:sz="0" w:space="0" w:color="auto"/>
            <w:right w:val="none" w:sz="0" w:space="0" w:color="auto"/>
          </w:divBdr>
        </w:div>
        <w:div w:id="1765612013">
          <w:marLeft w:val="3240"/>
          <w:marRight w:val="0"/>
          <w:marTop w:val="58"/>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40572735">
      <w:bodyDiv w:val="1"/>
      <w:marLeft w:val="0"/>
      <w:marRight w:val="0"/>
      <w:marTop w:val="0"/>
      <w:marBottom w:val="0"/>
      <w:divBdr>
        <w:top w:val="none" w:sz="0" w:space="0" w:color="auto"/>
        <w:left w:val="none" w:sz="0" w:space="0" w:color="auto"/>
        <w:bottom w:val="none" w:sz="0" w:space="0" w:color="auto"/>
        <w:right w:val="none" w:sz="0" w:space="0" w:color="auto"/>
      </w:divBdr>
    </w:div>
    <w:div w:id="660236006">
      <w:bodyDiv w:val="1"/>
      <w:marLeft w:val="0"/>
      <w:marRight w:val="0"/>
      <w:marTop w:val="0"/>
      <w:marBottom w:val="0"/>
      <w:divBdr>
        <w:top w:val="none" w:sz="0" w:space="0" w:color="auto"/>
        <w:left w:val="none" w:sz="0" w:space="0" w:color="auto"/>
        <w:bottom w:val="none" w:sz="0" w:space="0" w:color="auto"/>
        <w:right w:val="none" w:sz="0" w:space="0" w:color="auto"/>
      </w:divBdr>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55515817">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8687549">
      <w:bodyDiv w:val="1"/>
      <w:marLeft w:val="0"/>
      <w:marRight w:val="0"/>
      <w:marTop w:val="0"/>
      <w:marBottom w:val="0"/>
      <w:divBdr>
        <w:top w:val="none" w:sz="0" w:space="0" w:color="auto"/>
        <w:left w:val="none" w:sz="0" w:space="0" w:color="auto"/>
        <w:bottom w:val="none" w:sz="0" w:space="0" w:color="auto"/>
        <w:right w:val="none" w:sz="0" w:space="0" w:color="auto"/>
      </w:divBdr>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6900624">
      <w:bodyDiv w:val="1"/>
      <w:marLeft w:val="0"/>
      <w:marRight w:val="0"/>
      <w:marTop w:val="0"/>
      <w:marBottom w:val="0"/>
      <w:divBdr>
        <w:top w:val="none" w:sz="0" w:space="0" w:color="auto"/>
        <w:left w:val="none" w:sz="0" w:space="0" w:color="auto"/>
        <w:bottom w:val="none" w:sz="0" w:space="0" w:color="auto"/>
        <w:right w:val="none" w:sz="0" w:space="0" w:color="auto"/>
      </w:divBdr>
      <w:divsChild>
        <w:div w:id="1126968289">
          <w:marLeft w:val="547"/>
          <w:marRight w:val="0"/>
          <w:marTop w:val="120"/>
          <w:marBottom w:val="0"/>
          <w:divBdr>
            <w:top w:val="none" w:sz="0" w:space="0" w:color="auto"/>
            <w:left w:val="none" w:sz="0" w:space="0" w:color="auto"/>
            <w:bottom w:val="none" w:sz="0" w:space="0" w:color="auto"/>
            <w:right w:val="none" w:sz="0" w:space="0" w:color="auto"/>
          </w:divBdr>
        </w:div>
        <w:div w:id="367023104">
          <w:marLeft w:val="547"/>
          <w:marRight w:val="0"/>
          <w:marTop w:val="12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15100346">
      <w:bodyDiv w:val="1"/>
      <w:marLeft w:val="0"/>
      <w:marRight w:val="0"/>
      <w:marTop w:val="0"/>
      <w:marBottom w:val="0"/>
      <w:divBdr>
        <w:top w:val="none" w:sz="0" w:space="0" w:color="auto"/>
        <w:left w:val="none" w:sz="0" w:space="0" w:color="auto"/>
        <w:bottom w:val="none" w:sz="0" w:space="0" w:color="auto"/>
        <w:right w:val="none" w:sz="0" w:space="0" w:color="auto"/>
      </w:divBdr>
      <w:divsChild>
        <w:div w:id="1318916875">
          <w:marLeft w:val="1166"/>
          <w:marRight w:val="0"/>
          <w:marTop w:val="82"/>
          <w:marBottom w:val="0"/>
          <w:divBdr>
            <w:top w:val="none" w:sz="0" w:space="0" w:color="auto"/>
            <w:left w:val="none" w:sz="0" w:space="0" w:color="auto"/>
            <w:bottom w:val="none" w:sz="0" w:space="0" w:color="auto"/>
            <w:right w:val="none" w:sz="0" w:space="0" w:color="auto"/>
          </w:divBdr>
        </w:div>
        <w:div w:id="174613557">
          <w:marLeft w:val="1800"/>
          <w:marRight w:val="0"/>
          <w:marTop w:val="77"/>
          <w:marBottom w:val="0"/>
          <w:divBdr>
            <w:top w:val="none" w:sz="0" w:space="0" w:color="auto"/>
            <w:left w:val="none" w:sz="0" w:space="0" w:color="auto"/>
            <w:bottom w:val="none" w:sz="0" w:space="0" w:color="auto"/>
            <w:right w:val="none" w:sz="0" w:space="0" w:color="auto"/>
          </w:divBdr>
        </w:div>
        <w:div w:id="1687439771">
          <w:marLeft w:val="2520"/>
          <w:marRight w:val="0"/>
          <w:marTop w:val="48"/>
          <w:marBottom w:val="0"/>
          <w:divBdr>
            <w:top w:val="none" w:sz="0" w:space="0" w:color="auto"/>
            <w:left w:val="none" w:sz="0" w:space="0" w:color="auto"/>
            <w:bottom w:val="none" w:sz="0" w:space="0" w:color="auto"/>
            <w:right w:val="none" w:sz="0" w:space="0" w:color="auto"/>
          </w:divBdr>
        </w:div>
        <w:div w:id="2050180305">
          <w:marLeft w:val="1800"/>
          <w:marRight w:val="0"/>
          <w:marTop w:val="67"/>
          <w:marBottom w:val="0"/>
          <w:divBdr>
            <w:top w:val="none" w:sz="0" w:space="0" w:color="auto"/>
            <w:left w:val="none" w:sz="0" w:space="0" w:color="auto"/>
            <w:bottom w:val="none" w:sz="0" w:space="0" w:color="auto"/>
            <w:right w:val="none" w:sz="0" w:space="0" w:color="auto"/>
          </w:divBdr>
        </w:div>
        <w:div w:id="519127741">
          <w:marLeft w:val="2520"/>
          <w:marRight w:val="0"/>
          <w:marTop w:val="48"/>
          <w:marBottom w:val="0"/>
          <w:divBdr>
            <w:top w:val="none" w:sz="0" w:space="0" w:color="auto"/>
            <w:left w:val="none" w:sz="0" w:space="0" w:color="auto"/>
            <w:bottom w:val="none" w:sz="0" w:space="0" w:color="auto"/>
            <w:right w:val="none" w:sz="0" w:space="0" w:color="auto"/>
          </w:divBdr>
        </w:div>
        <w:div w:id="125314988">
          <w:marLeft w:val="1800"/>
          <w:marRight w:val="0"/>
          <w:marTop w:val="67"/>
          <w:marBottom w:val="0"/>
          <w:divBdr>
            <w:top w:val="none" w:sz="0" w:space="0" w:color="auto"/>
            <w:left w:val="none" w:sz="0" w:space="0" w:color="auto"/>
            <w:bottom w:val="none" w:sz="0" w:space="0" w:color="auto"/>
            <w:right w:val="none" w:sz="0" w:space="0" w:color="auto"/>
          </w:divBdr>
        </w:div>
        <w:div w:id="1826436611">
          <w:marLeft w:val="2520"/>
          <w:marRight w:val="0"/>
          <w:marTop w:val="48"/>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27864586">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02190594">
      <w:bodyDiv w:val="1"/>
      <w:marLeft w:val="0"/>
      <w:marRight w:val="0"/>
      <w:marTop w:val="0"/>
      <w:marBottom w:val="0"/>
      <w:divBdr>
        <w:top w:val="none" w:sz="0" w:space="0" w:color="auto"/>
        <w:left w:val="none" w:sz="0" w:space="0" w:color="auto"/>
        <w:bottom w:val="none" w:sz="0" w:space="0" w:color="auto"/>
        <w:right w:val="none" w:sz="0" w:space="0" w:color="auto"/>
      </w:divBdr>
      <w:divsChild>
        <w:div w:id="429813382">
          <w:marLeft w:val="547"/>
          <w:marRight w:val="0"/>
          <w:marTop w:val="106"/>
          <w:marBottom w:val="0"/>
          <w:divBdr>
            <w:top w:val="none" w:sz="0" w:space="0" w:color="auto"/>
            <w:left w:val="none" w:sz="0" w:space="0" w:color="auto"/>
            <w:bottom w:val="none" w:sz="0" w:space="0" w:color="auto"/>
            <w:right w:val="none" w:sz="0" w:space="0" w:color="auto"/>
          </w:divBdr>
        </w:div>
        <w:div w:id="197402970">
          <w:marLeft w:val="1166"/>
          <w:marRight w:val="0"/>
          <w:marTop w:val="91"/>
          <w:marBottom w:val="0"/>
          <w:divBdr>
            <w:top w:val="none" w:sz="0" w:space="0" w:color="auto"/>
            <w:left w:val="none" w:sz="0" w:space="0" w:color="auto"/>
            <w:bottom w:val="none" w:sz="0" w:space="0" w:color="auto"/>
            <w:right w:val="none" w:sz="0" w:space="0" w:color="auto"/>
          </w:divBdr>
        </w:div>
        <w:div w:id="1871334473">
          <w:marLeft w:val="1800"/>
          <w:marRight w:val="0"/>
          <w:marTop w:val="86"/>
          <w:marBottom w:val="0"/>
          <w:divBdr>
            <w:top w:val="none" w:sz="0" w:space="0" w:color="auto"/>
            <w:left w:val="none" w:sz="0" w:space="0" w:color="auto"/>
            <w:bottom w:val="none" w:sz="0" w:space="0" w:color="auto"/>
            <w:right w:val="none" w:sz="0" w:space="0" w:color="auto"/>
          </w:divBdr>
        </w:div>
        <w:div w:id="159585307">
          <w:marLeft w:val="2520"/>
          <w:marRight w:val="0"/>
          <w:marTop w:val="72"/>
          <w:marBottom w:val="0"/>
          <w:divBdr>
            <w:top w:val="none" w:sz="0" w:space="0" w:color="auto"/>
            <w:left w:val="none" w:sz="0" w:space="0" w:color="auto"/>
            <w:bottom w:val="none" w:sz="0" w:space="0" w:color="auto"/>
            <w:right w:val="none" w:sz="0" w:space="0" w:color="auto"/>
          </w:divBdr>
        </w:div>
        <w:div w:id="449321001">
          <w:marLeft w:val="2520"/>
          <w:marRight w:val="0"/>
          <w:marTop w:val="72"/>
          <w:marBottom w:val="0"/>
          <w:divBdr>
            <w:top w:val="none" w:sz="0" w:space="0" w:color="auto"/>
            <w:left w:val="none" w:sz="0" w:space="0" w:color="auto"/>
            <w:bottom w:val="none" w:sz="0" w:space="0" w:color="auto"/>
            <w:right w:val="none" w:sz="0" w:space="0" w:color="auto"/>
          </w:divBdr>
        </w:div>
        <w:div w:id="956564112">
          <w:marLeft w:val="2520"/>
          <w:marRight w:val="0"/>
          <w:marTop w:val="72"/>
          <w:marBottom w:val="0"/>
          <w:divBdr>
            <w:top w:val="none" w:sz="0" w:space="0" w:color="auto"/>
            <w:left w:val="none" w:sz="0" w:space="0" w:color="auto"/>
            <w:bottom w:val="none" w:sz="0" w:space="0" w:color="auto"/>
            <w:right w:val="none" w:sz="0" w:space="0" w:color="auto"/>
          </w:divBdr>
        </w:div>
        <w:div w:id="1354696580">
          <w:marLeft w:val="1166"/>
          <w:marRight w:val="0"/>
          <w:marTop w:val="91"/>
          <w:marBottom w:val="0"/>
          <w:divBdr>
            <w:top w:val="none" w:sz="0" w:space="0" w:color="auto"/>
            <w:left w:val="none" w:sz="0" w:space="0" w:color="auto"/>
            <w:bottom w:val="none" w:sz="0" w:space="0" w:color="auto"/>
            <w:right w:val="none" w:sz="0" w:space="0" w:color="auto"/>
          </w:divBdr>
        </w:div>
        <w:div w:id="1273786238">
          <w:marLeft w:val="1800"/>
          <w:marRight w:val="0"/>
          <w:marTop w:val="86"/>
          <w:marBottom w:val="0"/>
          <w:divBdr>
            <w:top w:val="none" w:sz="0" w:space="0" w:color="auto"/>
            <w:left w:val="none" w:sz="0" w:space="0" w:color="auto"/>
            <w:bottom w:val="none" w:sz="0" w:space="0" w:color="auto"/>
            <w:right w:val="none" w:sz="0" w:space="0" w:color="auto"/>
          </w:divBdr>
        </w:div>
        <w:div w:id="1871331154">
          <w:marLeft w:val="1166"/>
          <w:marRight w:val="0"/>
          <w:marTop w:val="91"/>
          <w:marBottom w:val="0"/>
          <w:divBdr>
            <w:top w:val="none" w:sz="0" w:space="0" w:color="auto"/>
            <w:left w:val="none" w:sz="0" w:space="0" w:color="auto"/>
            <w:bottom w:val="none" w:sz="0" w:space="0" w:color="auto"/>
            <w:right w:val="none" w:sz="0" w:space="0" w:color="auto"/>
          </w:divBdr>
        </w:div>
        <w:div w:id="1771852924">
          <w:marLeft w:val="1800"/>
          <w:marRight w:val="0"/>
          <w:marTop w:val="86"/>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2746421">
      <w:bodyDiv w:val="1"/>
      <w:marLeft w:val="0"/>
      <w:marRight w:val="0"/>
      <w:marTop w:val="0"/>
      <w:marBottom w:val="0"/>
      <w:divBdr>
        <w:top w:val="none" w:sz="0" w:space="0" w:color="auto"/>
        <w:left w:val="none" w:sz="0" w:space="0" w:color="auto"/>
        <w:bottom w:val="none" w:sz="0" w:space="0" w:color="auto"/>
        <w:right w:val="none" w:sz="0" w:space="0" w:color="auto"/>
      </w:divBdr>
      <w:divsChild>
        <w:div w:id="825516937">
          <w:marLeft w:val="547"/>
          <w:marRight w:val="0"/>
          <w:marTop w:val="120"/>
          <w:marBottom w:val="0"/>
          <w:divBdr>
            <w:top w:val="none" w:sz="0" w:space="0" w:color="auto"/>
            <w:left w:val="none" w:sz="0" w:space="0" w:color="auto"/>
            <w:bottom w:val="none" w:sz="0" w:space="0" w:color="auto"/>
            <w:right w:val="none" w:sz="0" w:space="0" w:color="auto"/>
          </w:divBdr>
        </w:div>
        <w:div w:id="16781165">
          <w:marLeft w:val="547"/>
          <w:marRight w:val="0"/>
          <w:marTop w:val="12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17881723">
      <w:bodyDiv w:val="1"/>
      <w:marLeft w:val="0"/>
      <w:marRight w:val="0"/>
      <w:marTop w:val="0"/>
      <w:marBottom w:val="0"/>
      <w:divBdr>
        <w:top w:val="none" w:sz="0" w:space="0" w:color="auto"/>
        <w:left w:val="none" w:sz="0" w:space="0" w:color="auto"/>
        <w:bottom w:val="none" w:sz="0" w:space="0" w:color="auto"/>
        <w:right w:val="none" w:sz="0" w:space="0" w:color="auto"/>
      </w:divBdr>
      <w:divsChild>
        <w:div w:id="1174806598">
          <w:marLeft w:val="547"/>
          <w:marRight w:val="0"/>
          <w:marTop w:val="120"/>
          <w:marBottom w:val="0"/>
          <w:divBdr>
            <w:top w:val="none" w:sz="0" w:space="0" w:color="auto"/>
            <w:left w:val="none" w:sz="0" w:space="0" w:color="auto"/>
            <w:bottom w:val="none" w:sz="0" w:space="0" w:color="auto"/>
            <w:right w:val="none" w:sz="0" w:space="0" w:color="auto"/>
          </w:divBdr>
        </w:div>
        <w:div w:id="1554661592">
          <w:marLeft w:val="547"/>
          <w:marRight w:val="0"/>
          <w:marTop w:val="120"/>
          <w:marBottom w:val="0"/>
          <w:divBdr>
            <w:top w:val="none" w:sz="0" w:space="0" w:color="auto"/>
            <w:left w:val="none" w:sz="0" w:space="0" w:color="auto"/>
            <w:bottom w:val="none" w:sz="0" w:space="0" w:color="auto"/>
            <w:right w:val="none" w:sz="0" w:space="0" w:color="auto"/>
          </w:divBdr>
        </w:div>
        <w:div w:id="831722706">
          <w:marLeft w:val="547"/>
          <w:marRight w:val="0"/>
          <w:marTop w:val="120"/>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2337171">
      <w:bodyDiv w:val="1"/>
      <w:marLeft w:val="0"/>
      <w:marRight w:val="0"/>
      <w:marTop w:val="0"/>
      <w:marBottom w:val="0"/>
      <w:divBdr>
        <w:top w:val="none" w:sz="0" w:space="0" w:color="auto"/>
        <w:left w:val="none" w:sz="0" w:space="0" w:color="auto"/>
        <w:bottom w:val="none" w:sz="0" w:space="0" w:color="auto"/>
        <w:right w:val="none" w:sz="0" w:space="0" w:color="auto"/>
      </w:divBdr>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3983001">
      <w:bodyDiv w:val="1"/>
      <w:marLeft w:val="0"/>
      <w:marRight w:val="0"/>
      <w:marTop w:val="0"/>
      <w:marBottom w:val="0"/>
      <w:divBdr>
        <w:top w:val="none" w:sz="0" w:space="0" w:color="auto"/>
        <w:left w:val="none" w:sz="0" w:space="0" w:color="auto"/>
        <w:bottom w:val="none" w:sz="0" w:space="0" w:color="auto"/>
        <w:right w:val="none" w:sz="0" w:space="0" w:color="auto"/>
      </w:divBdr>
      <w:divsChild>
        <w:div w:id="633027392">
          <w:marLeft w:val="547"/>
          <w:marRight w:val="0"/>
          <w:marTop w:val="115"/>
          <w:marBottom w:val="0"/>
          <w:divBdr>
            <w:top w:val="none" w:sz="0" w:space="0" w:color="auto"/>
            <w:left w:val="none" w:sz="0" w:space="0" w:color="auto"/>
            <w:bottom w:val="none" w:sz="0" w:space="0" w:color="auto"/>
            <w:right w:val="none" w:sz="0" w:space="0" w:color="auto"/>
          </w:divBdr>
        </w:div>
        <w:div w:id="1900554785">
          <w:marLeft w:val="1166"/>
          <w:marRight w:val="0"/>
          <w:marTop w:val="101"/>
          <w:marBottom w:val="0"/>
          <w:divBdr>
            <w:top w:val="none" w:sz="0" w:space="0" w:color="auto"/>
            <w:left w:val="none" w:sz="0" w:space="0" w:color="auto"/>
            <w:bottom w:val="none" w:sz="0" w:space="0" w:color="auto"/>
            <w:right w:val="none" w:sz="0" w:space="0" w:color="auto"/>
          </w:divBdr>
        </w:div>
        <w:div w:id="2098162253">
          <w:marLeft w:val="1800"/>
          <w:marRight w:val="0"/>
          <w:marTop w:val="101"/>
          <w:marBottom w:val="0"/>
          <w:divBdr>
            <w:top w:val="none" w:sz="0" w:space="0" w:color="auto"/>
            <w:left w:val="none" w:sz="0" w:space="0" w:color="auto"/>
            <w:bottom w:val="none" w:sz="0" w:space="0" w:color="auto"/>
            <w:right w:val="none" w:sz="0" w:space="0" w:color="auto"/>
          </w:divBdr>
        </w:div>
        <w:div w:id="2103600843">
          <w:marLeft w:val="1166"/>
          <w:marRight w:val="0"/>
          <w:marTop w:val="101"/>
          <w:marBottom w:val="0"/>
          <w:divBdr>
            <w:top w:val="none" w:sz="0" w:space="0" w:color="auto"/>
            <w:left w:val="none" w:sz="0" w:space="0" w:color="auto"/>
            <w:bottom w:val="none" w:sz="0" w:space="0" w:color="auto"/>
            <w:right w:val="none" w:sz="0" w:space="0" w:color="auto"/>
          </w:divBdr>
        </w:div>
        <w:div w:id="671835729">
          <w:marLeft w:val="1800"/>
          <w:marRight w:val="0"/>
          <w:marTop w:val="101"/>
          <w:marBottom w:val="0"/>
          <w:divBdr>
            <w:top w:val="none" w:sz="0" w:space="0" w:color="auto"/>
            <w:left w:val="none" w:sz="0" w:space="0" w:color="auto"/>
            <w:bottom w:val="none" w:sz="0" w:space="0" w:color="auto"/>
            <w:right w:val="none" w:sz="0" w:space="0" w:color="auto"/>
          </w:divBdr>
        </w:div>
        <w:div w:id="627200258">
          <w:marLeft w:val="1800"/>
          <w:marRight w:val="0"/>
          <w:marTop w:val="101"/>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0174727">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42758">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62523948">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1110866">
      <w:bodyDiv w:val="1"/>
      <w:marLeft w:val="0"/>
      <w:marRight w:val="0"/>
      <w:marTop w:val="0"/>
      <w:marBottom w:val="0"/>
      <w:divBdr>
        <w:top w:val="none" w:sz="0" w:space="0" w:color="auto"/>
        <w:left w:val="none" w:sz="0" w:space="0" w:color="auto"/>
        <w:bottom w:val="none" w:sz="0" w:space="0" w:color="auto"/>
        <w:right w:val="none" w:sz="0" w:space="0" w:color="auto"/>
      </w:divBdr>
      <w:divsChild>
        <w:div w:id="673537461">
          <w:marLeft w:val="547"/>
          <w:marRight w:val="0"/>
          <w:marTop w:val="53"/>
          <w:marBottom w:val="0"/>
          <w:divBdr>
            <w:top w:val="none" w:sz="0" w:space="0" w:color="auto"/>
            <w:left w:val="none" w:sz="0" w:space="0" w:color="auto"/>
            <w:bottom w:val="none" w:sz="0" w:space="0" w:color="auto"/>
            <w:right w:val="none" w:sz="0" w:space="0" w:color="auto"/>
          </w:divBdr>
        </w:div>
        <w:div w:id="1995258137">
          <w:marLeft w:val="1166"/>
          <w:marRight w:val="0"/>
          <w:marTop w:val="48"/>
          <w:marBottom w:val="0"/>
          <w:divBdr>
            <w:top w:val="none" w:sz="0" w:space="0" w:color="auto"/>
            <w:left w:val="none" w:sz="0" w:space="0" w:color="auto"/>
            <w:bottom w:val="none" w:sz="0" w:space="0" w:color="auto"/>
            <w:right w:val="none" w:sz="0" w:space="0" w:color="auto"/>
          </w:divBdr>
        </w:div>
        <w:div w:id="1603756371">
          <w:marLeft w:val="1166"/>
          <w:marRight w:val="0"/>
          <w:marTop w:val="48"/>
          <w:marBottom w:val="0"/>
          <w:divBdr>
            <w:top w:val="none" w:sz="0" w:space="0" w:color="auto"/>
            <w:left w:val="none" w:sz="0" w:space="0" w:color="auto"/>
            <w:bottom w:val="none" w:sz="0" w:space="0" w:color="auto"/>
            <w:right w:val="none" w:sz="0" w:space="0" w:color="auto"/>
          </w:divBdr>
        </w:div>
        <w:div w:id="1023900359">
          <w:marLeft w:val="1166"/>
          <w:marRight w:val="0"/>
          <w:marTop w:val="48"/>
          <w:marBottom w:val="0"/>
          <w:divBdr>
            <w:top w:val="none" w:sz="0" w:space="0" w:color="auto"/>
            <w:left w:val="none" w:sz="0" w:space="0" w:color="auto"/>
            <w:bottom w:val="none" w:sz="0" w:space="0" w:color="auto"/>
            <w:right w:val="none" w:sz="0" w:space="0" w:color="auto"/>
          </w:divBdr>
        </w:div>
        <w:div w:id="1140806587">
          <w:marLeft w:val="1800"/>
          <w:marRight w:val="0"/>
          <w:marTop w:val="53"/>
          <w:marBottom w:val="0"/>
          <w:divBdr>
            <w:top w:val="none" w:sz="0" w:space="0" w:color="auto"/>
            <w:left w:val="none" w:sz="0" w:space="0" w:color="auto"/>
            <w:bottom w:val="none" w:sz="0" w:space="0" w:color="auto"/>
            <w:right w:val="none" w:sz="0" w:space="0" w:color="auto"/>
          </w:divBdr>
        </w:div>
        <w:div w:id="513420571">
          <w:marLeft w:val="2520"/>
          <w:marRight w:val="0"/>
          <w:marTop w:val="48"/>
          <w:marBottom w:val="0"/>
          <w:divBdr>
            <w:top w:val="none" w:sz="0" w:space="0" w:color="auto"/>
            <w:left w:val="none" w:sz="0" w:space="0" w:color="auto"/>
            <w:bottom w:val="none" w:sz="0" w:space="0" w:color="auto"/>
            <w:right w:val="none" w:sz="0" w:space="0" w:color="auto"/>
          </w:divBdr>
        </w:div>
        <w:div w:id="760756093">
          <w:marLeft w:val="2520"/>
          <w:marRight w:val="0"/>
          <w:marTop w:val="48"/>
          <w:marBottom w:val="0"/>
          <w:divBdr>
            <w:top w:val="none" w:sz="0" w:space="0" w:color="auto"/>
            <w:left w:val="none" w:sz="0" w:space="0" w:color="auto"/>
            <w:bottom w:val="none" w:sz="0" w:space="0" w:color="auto"/>
            <w:right w:val="none" w:sz="0" w:space="0" w:color="auto"/>
          </w:divBdr>
        </w:div>
        <w:div w:id="2015838909">
          <w:marLeft w:val="2520"/>
          <w:marRight w:val="0"/>
          <w:marTop w:val="53"/>
          <w:marBottom w:val="0"/>
          <w:divBdr>
            <w:top w:val="none" w:sz="0" w:space="0" w:color="auto"/>
            <w:left w:val="none" w:sz="0" w:space="0" w:color="auto"/>
            <w:bottom w:val="none" w:sz="0" w:space="0" w:color="auto"/>
            <w:right w:val="none" w:sz="0" w:space="0" w:color="auto"/>
          </w:divBdr>
        </w:div>
        <w:div w:id="1701934405">
          <w:marLeft w:val="1800"/>
          <w:marRight w:val="0"/>
          <w:marTop w:val="53"/>
          <w:marBottom w:val="0"/>
          <w:divBdr>
            <w:top w:val="none" w:sz="0" w:space="0" w:color="auto"/>
            <w:left w:val="none" w:sz="0" w:space="0" w:color="auto"/>
            <w:bottom w:val="none" w:sz="0" w:space="0" w:color="auto"/>
            <w:right w:val="none" w:sz="0" w:space="0" w:color="auto"/>
          </w:divBdr>
        </w:div>
        <w:div w:id="526988206">
          <w:marLeft w:val="2520"/>
          <w:marRight w:val="0"/>
          <w:marTop w:val="53"/>
          <w:marBottom w:val="0"/>
          <w:divBdr>
            <w:top w:val="none" w:sz="0" w:space="0" w:color="auto"/>
            <w:left w:val="none" w:sz="0" w:space="0" w:color="auto"/>
            <w:bottom w:val="none" w:sz="0" w:space="0" w:color="auto"/>
            <w:right w:val="none" w:sz="0" w:space="0" w:color="auto"/>
          </w:divBdr>
        </w:div>
        <w:div w:id="378819439">
          <w:marLeft w:val="2520"/>
          <w:marRight w:val="0"/>
          <w:marTop w:val="53"/>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3261214">
      <w:bodyDiv w:val="1"/>
      <w:marLeft w:val="0"/>
      <w:marRight w:val="0"/>
      <w:marTop w:val="0"/>
      <w:marBottom w:val="0"/>
      <w:divBdr>
        <w:top w:val="none" w:sz="0" w:space="0" w:color="auto"/>
        <w:left w:val="none" w:sz="0" w:space="0" w:color="auto"/>
        <w:bottom w:val="none" w:sz="0" w:space="0" w:color="auto"/>
        <w:right w:val="none" w:sz="0" w:space="0" w:color="auto"/>
      </w:divBdr>
      <w:divsChild>
        <w:div w:id="1526675760">
          <w:marLeft w:val="547"/>
          <w:marRight w:val="0"/>
          <w:marTop w:val="115"/>
          <w:marBottom w:val="0"/>
          <w:divBdr>
            <w:top w:val="none" w:sz="0" w:space="0" w:color="auto"/>
            <w:left w:val="none" w:sz="0" w:space="0" w:color="auto"/>
            <w:bottom w:val="none" w:sz="0" w:space="0" w:color="auto"/>
            <w:right w:val="none" w:sz="0" w:space="0" w:color="auto"/>
          </w:divBdr>
        </w:div>
        <w:div w:id="1648584090">
          <w:marLeft w:val="1166"/>
          <w:marRight w:val="0"/>
          <w:marTop w:val="96"/>
          <w:marBottom w:val="0"/>
          <w:divBdr>
            <w:top w:val="none" w:sz="0" w:space="0" w:color="auto"/>
            <w:left w:val="none" w:sz="0" w:space="0" w:color="auto"/>
            <w:bottom w:val="none" w:sz="0" w:space="0" w:color="auto"/>
            <w:right w:val="none" w:sz="0" w:space="0" w:color="auto"/>
          </w:divBdr>
        </w:div>
        <w:div w:id="344090967">
          <w:marLeft w:val="1166"/>
          <w:marRight w:val="0"/>
          <w:marTop w:val="96"/>
          <w:marBottom w:val="0"/>
          <w:divBdr>
            <w:top w:val="none" w:sz="0" w:space="0" w:color="auto"/>
            <w:left w:val="none" w:sz="0" w:space="0" w:color="auto"/>
            <w:bottom w:val="none" w:sz="0" w:space="0" w:color="auto"/>
            <w:right w:val="none" w:sz="0" w:space="0" w:color="auto"/>
          </w:divBdr>
        </w:div>
        <w:div w:id="98570384">
          <w:marLeft w:val="1166"/>
          <w:marRight w:val="0"/>
          <w:marTop w:val="9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55932766">
      <w:bodyDiv w:val="1"/>
      <w:marLeft w:val="0"/>
      <w:marRight w:val="0"/>
      <w:marTop w:val="0"/>
      <w:marBottom w:val="0"/>
      <w:divBdr>
        <w:top w:val="none" w:sz="0" w:space="0" w:color="auto"/>
        <w:left w:val="none" w:sz="0" w:space="0" w:color="auto"/>
        <w:bottom w:val="none" w:sz="0" w:space="0" w:color="auto"/>
        <w:right w:val="none" w:sz="0" w:space="0" w:color="auto"/>
      </w:divBdr>
    </w:div>
    <w:div w:id="1759523815">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0584028">
      <w:bodyDiv w:val="1"/>
      <w:marLeft w:val="0"/>
      <w:marRight w:val="0"/>
      <w:marTop w:val="0"/>
      <w:marBottom w:val="0"/>
      <w:divBdr>
        <w:top w:val="none" w:sz="0" w:space="0" w:color="auto"/>
        <w:left w:val="none" w:sz="0" w:space="0" w:color="auto"/>
        <w:bottom w:val="none" w:sz="0" w:space="0" w:color="auto"/>
        <w:right w:val="none" w:sz="0" w:space="0" w:color="auto"/>
      </w:divBdr>
      <w:divsChild>
        <w:div w:id="668827275">
          <w:marLeft w:val="547"/>
          <w:marRight w:val="0"/>
          <w:marTop w:val="96"/>
          <w:marBottom w:val="0"/>
          <w:divBdr>
            <w:top w:val="none" w:sz="0" w:space="0" w:color="auto"/>
            <w:left w:val="none" w:sz="0" w:space="0" w:color="auto"/>
            <w:bottom w:val="none" w:sz="0" w:space="0" w:color="auto"/>
            <w:right w:val="none" w:sz="0" w:space="0" w:color="auto"/>
          </w:divBdr>
        </w:div>
        <w:div w:id="888684258">
          <w:marLeft w:val="1166"/>
          <w:marRight w:val="0"/>
          <w:marTop w:val="96"/>
          <w:marBottom w:val="0"/>
          <w:divBdr>
            <w:top w:val="none" w:sz="0" w:space="0" w:color="auto"/>
            <w:left w:val="none" w:sz="0" w:space="0" w:color="auto"/>
            <w:bottom w:val="none" w:sz="0" w:space="0" w:color="auto"/>
            <w:right w:val="none" w:sz="0" w:space="0" w:color="auto"/>
          </w:divBdr>
        </w:div>
        <w:div w:id="1353804293">
          <w:marLeft w:val="1800"/>
          <w:marRight w:val="0"/>
          <w:marTop w:val="82"/>
          <w:marBottom w:val="0"/>
          <w:divBdr>
            <w:top w:val="none" w:sz="0" w:space="0" w:color="auto"/>
            <w:left w:val="none" w:sz="0" w:space="0" w:color="auto"/>
            <w:bottom w:val="none" w:sz="0" w:space="0" w:color="auto"/>
            <w:right w:val="none" w:sz="0" w:space="0" w:color="auto"/>
          </w:divBdr>
        </w:div>
        <w:div w:id="508983304">
          <w:marLeft w:val="1800"/>
          <w:marRight w:val="0"/>
          <w:marTop w:val="82"/>
          <w:marBottom w:val="0"/>
          <w:divBdr>
            <w:top w:val="none" w:sz="0" w:space="0" w:color="auto"/>
            <w:left w:val="none" w:sz="0" w:space="0" w:color="auto"/>
            <w:bottom w:val="none" w:sz="0" w:space="0" w:color="auto"/>
            <w:right w:val="none" w:sz="0" w:space="0" w:color="auto"/>
          </w:divBdr>
        </w:div>
        <w:div w:id="1291470078">
          <w:marLeft w:val="1166"/>
          <w:marRight w:val="0"/>
          <w:marTop w:val="96"/>
          <w:marBottom w:val="0"/>
          <w:divBdr>
            <w:top w:val="none" w:sz="0" w:space="0" w:color="auto"/>
            <w:left w:val="none" w:sz="0" w:space="0" w:color="auto"/>
            <w:bottom w:val="none" w:sz="0" w:space="0" w:color="auto"/>
            <w:right w:val="none" w:sz="0" w:space="0" w:color="auto"/>
          </w:divBdr>
        </w:div>
        <w:div w:id="1866014299">
          <w:marLeft w:val="1800"/>
          <w:marRight w:val="0"/>
          <w:marTop w:val="82"/>
          <w:marBottom w:val="0"/>
          <w:divBdr>
            <w:top w:val="none" w:sz="0" w:space="0" w:color="auto"/>
            <w:left w:val="none" w:sz="0" w:space="0" w:color="auto"/>
            <w:bottom w:val="none" w:sz="0" w:space="0" w:color="auto"/>
            <w:right w:val="none" w:sz="0" w:space="0" w:color="auto"/>
          </w:divBdr>
        </w:div>
        <w:div w:id="409616989">
          <w:marLeft w:val="1800"/>
          <w:marRight w:val="0"/>
          <w:marTop w:val="82"/>
          <w:marBottom w:val="0"/>
          <w:divBdr>
            <w:top w:val="none" w:sz="0" w:space="0" w:color="auto"/>
            <w:left w:val="none" w:sz="0" w:space="0" w:color="auto"/>
            <w:bottom w:val="none" w:sz="0" w:space="0" w:color="auto"/>
            <w:right w:val="none" w:sz="0" w:space="0" w:color="auto"/>
          </w:divBdr>
        </w:div>
        <w:div w:id="622881796">
          <w:marLeft w:val="1166"/>
          <w:marRight w:val="0"/>
          <w:marTop w:val="96"/>
          <w:marBottom w:val="0"/>
          <w:divBdr>
            <w:top w:val="none" w:sz="0" w:space="0" w:color="auto"/>
            <w:left w:val="none" w:sz="0" w:space="0" w:color="auto"/>
            <w:bottom w:val="none" w:sz="0" w:space="0" w:color="auto"/>
            <w:right w:val="none" w:sz="0" w:space="0" w:color="auto"/>
          </w:divBdr>
        </w:div>
        <w:div w:id="565727821">
          <w:marLeft w:val="1800"/>
          <w:marRight w:val="0"/>
          <w:marTop w:val="82"/>
          <w:marBottom w:val="0"/>
          <w:divBdr>
            <w:top w:val="none" w:sz="0" w:space="0" w:color="auto"/>
            <w:left w:val="none" w:sz="0" w:space="0" w:color="auto"/>
            <w:bottom w:val="none" w:sz="0" w:space="0" w:color="auto"/>
            <w:right w:val="none" w:sz="0" w:space="0" w:color="auto"/>
          </w:divBdr>
        </w:div>
        <w:div w:id="999498846">
          <w:marLeft w:val="1166"/>
          <w:marRight w:val="0"/>
          <w:marTop w:val="96"/>
          <w:marBottom w:val="0"/>
          <w:divBdr>
            <w:top w:val="none" w:sz="0" w:space="0" w:color="auto"/>
            <w:left w:val="none" w:sz="0" w:space="0" w:color="auto"/>
            <w:bottom w:val="none" w:sz="0" w:space="0" w:color="auto"/>
            <w:right w:val="none" w:sz="0" w:space="0" w:color="auto"/>
          </w:divBdr>
        </w:div>
        <w:div w:id="1500536945">
          <w:marLeft w:val="1800"/>
          <w:marRight w:val="0"/>
          <w:marTop w:val="82"/>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4216795">
      <w:bodyDiv w:val="1"/>
      <w:marLeft w:val="0"/>
      <w:marRight w:val="0"/>
      <w:marTop w:val="0"/>
      <w:marBottom w:val="0"/>
      <w:divBdr>
        <w:top w:val="none" w:sz="0" w:space="0" w:color="auto"/>
        <w:left w:val="none" w:sz="0" w:space="0" w:color="auto"/>
        <w:bottom w:val="none" w:sz="0" w:space="0" w:color="auto"/>
        <w:right w:val="none" w:sz="0" w:space="0" w:color="auto"/>
      </w:divBdr>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68511668">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13877667">
      <w:bodyDiv w:val="1"/>
      <w:marLeft w:val="0"/>
      <w:marRight w:val="0"/>
      <w:marTop w:val="0"/>
      <w:marBottom w:val="0"/>
      <w:divBdr>
        <w:top w:val="none" w:sz="0" w:space="0" w:color="auto"/>
        <w:left w:val="none" w:sz="0" w:space="0" w:color="auto"/>
        <w:bottom w:val="none" w:sz="0" w:space="0" w:color="auto"/>
        <w:right w:val="none" w:sz="0" w:space="0" w:color="auto"/>
      </w:divBdr>
      <w:divsChild>
        <w:div w:id="841627660">
          <w:marLeft w:val="547"/>
          <w:marRight w:val="0"/>
          <w:marTop w:val="96"/>
          <w:marBottom w:val="0"/>
          <w:divBdr>
            <w:top w:val="none" w:sz="0" w:space="0" w:color="auto"/>
            <w:left w:val="none" w:sz="0" w:space="0" w:color="auto"/>
            <w:bottom w:val="none" w:sz="0" w:space="0" w:color="auto"/>
            <w:right w:val="none" w:sz="0" w:space="0" w:color="auto"/>
          </w:divBdr>
        </w:div>
        <w:div w:id="1645156802">
          <w:marLeft w:val="1166"/>
          <w:marRight w:val="0"/>
          <w:marTop w:val="82"/>
          <w:marBottom w:val="0"/>
          <w:divBdr>
            <w:top w:val="none" w:sz="0" w:space="0" w:color="auto"/>
            <w:left w:val="none" w:sz="0" w:space="0" w:color="auto"/>
            <w:bottom w:val="none" w:sz="0" w:space="0" w:color="auto"/>
            <w:right w:val="none" w:sz="0" w:space="0" w:color="auto"/>
          </w:divBdr>
        </w:div>
        <w:div w:id="1426145525">
          <w:marLeft w:val="1800"/>
          <w:marRight w:val="0"/>
          <w:marTop w:val="82"/>
          <w:marBottom w:val="0"/>
          <w:divBdr>
            <w:top w:val="none" w:sz="0" w:space="0" w:color="auto"/>
            <w:left w:val="none" w:sz="0" w:space="0" w:color="auto"/>
            <w:bottom w:val="none" w:sz="0" w:space="0" w:color="auto"/>
            <w:right w:val="none" w:sz="0" w:space="0" w:color="auto"/>
          </w:divBdr>
        </w:div>
        <w:div w:id="1253202920">
          <w:marLeft w:val="547"/>
          <w:marRight w:val="0"/>
          <w:marTop w:val="96"/>
          <w:marBottom w:val="0"/>
          <w:divBdr>
            <w:top w:val="none" w:sz="0" w:space="0" w:color="auto"/>
            <w:left w:val="none" w:sz="0" w:space="0" w:color="auto"/>
            <w:bottom w:val="none" w:sz="0" w:space="0" w:color="auto"/>
            <w:right w:val="none" w:sz="0" w:space="0" w:color="auto"/>
          </w:divBdr>
        </w:div>
        <w:div w:id="1578173809">
          <w:marLeft w:val="1166"/>
          <w:marRight w:val="0"/>
          <w:marTop w:val="82"/>
          <w:marBottom w:val="0"/>
          <w:divBdr>
            <w:top w:val="none" w:sz="0" w:space="0" w:color="auto"/>
            <w:left w:val="none" w:sz="0" w:space="0" w:color="auto"/>
            <w:bottom w:val="none" w:sz="0" w:space="0" w:color="auto"/>
            <w:right w:val="none" w:sz="0" w:space="0" w:color="auto"/>
          </w:divBdr>
        </w:div>
        <w:div w:id="1050346390">
          <w:marLeft w:val="1800"/>
          <w:marRight w:val="0"/>
          <w:marTop w:val="67"/>
          <w:marBottom w:val="0"/>
          <w:divBdr>
            <w:top w:val="none" w:sz="0" w:space="0" w:color="auto"/>
            <w:left w:val="none" w:sz="0" w:space="0" w:color="auto"/>
            <w:bottom w:val="none" w:sz="0" w:space="0" w:color="auto"/>
            <w:right w:val="none" w:sz="0" w:space="0" w:color="auto"/>
          </w:divBdr>
        </w:div>
        <w:div w:id="229121288">
          <w:marLeft w:val="2520"/>
          <w:marRight w:val="0"/>
          <w:marTop w:val="82"/>
          <w:marBottom w:val="0"/>
          <w:divBdr>
            <w:top w:val="none" w:sz="0" w:space="0" w:color="auto"/>
            <w:left w:val="none" w:sz="0" w:space="0" w:color="auto"/>
            <w:bottom w:val="none" w:sz="0" w:space="0" w:color="auto"/>
            <w:right w:val="none" w:sz="0" w:space="0" w:color="auto"/>
          </w:divBdr>
        </w:div>
        <w:div w:id="755640198">
          <w:marLeft w:val="3240"/>
          <w:marRight w:val="0"/>
          <w:marTop w:val="82"/>
          <w:marBottom w:val="0"/>
          <w:divBdr>
            <w:top w:val="none" w:sz="0" w:space="0" w:color="auto"/>
            <w:left w:val="none" w:sz="0" w:space="0" w:color="auto"/>
            <w:bottom w:val="none" w:sz="0" w:space="0" w:color="auto"/>
            <w:right w:val="none" w:sz="0" w:space="0" w:color="auto"/>
          </w:divBdr>
        </w:div>
        <w:div w:id="1833450362">
          <w:marLeft w:val="3240"/>
          <w:marRight w:val="0"/>
          <w:marTop w:val="82"/>
          <w:marBottom w:val="0"/>
          <w:divBdr>
            <w:top w:val="none" w:sz="0" w:space="0" w:color="auto"/>
            <w:left w:val="none" w:sz="0" w:space="0" w:color="auto"/>
            <w:bottom w:val="none" w:sz="0" w:space="0" w:color="auto"/>
            <w:right w:val="none" w:sz="0" w:space="0" w:color="auto"/>
          </w:divBdr>
        </w:div>
        <w:div w:id="1862090200">
          <w:marLeft w:val="3240"/>
          <w:marRight w:val="0"/>
          <w:marTop w:val="82"/>
          <w:marBottom w:val="0"/>
          <w:divBdr>
            <w:top w:val="none" w:sz="0" w:space="0" w:color="auto"/>
            <w:left w:val="none" w:sz="0" w:space="0" w:color="auto"/>
            <w:bottom w:val="none" w:sz="0" w:space="0" w:color="auto"/>
            <w:right w:val="none" w:sz="0" w:space="0" w:color="auto"/>
          </w:divBdr>
        </w:div>
        <w:div w:id="459495431">
          <w:marLeft w:val="3240"/>
          <w:marRight w:val="0"/>
          <w:marTop w:val="82"/>
          <w:marBottom w:val="0"/>
          <w:divBdr>
            <w:top w:val="none" w:sz="0" w:space="0" w:color="auto"/>
            <w:left w:val="none" w:sz="0" w:space="0" w:color="auto"/>
            <w:bottom w:val="none" w:sz="0" w:space="0" w:color="auto"/>
            <w:right w:val="none" w:sz="0" w:space="0" w:color="auto"/>
          </w:divBdr>
        </w:div>
        <w:div w:id="683284820">
          <w:marLeft w:val="3240"/>
          <w:marRight w:val="0"/>
          <w:marTop w:val="82"/>
          <w:marBottom w:val="0"/>
          <w:divBdr>
            <w:top w:val="none" w:sz="0" w:space="0" w:color="auto"/>
            <w:left w:val="none" w:sz="0" w:space="0" w:color="auto"/>
            <w:bottom w:val="none" w:sz="0" w:space="0" w:color="auto"/>
            <w:right w:val="none" w:sz="0" w:space="0" w:color="auto"/>
          </w:divBdr>
        </w:div>
        <w:div w:id="1488278744">
          <w:marLeft w:val="1800"/>
          <w:marRight w:val="0"/>
          <w:marTop w:val="67"/>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EC12F649-D87D-4B58-8ABF-28D5FCA43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17730</TotalTime>
  <Pages>1</Pages>
  <Words>1630</Words>
  <Characters>9293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38</cp:revision>
  <cp:lastPrinted>2009-04-22T06:01:00Z</cp:lastPrinted>
  <dcterms:created xsi:type="dcterms:W3CDTF">2020-07-07T06:33:00Z</dcterms:created>
  <dcterms:modified xsi:type="dcterms:W3CDTF">2021-04-02T15:12:00Z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