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8C9" w:rsidRPr="005118C9" w:rsidRDefault="005118C9" w:rsidP="005118C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118C9">
        <w:rPr>
          <w:rFonts w:ascii="Arial" w:hAnsi="Arial" w:cs="Arial"/>
          <w:b/>
          <w:sz w:val="24"/>
          <w:szCs w:val="24"/>
          <w:lang w:val="en-US"/>
        </w:rPr>
        <w:t>3GPP TSG-RAN WG4 Meeting #</w:t>
      </w:r>
      <w:r w:rsidRPr="005118C9">
        <w:rPr>
          <w:lang w:val="en-US"/>
        </w:rPr>
        <w:t xml:space="preserve"> </w:t>
      </w:r>
      <w:r w:rsidRPr="005118C9">
        <w:rPr>
          <w:rFonts w:ascii="Arial" w:hAnsi="Arial" w:cs="Arial"/>
          <w:b/>
          <w:sz w:val="24"/>
          <w:szCs w:val="24"/>
          <w:lang w:val="en-US"/>
        </w:rPr>
        <w:t>98-bis-e</w:t>
      </w:r>
      <w:r w:rsidRPr="005118C9" w:rsidDel="00277FAB">
        <w:rPr>
          <w:rFonts w:ascii="Arial" w:hAnsi="Arial" w:cs="Arial"/>
          <w:b/>
          <w:sz w:val="24"/>
          <w:szCs w:val="24"/>
          <w:lang w:val="en-US"/>
        </w:rPr>
        <w:t xml:space="preserve"> </w:t>
      </w:r>
      <w:r w:rsidRPr="005118C9">
        <w:rPr>
          <w:rFonts w:ascii="Arial" w:hAnsi="Arial" w:cs="Arial"/>
          <w:b/>
          <w:sz w:val="24"/>
          <w:szCs w:val="24"/>
          <w:lang w:val="en-US"/>
        </w:rPr>
        <w:tab/>
      </w:r>
      <w:r w:rsidR="00184DF9" w:rsidRPr="00184DF9">
        <w:rPr>
          <w:rFonts w:ascii="Arial" w:hAnsi="Arial" w:cs="Arial"/>
          <w:b/>
          <w:sz w:val="24"/>
          <w:szCs w:val="24"/>
          <w:lang w:val="en-US"/>
        </w:rPr>
        <w:t>R4-2106987</w:t>
      </w:r>
      <w:bookmarkStart w:id="2" w:name="_GoBack"/>
      <w:bookmarkEnd w:id="2"/>
    </w:p>
    <w:p w:rsidR="005118C9" w:rsidRPr="005118C9" w:rsidRDefault="005118C9" w:rsidP="005118C9">
      <w:pPr>
        <w:tabs>
          <w:tab w:val="right" w:pos="9781"/>
          <w:tab w:val="right" w:pos="13323"/>
        </w:tabs>
        <w:spacing w:after="0"/>
        <w:outlineLvl w:val="0"/>
        <w:rPr>
          <w:rFonts w:ascii="Arial" w:eastAsia="宋体" w:hAnsi="Arial"/>
          <w:b/>
          <w:sz w:val="24"/>
          <w:szCs w:val="24"/>
          <w:lang w:val="en-US" w:eastAsia="zh-CN"/>
        </w:rPr>
      </w:pPr>
      <w:r w:rsidRPr="005118C9">
        <w:rPr>
          <w:rFonts w:ascii="Arial" w:eastAsia="宋体" w:hAnsi="Arial"/>
          <w:b/>
          <w:sz w:val="24"/>
          <w:szCs w:val="24"/>
          <w:lang w:val="en-US" w:eastAsia="zh-CN"/>
        </w:rPr>
        <w:t>Electronic Meeting, Apr. 12-20,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118C9" w:rsidRPr="005118C9">
        <w:rPr>
          <w:rFonts w:ascii="Arial" w:hAnsi="Arial"/>
          <w:sz w:val="24"/>
          <w:lang w:val="en-US"/>
        </w:rPr>
        <w:t>8.4.2.</w:t>
      </w:r>
      <w:r w:rsidR="00886BD8">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86BD8" w:rsidRPr="00886BD8">
        <w:rPr>
          <w:rFonts w:ascii="Arial" w:hAnsi="Arial"/>
          <w:sz w:val="24"/>
          <w:lang w:val="en-US"/>
        </w:rPr>
        <w:t xml:space="preserve">Discussion on requirements for HO with </w:t>
      </w:r>
      <w:proofErr w:type="spellStart"/>
      <w:r w:rsidR="00886BD8" w:rsidRPr="00886BD8">
        <w:rPr>
          <w:rFonts w:ascii="Arial" w:hAnsi="Arial"/>
          <w:sz w:val="24"/>
          <w:lang w:val="en-US"/>
        </w:rPr>
        <w:t>PSCell</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118C9" w:rsidRDefault="005118C9" w:rsidP="00DF0231">
      <w:pPr>
        <w:rPr>
          <w:rFonts w:eastAsiaTheme="minorEastAsia"/>
          <w:lang w:val="en-US" w:eastAsia="zh-CN"/>
        </w:rPr>
      </w:pPr>
      <w:r>
        <w:rPr>
          <w:rFonts w:eastAsiaTheme="minorEastAsia"/>
          <w:lang w:val="en-US" w:eastAsia="zh-CN"/>
        </w:rPr>
        <w:t xml:space="preserve">In last RAN4#98e meeting, the </w:t>
      </w:r>
      <w:r w:rsidR="00550AF2">
        <w:rPr>
          <w:rFonts w:eastAsiaTheme="minorEastAsia"/>
          <w:lang w:val="en-US" w:eastAsia="zh-CN"/>
        </w:rPr>
        <w:t xml:space="preserve">Handover with </w:t>
      </w:r>
      <w:proofErr w:type="spellStart"/>
      <w:r w:rsidR="00550AF2">
        <w:rPr>
          <w:rFonts w:eastAsiaTheme="minorEastAsia"/>
          <w:lang w:val="en-US" w:eastAsia="zh-CN"/>
        </w:rPr>
        <w:t>PSCell</w:t>
      </w:r>
      <w:proofErr w:type="spellEnd"/>
      <w:r w:rsidR="001619B6">
        <w:rPr>
          <w:rFonts w:eastAsiaTheme="minorEastAsia"/>
          <w:lang w:val="en-US" w:eastAsia="zh-CN"/>
        </w:rPr>
        <w:t xml:space="preserve"> requirements</w:t>
      </w:r>
      <w:r>
        <w:rPr>
          <w:rFonts w:eastAsiaTheme="minorEastAsia"/>
          <w:lang w:val="en-US" w:eastAsia="zh-CN"/>
        </w:rPr>
        <w:t xml:space="preserve"> were discussed with the agreements captured in the WF [1]. In this paper, we further provide our views on the remaining issues.</w:t>
      </w:r>
    </w:p>
    <w:p w:rsidR="00DF0231" w:rsidRDefault="00DF0231" w:rsidP="00DF0231">
      <w:pPr>
        <w:pStyle w:val="1"/>
        <w:numPr>
          <w:ilvl w:val="0"/>
          <w:numId w:val="1"/>
        </w:numPr>
        <w:rPr>
          <w:lang w:val="en-US"/>
        </w:rPr>
      </w:pPr>
      <w:r w:rsidRPr="002D2977">
        <w:rPr>
          <w:lang w:val="en-US"/>
        </w:rPr>
        <w:t>Discussion</w:t>
      </w:r>
    </w:p>
    <w:p w:rsidR="00E05A4D" w:rsidRDefault="00550AF2" w:rsidP="004B5582">
      <w:pPr>
        <w:rPr>
          <w:rFonts w:eastAsiaTheme="minorEastAsia"/>
          <w:lang w:val="en-US" w:eastAsia="zh-CN"/>
        </w:rPr>
      </w:pPr>
      <w:r>
        <w:rPr>
          <w:rFonts w:eastAsiaTheme="minorEastAsia"/>
          <w:lang w:val="en-US" w:eastAsia="zh-CN"/>
        </w:rPr>
        <w:t xml:space="preserve">In the last RAN4 meeting, the basic framework of HO with </w:t>
      </w:r>
      <w:proofErr w:type="spellStart"/>
      <w:r>
        <w:rPr>
          <w:rFonts w:eastAsiaTheme="minorEastAsia"/>
          <w:lang w:val="en-US" w:eastAsia="zh-CN"/>
        </w:rPr>
        <w:t>PSCell</w:t>
      </w:r>
      <w:proofErr w:type="spellEnd"/>
      <w:r>
        <w:rPr>
          <w:rFonts w:eastAsiaTheme="minorEastAsia"/>
          <w:lang w:val="en-US" w:eastAsia="zh-CN"/>
        </w:rPr>
        <w:t xml:space="preserve"> was discussed and some key issues were identified in terms of scenarios, sequential or parallel process, etc. In this paper we further provide our views on the pending issues. </w:t>
      </w:r>
    </w:p>
    <w:p w:rsidR="00704F7F" w:rsidRDefault="00D17293" w:rsidP="00D17293">
      <w:pPr>
        <w:pStyle w:val="3"/>
      </w:pPr>
      <w:r w:rsidRPr="00D17293">
        <w:t>2.1 Scenarios</w:t>
      </w:r>
    </w:p>
    <w:p w:rsidR="00D17293" w:rsidRDefault="00D17293" w:rsidP="00D17293">
      <w:r>
        <w:t xml:space="preserve">Regarding the scenarios considered for HO with </w:t>
      </w:r>
      <w:proofErr w:type="spellStart"/>
      <w:r>
        <w:t>PSCell</w:t>
      </w:r>
      <w:proofErr w:type="spellEnd"/>
      <w:r>
        <w:t>, the following scenarios are already agreed:</w:t>
      </w:r>
    </w:p>
    <w:p w:rsidR="00D17293" w:rsidRPr="00D17293" w:rsidRDefault="00D17293" w:rsidP="00703C3A">
      <w:pPr>
        <w:pStyle w:val="a6"/>
        <w:numPr>
          <w:ilvl w:val="0"/>
          <w:numId w:val="3"/>
        </w:numPr>
        <w:ind w:firstLineChars="0"/>
        <w:rPr>
          <w:lang w:val="en-US"/>
        </w:rPr>
      </w:pPr>
      <w:r w:rsidRPr="00D17293">
        <w:rPr>
          <w:lang w:val="en-US"/>
        </w:rPr>
        <w:t xml:space="preserve">from NR SA to EN-DC </w:t>
      </w:r>
    </w:p>
    <w:p w:rsidR="00D17293" w:rsidRPr="00D17293" w:rsidRDefault="00D17293" w:rsidP="00703C3A">
      <w:pPr>
        <w:pStyle w:val="a6"/>
        <w:numPr>
          <w:ilvl w:val="0"/>
          <w:numId w:val="3"/>
        </w:numPr>
        <w:ind w:firstLineChars="0"/>
        <w:rPr>
          <w:lang w:val="en-US"/>
        </w:rPr>
      </w:pPr>
      <w:r w:rsidRPr="00D17293">
        <w:rPr>
          <w:lang w:val="en-US"/>
        </w:rPr>
        <w:t>from EN-DC to EN-DC</w:t>
      </w:r>
    </w:p>
    <w:p w:rsidR="00D17293" w:rsidRPr="00D17293" w:rsidRDefault="00D17293" w:rsidP="00703C3A">
      <w:pPr>
        <w:pStyle w:val="a6"/>
        <w:numPr>
          <w:ilvl w:val="0"/>
          <w:numId w:val="3"/>
        </w:numPr>
        <w:ind w:firstLineChars="0"/>
        <w:rPr>
          <w:lang w:val="en-US"/>
        </w:rPr>
      </w:pPr>
      <w:r w:rsidRPr="00D17293">
        <w:rPr>
          <w:lang w:val="en-US"/>
        </w:rPr>
        <w:t>from NE-DC to NE-DC</w:t>
      </w:r>
    </w:p>
    <w:p w:rsidR="00D17293" w:rsidRDefault="00D17293" w:rsidP="00703C3A">
      <w:pPr>
        <w:pStyle w:val="a6"/>
        <w:numPr>
          <w:ilvl w:val="0"/>
          <w:numId w:val="3"/>
        </w:numPr>
        <w:ind w:firstLineChars="0"/>
        <w:rPr>
          <w:lang w:val="en-US"/>
        </w:rPr>
      </w:pPr>
      <w:r w:rsidRPr="00D17293">
        <w:rPr>
          <w:lang w:val="en-US"/>
        </w:rPr>
        <w:t>from NR-DC to NR-DC</w:t>
      </w:r>
    </w:p>
    <w:p w:rsidR="00D17293" w:rsidRDefault="00D17293" w:rsidP="00D17293">
      <w:pPr>
        <w:rPr>
          <w:lang w:val="en-US"/>
        </w:rPr>
      </w:pPr>
      <w:r>
        <w:rPr>
          <w:lang w:val="en-US"/>
        </w:rPr>
        <w:t xml:space="preserve">As discussed in the last meeting, HO with </w:t>
      </w:r>
      <w:proofErr w:type="spellStart"/>
      <w:r>
        <w:rPr>
          <w:lang w:val="en-US"/>
        </w:rPr>
        <w:t>PSCell</w:t>
      </w:r>
      <w:proofErr w:type="spellEnd"/>
      <w:r>
        <w:rPr>
          <w:lang w:val="en-US"/>
        </w:rPr>
        <w:t xml:space="preserve"> from NR SA to NR-DC/NE-DC and from LTE SA to EN-DC are also feasible. </w:t>
      </w:r>
      <w:r w:rsidR="00CE1CAC">
        <w:rPr>
          <w:lang w:val="en-US"/>
        </w:rPr>
        <w:t>Considering the typical use case, we suggest to focus on the above agreed scenarios.</w:t>
      </w:r>
    </w:p>
    <w:p w:rsidR="00CE1CAC" w:rsidRPr="00CE1CAC" w:rsidRDefault="00CE1CAC" w:rsidP="00D17293">
      <w:pPr>
        <w:rPr>
          <w:b/>
        </w:rPr>
      </w:pPr>
      <w:r w:rsidRPr="00CE1CAC">
        <w:rPr>
          <w:b/>
          <w:lang w:val="en-US"/>
        </w:rPr>
        <w:t xml:space="preserve">Proposal 1: </w:t>
      </w:r>
      <w:r w:rsidRPr="00CE1CAC">
        <w:rPr>
          <w:b/>
        </w:rPr>
        <w:t xml:space="preserve">Define RRM requirement for HO with </w:t>
      </w:r>
      <w:proofErr w:type="spellStart"/>
      <w:r w:rsidRPr="00CE1CAC">
        <w:rPr>
          <w:b/>
        </w:rPr>
        <w:t>PSCell</w:t>
      </w:r>
      <w:proofErr w:type="spellEnd"/>
      <w:r w:rsidRPr="00CE1CAC">
        <w:rPr>
          <w:b/>
        </w:rPr>
        <w:t xml:space="preserve"> for following scenarios:</w:t>
      </w:r>
    </w:p>
    <w:p w:rsidR="00CE1CAC" w:rsidRPr="00CE1CAC" w:rsidRDefault="00CE1CAC" w:rsidP="00703C3A">
      <w:pPr>
        <w:pStyle w:val="a6"/>
        <w:numPr>
          <w:ilvl w:val="0"/>
          <w:numId w:val="4"/>
        </w:numPr>
        <w:ind w:firstLineChars="0"/>
        <w:rPr>
          <w:b/>
          <w:lang w:val="en-US"/>
        </w:rPr>
      </w:pPr>
      <w:r w:rsidRPr="00CE1CAC">
        <w:rPr>
          <w:b/>
          <w:lang w:val="en-US"/>
        </w:rPr>
        <w:t xml:space="preserve">from NR SA to EN-DC </w:t>
      </w:r>
    </w:p>
    <w:p w:rsidR="00CE1CAC" w:rsidRPr="00CE1CAC" w:rsidRDefault="00CE1CAC" w:rsidP="00703C3A">
      <w:pPr>
        <w:pStyle w:val="a6"/>
        <w:numPr>
          <w:ilvl w:val="0"/>
          <w:numId w:val="4"/>
        </w:numPr>
        <w:ind w:firstLineChars="0"/>
        <w:rPr>
          <w:b/>
          <w:lang w:val="en-US"/>
        </w:rPr>
      </w:pPr>
      <w:r w:rsidRPr="00CE1CAC">
        <w:rPr>
          <w:b/>
          <w:lang w:val="en-US"/>
        </w:rPr>
        <w:t>from EN-DC to EN-DC</w:t>
      </w:r>
    </w:p>
    <w:p w:rsidR="00CE1CAC" w:rsidRPr="00CE1CAC" w:rsidRDefault="00CE1CAC" w:rsidP="00703C3A">
      <w:pPr>
        <w:pStyle w:val="a6"/>
        <w:numPr>
          <w:ilvl w:val="0"/>
          <w:numId w:val="4"/>
        </w:numPr>
        <w:ind w:firstLineChars="0"/>
        <w:rPr>
          <w:b/>
          <w:lang w:val="en-US"/>
        </w:rPr>
      </w:pPr>
      <w:r w:rsidRPr="00CE1CAC">
        <w:rPr>
          <w:b/>
          <w:lang w:val="en-US"/>
        </w:rPr>
        <w:t>from NE-DC to NE-DC</w:t>
      </w:r>
    </w:p>
    <w:p w:rsidR="00CE1CAC" w:rsidRPr="00CE1CAC" w:rsidRDefault="00CE1CAC" w:rsidP="00703C3A">
      <w:pPr>
        <w:pStyle w:val="a6"/>
        <w:numPr>
          <w:ilvl w:val="0"/>
          <w:numId w:val="4"/>
        </w:numPr>
        <w:ind w:firstLineChars="0"/>
        <w:rPr>
          <w:b/>
          <w:lang w:val="en-US"/>
        </w:rPr>
      </w:pPr>
      <w:r w:rsidRPr="00CE1CAC">
        <w:rPr>
          <w:b/>
          <w:lang w:val="en-US"/>
        </w:rPr>
        <w:t>from NR-DC to NR-DC</w:t>
      </w:r>
    </w:p>
    <w:p w:rsidR="00D17293" w:rsidRDefault="00D17293" w:rsidP="00D17293">
      <w:pPr>
        <w:pStyle w:val="3"/>
      </w:pPr>
      <w:r w:rsidRPr="00D17293">
        <w:t>2.</w:t>
      </w:r>
      <w:r w:rsidR="00CE1CAC">
        <w:t>2</w:t>
      </w:r>
      <w:r w:rsidRPr="00D17293">
        <w:t xml:space="preserve"> </w:t>
      </w:r>
      <w:r w:rsidR="00CE1CAC">
        <w:t xml:space="preserve">Timeline for HO with </w:t>
      </w:r>
      <w:proofErr w:type="spellStart"/>
      <w:r w:rsidR="00CE1CAC">
        <w:t>PSCell</w:t>
      </w:r>
      <w:proofErr w:type="spellEnd"/>
    </w:p>
    <w:p w:rsidR="00CE1CAC" w:rsidRDefault="00CE1CAC" w:rsidP="00CE1CAC">
      <w:r>
        <w:t xml:space="preserve">Another critical issue is the timeline of HO with </w:t>
      </w:r>
      <w:proofErr w:type="spellStart"/>
      <w:r>
        <w:t>PSCell</w:t>
      </w:r>
      <w:proofErr w:type="spellEnd"/>
      <w:r>
        <w:t xml:space="preserve"> addition. Companies have different views on whether the HO and </w:t>
      </w:r>
      <w:proofErr w:type="spellStart"/>
      <w:r>
        <w:t>PSCell</w:t>
      </w:r>
      <w:proofErr w:type="spellEnd"/>
      <w:r>
        <w:t xml:space="preserve"> configuration would be performed in parallel or in sequence. It will decide how to define the starting and ending point of HO with </w:t>
      </w:r>
      <w:proofErr w:type="spellStart"/>
      <w:r>
        <w:t>PSCell</w:t>
      </w:r>
      <w:proofErr w:type="spellEnd"/>
      <w:r>
        <w:t xml:space="preserve"> and the components of the specific requirements. </w:t>
      </w:r>
      <w:r w:rsidR="00E937EA">
        <w:t xml:space="preserve">For the existing requirements for HO or </w:t>
      </w:r>
      <w:proofErr w:type="spellStart"/>
      <w:r w:rsidR="00E937EA">
        <w:t>PSCell</w:t>
      </w:r>
      <w:proofErr w:type="spellEnd"/>
      <w:r w:rsidR="00E937EA">
        <w:t xml:space="preserve"> addition, it contains the time for Cell searching, time tracking, processing time and uncertainty for the first available PRACH occasion. </w:t>
      </w:r>
      <w:r w:rsidR="00035250">
        <w:t xml:space="preserve">Upon receiving the HO with </w:t>
      </w:r>
      <w:proofErr w:type="spellStart"/>
      <w:r w:rsidR="00035250">
        <w:t>PSCell</w:t>
      </w:r>
      <w:proofErr w:type="spellEnd"/>
      <w:r w:rsidR="00035250">
        <w:t xml:space="preserve"> within the single RRC message, all serving CCs are released. Regarding the mentioned procedures, we didn't see constraints that UE could not perform HO to the target CC and </w:t>
      </w:r>
      <w:proofErr w:type="spellStart"/>
      <w:r w:rsidR="00035250">
        <w:t>PSCell</w:t>
      </w:r>
      <w:proofErr w:type="spellEnd"/>
      <w:r w:rsidR="00035250">
        <w:t xml:space="preserve"> addition/change in parallel. Unless FR1+FR1 NR-DC is to be considered, the AGC settling may be considered for the case when the target </w:t>
      </w:r>
      <w:proofErr w:type="spellStart"/>
      <w:r w:rsidR="00035250">
        <w:t>PCell</w:t>
      </w:r>
      <w:proofErr w:type="spellEnd"/>
      <w:r w:rsidR="00035250">
        <w:t xml:space="preserve"> and </w:t>
      </w:r>
      <w:proofErr w:type="spellStart"/>
      <w:r w:rsidR="00035250">
        <w:t>PSCell</w:t>
      </w:r>
      <w:proofErr w:type="spellEnd"/>
      <w:r w:rsidR="00035250">
        <w:t xml:space="preserve"> are in the same band. </w:t>
      </w:r>
    </w:p>
    <w:p w:rsidR="00035250" w:rsidRDefault="00035250" w:rsidP="00CE1CAC">
      <w:pPr>
        <w:rPr>
          <w:b/>
        </w:rPr>
      </w:pPr>
      <w:r w:rsidRPr="003D48D7">
        <w:rPr>
          <w:b/>
        </w:rPr>
        <w:t xml:space="preserve">Observation 1: Upon receiving HO and </w:t>
      </w:r>
      <w:proofErr w:type="spellStart"/>
      <w:r w:rsidRPr="003D48D7">
        <w:rPr>
          <w:b/>
        </w:rPr>
        <w:t>PSCell</w:t>
      </w:r>
      <w:proofErr w:type="spellEnd"/>
      <w:r w:rsidRPr="003D48D7">
        <w:rPr>
          <w:b/>
        </w:rPr>
        <w:t xml:space="preserve"> command, all serving CC</w:t>
      </w:r>
      <w:r w:rsidR="003D48D7" w:rsidRPr="003D48D7">
        <w:rPr>
          <w:b/>
        </w:rPr>
        <w:t xml:space="preserve"> will be released, and UE is capable to perform HO and </w:t>
      </w:r>
      <w:proofErr w:type="spellStart"/>
      <w:r w:rsidR="003D48D7" w:rsidRPr="003D48D7">
        <w:rPr>
          <w:b/>
        </w:rPr>
        <w:t>PSCell</w:t>
      </w:r>
      <w:proofErr w:type="spellEnd"/>
      <w:r w:rsidR="003D48D7" w:rsidRPr="003D48D7">
        <w:rPr>
          <w:b/>
        </w:rPr>
        <w:t xml:space="preserve"> addition/change in parallel.</w:t>
      </w:r>
    </w:p>
    <w:p w:rsidR="007E418C" w:rsidRDefault="007E418C" w:rsidP="00CE1CAC">
      <w:pPr>
        <w:rPr>
          <w:b/>
        </w:rPr>
      </w:pPr>
      <w:r>
        <w:rPr>
          <w:b/>
        </w:rPr>
        <w:lastRenderedPageBreak/>
        <w:t xml:space="preserve">Proposal 1: Define the requirements for HO with </w:t>
      </w:r>
      <w:proofErr w:type="spellStart"/>
      <w:r>
        <w:rPr>
          <w:b/>
        </w:rPr>
        <w:t>PSCell</w:t>
      </w:r>
      <w:proofErr w:type="spellEnd"/>
      <w:r>
        <w:rPr>
          <w:b/>
        </w:rPr>
        <w:t xml:space="preserve"> based on the assumption that the procedure is performed in parallel.</w:t>
      </w:r>
    </w:p>
    <w:p w:rsidR="003D48D7" w:rsidRDefault="00E15FB2" w:rsidP="00CE1CAC">
      <w:r w:rsidRPr="00E15FB2">
        <w:t>Based on the assumption of parallel process</w:t>
      </w:r>
      <w:r>
        <w:t>ing</w:t>
      </w:r>
      <w:r w:rsidRPr="00E15FB2">
        <w:t xml:space="preserve"> of HO and </w:t>
      </w:r>
      <w:proofErr w:type="spellStart"/>
      <w:r w:rsidRPr="00E15FB2">
        <w:t>PSCell</w:t>
      </w:r>
      <w:proofErr w:type="spellEnd"/>
      <w:r w:rsidRPr="00E15FB2">
        <w:t xml:space="preserve"> addition/change, </w:t>
      </w:r>
      <w:r>
        <w:t xml:space="preserve">the requirements of delay and interruption requirements are analysed below. Regarding the delay requirements, it is to evaluate how long the UE will take to start PRACH transmission from the instance when the RRC command is received. So based on the parallel processing assumption, upon receiving the HO with </w:t>
      </w:r>
      <w:proofErr w:type="spellStart"/>
      <w:r>
        <w:t>PSCell</w:t>
      </w:r>
      <w:proofErr w:type="spellEnd"/>
      <w:r>
        <w:t xml:space="preserve"> command within the single RRC message, the UE shall transmit PRACH to target </w:t>
      </w:r>
      <w:proofErr w:type="spellStart"/>
      <w:r>
        <w:t>PCell</w:t>
      </w:r>
      <w:proofErr w:type="spellEnd"/>
      <w:r>
        <w:t xml:space="preserve"> and </w:t>
      </w:r>
      <w:proofErr w:type="spellStart"/>
      <w:r>
        <w:t>PSCell</w:t>
      </w:r>
      <w:proofErr w:type="spellEnd"/>
      <w:r>
        <w:t xml:space="preserve"> within the defined delay respectively. </w:t>
      </w:r>
    </w:p>
    <w:p w:rsidR="00476D5F" w:rsidRPr="007E418C" w:rsidRDefault="00E15FB2" w:rsidP="00CE1CAC">
      <w:pPr>
        <w:rPr>
          <w:b/>
        </w:rPr>
      </w:pPr>
      <w:r w:rsidRPr="007E418C">
        <w:rPr>
          <w:b/>
        </w:rPr>
        <w:t xml:space="preserve">Observation 2: Separate delay requirements shall be define for HO and </w:t>
      </w:r>
      <w:proofErr w:type="spellStart"/>
      <w:r w:rsidRPr="007E418C">
        <w:rPr>
          <w:b/>
        </w:rPr>
        <w:t>PSCell</w:t>
      </w:r>
      <w:proofErr w:type="spellEnd"/>
      <w:r w:rsidRPr="007E418C">
        <w:rPr>
          <w:b/>
        </w:rPr>
        <w:t xml:space="preserve"> addition/change. </w:t>
      </w:r>
      <w:r w:rsidR="00476D5F" w:rsidRPr="007E418C">
        <w:rPr>
          <w:b/>
        </w:rPr>
        <w:t xml:space="preserve">The same starting point is assumed for </w:t>
      </w:r>
      <w:proofErr w:type="spellStart"/>
      <w:r w:rsidR="00476D5F" w:rsidRPr="007E418C">
        <w:rPr>
          <w:b/>
        </w:rPr>
        <w:t>PCell</w:t>
      </w:r>
      <w:proofErr w:type="spellEnd"/>
      <w:r w:rsidR="00476D5F" w:rsidRPr="007E418C">
        <w:rPr>
          <w:b/>
        </w:rPr>
        <w:t xml:space="preserve"> and </w:t>
      </w:r>
      <w:proofErr w:type="spellStart"/>
      <w:r w:rsidR="00476D5F" w:rsidRPr="007E418C">
        <w:rPr>
          <w:b/>
        </w:rPr>
        <w:t>PScell</w:t>
      </w:r>
      <w:proofErr w:type="spellEnd"/>
      <w:r w:rsidR="00476D5F" w:rsidRPr="007E418C">
        <w:rPr>
          <w:b/>
        </w:rPr>
        <w:t xml:space="preserve"> and then ending points should be defined as </w:t>
      </w:r>
      <w:proofErr w:type="spellStart"/>
      <w:r w:rsidR="00476D5F" w:rsidRPr="007E418C">
        <w:rPr>
          <w:b/>
        </w:rPr>
        <w:t>PCell</w:t>
      </w:r>
      <w:proofErr w:type="spellEnd"/>
      <w:r w:rsidR="00476D5F" w:rsidRPr="007E418C">
        <w:rPr>
          <w:b/>
        </w:rPr>
        <w:t xml:space="preserve"> PRACH and </w:t>
      </w:r>
      <w:proofErr w:type="spellStart"/>
      <w:r w:rsidR="00476D5F" w:rsidRPr="007E418C">
        <w:rPr>
          <w:b/>
        </w:rPr>
        <w:t>PSCell</w:t>
      </w:r>
      <w:proofErr w:type="spellEnd"/>
      <w:r w:rsidR="00476D5F" w:rsidRPr="007E418C">
        <w:rPr>
          <w:b/>
        </w:rPr>
        <w:t xml:space="preserve"> PRACH respectively. </w:t>
      </w:r>
    </w:p>
    <w:p w:rsidR="00E15FB2" w:rsidRDefault="00476D5F" w:rsidP="00CE1CAC">
      <w:r>
        <w:t xml:space="preserve">If separately delay requirements are defined for HO and </w:t>
      </w:r>
      <w:proofErr w:type="spellStart"/>
      <w:r>
        <w:t>PSCell</w:t>
      </w:r>
      <w:proofErr w:type="spellEnd"/>
      <w:r>
        <w:t xml:space="preserve"> addition/change respectively, </w:t>
      </w:r>
      <w:r w:rsidR="001A176B">
        <w:t>the requirements are clear for UE</w:t>
      </w:r>
      <w:r>
        <w:t xml:space="preserve">’s behaviour, and there is no need to define </w:t>
      </w:r>
      <w:r w:rsidR="007E418C">
        <w:t>an</w:t>
      </w:r>
      <w:r>
        <w:t xml:space="preserve"> overall </w:t>
      </w:r>
      <w:r w:rsidR="007E418C">
        <w:t>delay.</w:t>
      </w:r>
    </w:p>
    <w:p w:rsidR="007E418C" w:rsidRPr="007E418C" w:rsidRDefault="007E418C" w:rsidP="00CE1CAC">
      <w:pPr>
        <w:rPr>
          <w:b/>
        </w:rPr>
      </w:pPr>
      <w:r w:rsidRPr="007E418C">
        <w:rPr>
          <w:b/>
        </w:rPr>
        <w:t xml:space="preserve">Proposal 2: Define delay requirements for HO and </w:t>
      </w:r>
      <w:proofErr w:type="spellStart"/>
      <w:r w:rsidRPr="007E418C">
        <w:rPr>
          <w:b/>
        </w:rPr>
        <w:t>PSCell</w:t>
      </w:r>
      <w:proofErr w:type="spellEnd"/>
      <w:r w:rsidRPr="007E418C">
        <w:rPr>
          <w:b/>
        </w:rPr>
        <w:t xml:space="preserve"> addition/change separately with the ending points defined as </w:t>
      </w:r>
      <w:proofErr w:type="spellStart"/>
      <w:r w:rsidRPr="007E418C">
        <w:rPr>
          <w:b/>
        </w:rPr>
        <w:t>PCell</w:t>
      </w:r>
      <w:proofErr w:type="spellEnd"/>
      <w:r w:rsidRPr="007E418C">
        <w:rPr>
          <w:b/>
        </w:rPr>
        <w:t xml:space="preserve"> PRACH and </w:t>
      </w:r>
      <w:proofErr w:type="spellStart"/>
      <w:r w:rsidRPr="007E418C">
        <w:rPr>
          <w:b/>
        </w:rPr>
        <w:t>PSCell</w:t>
      </w:r>
      <w:proofErr w:type="spellEnd"/>
      <w:r w:rsidRPr="007E418C">
        <w:rPr>
          <w:b/>
        </w:rPr>
        <w:t xml:space="preserve"> PRACH respectively. No need to define overall delay requirement.</w:t>
      </w:r>
    </w:p>
    <w:p w:rsidR="007E418C" w:rsidRDefault="002C0C45" w:rsidP="00CE1CAC">
      <w:r>
        <w:t xml:space="preserve">Regarding the interruption requirements, at least to us, the definition is not very clear currently. When we are talking about the interruption of </w:t>
      </w:r>
      <w:proofErr w:type="spellStart"/>
      <w:r>
        <w:t>PSCell</w:t>
      </w:r>
      <w:proofErr w:type="spellEnd"/>
      <w:r>
        <w:t xml:space="preserve"> addition and</w:t>
      </w:r>
      <w:r w:rsidR="001A176B">
        <w:t xml:space="preserve"> that</w:t>
      </w:r>
      <w:r>
        <w:t xml:space="preserve"> of other RRM requirements, it is the interruption on other serving CCs which is the time period when the UE is not capable of transmission/reception on these impacted CCs. The interruptions mainly come from some particular actions e.g. RF tuning, AGC settling. However, </w:t>
      </w:r>
      <w:r w:rsidR="00AD2EC2">
        <w:t xml:space="preserve">when referring to requirements for HO, the time period from the end of RRC command to PRACH transmission is defined as interruption time. For HO process, there is no other serving CCs, but when considering HO with </w:t>
      </w:r>
      <w:proofErr w:type="spellStart"/>
      <w:r w:rsidR="00AD2EC2">
        <w:t>PSCell</w:t>
      </w:r>
      <w:proofErr w:type="spellEnd"/>
      <w:r w:rsidR="00AD2EC2">
        <w:t xml:space="preserve"> which could be performed in parallel, it doesn't means the whole “interruption time” of HO will impact transmission and reception on the </w:t>
      </w:r>
      <w:proofErr w:type="spellStart"/>
      <w:r w:rsidR="00AD2EC2">
        <w:t>PSCell</w:t>
      </w:r>
      <w:proofErr w:type="spellEnd"/>
      <w:r w:rsidR="00AD2EC2">
        <w:t xml:space="preserve">. However, for HO with </w:t>
      </w:r>
      <w:proofErr w:type="spellStart"/>
      <w:r w:rsidR="00AD2EC2">
        <w:t>PSCell</w:t>
      </w:r>
      <w:proofErr w:type="spellEnd"/>
      <w:r w:rsidR="00AD2EC2">
        <w:t xml:space="preserve"> procedur</w:t>
      </w:r>
      <w:r w:rsidR="00B072D0">
        <w:t>e, there is no other serving CC which means there is no need to consider the interruption on other CCs.</w:t>
      </w:r>
    </w:p>
    <w:p w:rsidR="00B072D0" w:rsidRPr="005C1FDB" w:rsidRDefault="00B072D0" w:rsidP="00CE1CAC">
      <w:pPr>
        <w:rPr>
          <w:b/>
        </w:rPr>
      </w:pPr>
      <w:r w:rsidRPr="005C1FDB">
        <w:rPr>
          <w:b/>
        </w:rPr>
        <w:t xml:space="preserve">Observation 3: There is no other serving CCs in the HO with </w:t>
      </w:r>
      <w:proofErr w:type="spellStart"/>
      <w:r w:rsidRPr="005C1FDB">
        <w:rPr>
          <w:b/>
        </w:rPr>
        <w:t>PSCell</w:t>
      </w:r>
      <w:proofErr w:type="spellEnd"/>
      <w:r w:rsidRPr="005C1FDB">
        <w:rPr>
          <w:b/>
        </w:rPr>
        <w:t xml:space="preserve"> procedure.</w:t>
      </w:r>
    </w:p>
    <w:p w:rsidR="005C1FDB" w:rsidRDefault="005C1FDB" w:rsidP="00CE1CAC">
      <w:pPr>
        <w:rPr>
          <w:rFonts w:eastAsiaTheme="minorEastAsia"/>
          <w:lang w:eastAsia="zh-CN"/>
        </w:rPr>
      </w:pPr>
      <w:r>
        <w:t xml:space="preserve">Based on the analysis above, if the HO with </w:t>
      </w:r>
      <w:proofErr w:type="spellStart"/>
      <w:r>
        <w:t>PSCell</w:t>
      </w:r>
      <w:proofErr w:type="spellEnd"/>
      <w:r>
        <w:t xml:space="preserve"> is assumed to be performed in parallel, then there is no need to define particular interruption requirements to other serving </w:t>
      </w:r>
      <w:proofErr w:type="gramStart"/>
      <w:r>
        <w:t>CCs.</w:t>
      </w:r>
      <w:proofErr w:type="gramEnd"/>
      <w:r>
        <w:t xml:space="preserve"> The discussion should focus on whether the time latency of one procedure will be interrupted by the parallel processing on the other side. From our views, the potential interruptions mainly comes from RF tuning and AGC if needed. First we need to identify that whether the procedures </w:t>
      </w:r>
      <w:r w:rsidR="00983267">
        <w:t xml:space="preserve">of HO will interrupt the SSB for cell searching or time tracking during </w:t>
      </w:r>
      <w:proofErr w:type="spellStart"/>
      <w:r w:rsidR="00983267">
        <w:t>PSCell</w:t>
      </w:r>
      <w:proofErr w:type="spellEnd"/>
      <w:r w:rsidR="00983267">
        <w:t xml:space="preserve"> addition/change or </w:t>
      </w:r>
      <w:r w:rsidR="00983267">
        <w:rPr>
          <w:rFonts w:eastAsiaTheme="minorEastAsia" w:hint="eastAsia"/>
          <w:lang w:eastAsia="zh-CN"/>
        </w:rPr>
        <w:t>the</w:t>
      </w:r>
      <w:r w:rsidR="00983267">
        <w:rPr>
          <w:rFonts w:eastAsiaTheme="minorEastAsia"/>
          <w:lang w:eastAsia="zh-CN"/>
        </w:rPr>
        <w:t xml:space="preserve"> other way around. </w:t>
      </w:r>
    </w:p>
    <w:p w:rsidR="00983267" w:rsidRDefault="00983267" w:rsidP="00CE1CAC">
      <w:pPr>
        <w:rPr>
          <w:rFonts w:eastAsiaTheme="minorEastAsia"/>
          <w:lang w:eastAsia="zh-CN"/>
        </w:rPr>
      </w:pPr>
      <w:r>
        <w:rPr>
          <w:rFonts w:eastAsiaTheme="minorEastAsia"/>
          <w:lang w:eastAsia="zh-CN"/>
        </w:rPr>
        <w:t xml:space="preserve">Based on the </w:t>
      </w:r>
      <w:r w:rsidR="00B3040A">
        <w:rPr>
          <w:rFonts w:eastAsiaTheme="minorEastAsia"/>
          <w:lang w:eastAsia="zh-CN"/>
        </w:rPr>
        <w:t>parallel processing assumption, for the cases when joi</w:t>
      </w:r>
      <w:r w:rsidR="001A176B">
        <w:rPr>
          <w:rFonts w:eastAsiaTheme="minorEastAsia"/>
          <w:lang w:eastAsia="zh-CN"/>
        </w:rPr>
        <w:t>nt AGC is not needed (e.g. intra</w:t>
      </w:r>
      <w:r w:rsidR="00B3040A">
        <w:rPr>
          <w:rFonts w:eastAsiaTheme="minorEastAsia"/>
          <w:lang w:eastAsia="zh-CN"/>
        </w:rPr>
        <w:t xml:space="preserve">-band), only the interruptions caused by RF tuning should be considered. As the command for HO and </w:t>
      </w:r>
      <w:proofErr w:type="spellStart"/>
      <w:r w:rsidR="00B3040A">
        <w:rPr>
          <w:rFonts w:eastAsiaTheme="minorEastAsia"/>
          <w:lang w:eastAsia="zh-CN"/>
        </w:rPr>
        <w:t>PSCell</w:t>
      </w:r>
      <w:proofErr w:type="spellEnd"/>
      <w:r w:rsidR="00B3040A">
        <w:rPr>
          <w:rFonts w:eastAsiaTheme="minorEastAsia"/>
          <w:lang w:eastAsia="zh-CN"/>
        </w:rPr>
        <w:t xml:space="preserve"> addition</w:t>
      </w:r>
      <w:r w:rsidR="00B3040A">
        <w:rPr>
          <w:rFonts w:eastAsiaTheme="minorEastAsia" w:hint="eastAsia"/>
          <w:lang w:eastAsia="zh-CN"/>
        </w:rPr>
        <w:t>/</w:t>
      </w:r>
      <w:r w:rsidR="00B3040A">
        <w:rPr>
          <w:rFonts w:eastAsiaTheme="minorEastAsia"/>
          <w:lang w:eastAsia="zh-CN"/>
        </w:rPr>
        <w:t xml:space="preserve">change are carried within the same RRC message, the RF tuning to the target </w:t>
      </w:r>
      <w:proofErr w:type="spellStart"/>
      <w:r w:rsidR="00B3040A">
        <w:rPr>
          <w:rFonts w:eastAsiaTheme="minorEastAsia"/>
          <w:lang w:eastAsia="zh-CN"/>
        </w:rPr>
        <w:t>PCell</w:t>
      </w:r>
      <w:proofErr w:type="spellEnd"/>
      <w:r w:rsidR="00B3040A">
        <w:rPr>
          <w:rFonts w:eastAsiaTheme="minorEastAsia"/>
          <w:lang w:eastAsia="zh-CN"/>
        </w:rPr>
        <w:t xml:space="preserve"> and </w:t>
      </w:r>
      <w:proofErr w:type="spellStart"/>
      <w:r w:rsidR="00B3040A">
        <w:rPr>
          <w:rFonts w:eastAsiaTheme="minorEastAsia"/>
          <w:lang w:eastAsia="zh-CN"/>
        </w:rPr>
        <w:t>PSCell</w:t>
      </w:r>
      <w:proofErr w:type="spellEnd"/>
      <w:r w:rsidR="00B3040A">
        <w:rPr>
          <w:rFonts w:eastAsiaTheme="minorEastAsia"/>
          <w:lang w:eastAsia="zh-CN"/>
        </w:rPr>
        <w:t xml:space="preserve"> is considered to be performed simultaneously. Then there is no additional delay caused by the interruption from the other side, and the respective delay requirements for HO and </w:t>
      </w:r>
      <w:proofErr w:type="spellStart"/>
      <w:r w:rsidR="00B3040A">
        <w:rPr>
          <w:rFonts w:eastAsiaTheme="minorEastAsia"/>
          <w:lang w:eastAsia="zh-CN"/>
        </w:rPr>
        <w:t>PSCell</w:t>
      </w:r>
      <w:proofErr w:type="spellEnd"/>
      <w:r w:rsidR="00B3040A">
        <w:rPr>
          <w:rFonts w:eastAsiaTheme="minorEastAsia"/>
          <w:lang w:eastAsia="zh-CN"/>
        </w:rPr>
        <w:t xml:space="preserve"> addition/change are same as the existing requirements for HO and </w:t>
      </w:r>
      <w:proofErr w:type="spellStart"/>
      <w:r w:rsidR="00B3040A">
        <w:rPr>
          <w:rFonts w:eastAsiaTheme="minorEastAsia"/>
          <w:lang w:eastAsia="zh-CN"/>
        </w:rPr>
        <w:t>PSCell</w:t>
      </w:r>
      <w:proofErr w:type="spellEnd"/>
      <w:r w:rsidR="00B3040A">
        <w:rPr>
          <w:rFonts w:eastAsiaTheme="minorEastAsia"/>
          <w:lang w:eastAsia="zh-CN"/>
        </w:rPr>
        <w:t xml:space="preserve"> addition/change.</w:t>
      </w:r>
    </w:p>
    <w:p w:rsidR="00B3040A" w:rsidRDefault="00AD71F4" w:rsidP="00CE1CAC">
      <w:pPr>
        <w:rPr>
          <w:rFonts w:eastAsiaTheme="minorEastAsia"/>
          <w:lang w:eastAsia="zh-CN"/>
        </w:rPr>
      </w:pPr>
      <w:r>
        <w:rPr>
          <w:rFonts w:eastAsiaTheme="minorEastAsia"/>
          <w:lang w:eastAsia="zh-CN"/>
        </w:rPr>
        <w:t xml:space="preserve">For the case when joint AGC is needed (FR1+FR1/FR2+FR2 NR-DC intra-band), similar as the discussion for </w:t>
      </w:r>
      <w:proofErr w:type="spellStart"/>
      <w:r>
        <w:rPr>
          <w:rFonts w:eastAsiaTheme="minorEastAsia"/>
          <w:lang w:eastAsia="zh-CN"/>
        </w:rPr>
        <w:t>SCell</w:t>
      </w:r>
      <w:proofErr w:type="spellEnd"/>
      <w:r>
        <w:rPr>
          <w:rFonts w:eastAsiaTheme="minorEastAsia"/>
          <w:lang w:eastAsia="zh-CN"/>
        </w:rPr>
        <w:t xml:space="preserve"> activation, when the target </w:t>
      </w:r>
      <w:proofErr w:type="spellStart"/>
      <w:r>
        <w:rPr>
          <w:rFonts w:eastAsiaTheme="minorEastAsia"/>
          <w:lang w:eastAsia="zh-CN"/>
        </w:rPr>
        <w:t>PCell</w:t>
      </w:r>
      <w:proofErr w:type="spellEnd"/>
      <w:r>
        <w:rPr>
          <w:rFonts w:eastAsiaTheme="minorEastAsia"/>
          <w:lang w:eastAsia="zh-CN"/>
        </w:rPr>
        <w:t xml:space="preserve"> and the </w:t>
      </w:r>
      <w:proofErr w:type="spellStart"/>
      <w:r>
        <w:rPr>
          <w:rFonts w:eastAsiaTheme="minorEastAsia"/>
          <w:lang w:eastAsia="zh-CN"/>
        </w:rPr>
        <w:t>PSCell</w:t>
      </w:r>
      <w:proofErr w:type="spellEnd"/>
      <w:r>
        <w:rPr>
          <w:rFonts w:eastAsiaTheme="minorEastAsia"/>
          <w:lang w:eastAsia="zh-CN"/>
        </w:rPr>
        <w:t xml:space="preserve"> as in the same band, then </w:t>
      </w:r>
      <w:r w:rsidR="003E0A24">
        <w:rPr>
          <w:rFonts w:eastAsiaTheme="minorEastAsia"/>
          <w:lang w:eastAsia="zh-CN"/>
        </w:rPr>
        <w:t xml:space="preserve">the AGC settling may be performed jointly. The delay requirements for both HO and </w:t>
      </w:r>
      <w:proofErr w:type="spellStart"/>
      <w:r w:rsidR="003E0A24">
        <w:rPr>
          <w:rFonts w:eastAsiaTheme="minorEastAsia"/>
          <w:lang w:eastAsia="zh-CN"/>
        </w:rPr>
        <w:t>PSCell</w:t>
      </w:r>
      <w:proofErr w:type="spellEnd"/>
      <w:r w:rsidR="003E0A24">
        <w:rPr>
          <w:rFonts w:eastAsiaTheme="minorEastAsia"/>
          <w:lang w:eastAsia="zh-CN"/>
        </w:rPr>
        <w:t xml:space="preserve"> addition</w:t>
      </w:r>
      <w:r w:rsidR="003E0A24">
        <w:rPr>
          <w:rFonts w:eastAsiaTheme="minorEastAsia" w:hint="eastAsia"/>
          <w:lang w:eastAsia="zh-CN"/>
        </w:rPr>
        <w:t>/change</w:t>
      </w:r>
      <w:r w:rsidR="003E0A24">
        <w:rPr>
          <w:rFonts w:eastAsiaTheme="minorEastAsia"/>
          <w:lang w:eastAsia="zh-CN"/>
        </w:rPr>
        <w:t xml:space="preserve"> shall consider the SMTC_MAX</w:t>
      </w:r>
      <w:r w:rsidR="003E0A24">
        <w:rPr>
          <w:rFonts w:eastAsiaTheme="minorEastAsia" w:hint="eastAsia"/>
          <w:lang w:eastAsia="zh-CN"/>
        </w:rPr>
        <w:t>.</w:t>
      </w:r>
      <w:r w:rsidR="003E0A24">
        <w:rPr>
          <w:rFonts w:eastAsiaTheme="minorEastAsia"/>
          <w:lang w:eastAsia="zh-CN"/>
        </w:rPr>
        <w:t xml:space="preserve"> After the AGC is ready, the other procedures could be done in parallel. The example for above two cases are shown in the Fig. 1.</w:t>
      </w:r>
    </w:p>
    <w:p w:rsidR="003E0A24" w:rsidRDefault="008C7F4D" w:rsidP="00CE1CAC">
      <w:pPr>
        <w:rPr>
          <w:rFonts w:eastAsiaTheme="minorEastAsia"/>
          <w:lang w:eastAsia="zh-CN"/>
        </w:rPr>
      </w:pPr>
      <w:r>
        <w:rPr>
          <w:noProof/>
          <w:lang w:val="en-US" w:eastAsia="zh-CN"/>
        </w:rPr>
        <w:lastRenderedPageBreak/>
        <w:drawing>
          <wp:inline distT="0" distB="0" distL="0" distR="0" wp14:anchorId="5B115ED7" wp14:editId="151847CA">
            <wp:extent cx="4889500" cy="2297125"/>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8804" cy="2306194"/>
                    </a:xfrm>
                    <a:prstGeom prst="rect">
                      <a:avLst/>
                    </a:prstGeom>
                  </pic:spPr>
                </pic:pic>
              </a:graphicData>
            </a:graphic>
          </wp:inline>
        </w:drawing>
      </w:r>
    </w:p>
    <w:p w:rsidR="008C7F4D" w:rsidRDefault="008C7F4D" w:rsidP="00CE1CAC">
      <w:pPr>
        <w:rPr>
          <w:rFonts w:eastAsiaTheme="minorEastAsia"/>
          <w:lang w:eastAsia="zh-CN"/>
        </w:rPr>
      </w:pPr>
      <w:r>
        <w:rPr>
          <w:rFonts w:eastAsiaTheme="minorEastAsia"/>
          <w:lang w:eastAsia="zh-CN"/>
        </w:rPr>
        <w:t xml:space="preserve">Fig.1 Timeline for HO with </w:t>
      </w:r>
      <w:proofErr w:type="spellStart"/>
      <w:r>
        <w:rPr>
          <w:rFonts w:eastAsiaTheme="minorEastAsia"/>
          <w:lang w:eastAsia="zh-CN"/>
        </w:rPr>
        <w:t>PSCell</w:t>
      </w:r>
      <w:proofErr w:type="spellEnd"/>
      <w:r>
        <w:rPr>
          <w:rFonts w:eastAsiaTheme="minorEastAsia"/>
          <w:lang w:eastAsia="zh-CN"/>
        </w:rPr>
        <w:t xml:space="preserve"> with parallel processing.</w:t>
      </w:r>
    </w:p>
    <w:p w:rsidR="00253226" w:rsidRDefault="00253226" w:rsidP="00CE1CAC">
      <w:pPr>
        <w:rPr>
          <w:rFonts w:eastAsiaTheme="minorEastAsia"/>
          <w:lang w:eastAsia="zh-CN"/>
        </w:rPr>
      </w:pPr>
      <w:r>
        <w:rPr>
          <w:rFonts w:eastAsiaTheme="minorEastAsia" w:hint="eastAsia"/>
          <w:lang w:eastAsia="zh-CN"/>
        </w:rPr>
        <w:t>How</w:t>
      </w:r>
      <w:r>
        <w:rPr>
          <w:rFonts w:eastAsiaTheme="minorEastAsia"/>
          <w:lang w:eastAsia="zh-CN"/>
        </w:rPr>
        <w:t xml:space="preserve">ever, </w:t>
      </w:r>
      <w:r w:rsidR="00804C18">
        <w:rPr>
          <w:rFonts w:eastAsiaTheme="minorEastAsia"/>
          <w:lang w:eastAsia="zh-CN"/>
        </w:rPr>
        <w:t xml:space="preserve">from our understanding, </w:t>
      </w:r>
      <w:r>
        <w:rPr>
          <w:rFonts w:eastAsiaTheme="minorEastAsia"/>
          <w:lang w:eastAsia="zh-CN"/>
        </w:rPr>
        <w:t xml:space="preserve">the intra-band NR-DC is not supported </w:t>
      </w:r>
      <w:r w:rsidR="00804C18">
        <w:rPr>
          <w:rFonts w:eastAsiaTheme="minorEastAsia"/>
          <w:lang w:eastAsia="zh-CN"/>
        </w:rPr>
        <w:t xml:space="preserve">yet, and there is no baseline requirements for FR1+FR1/FR2+FR2 NR-DC in RRM spec. It is suggested to only consider FR1+FR2 NR-DC. Then there is no need to consider the top part in Fig. 1. Then for all the scenarios to be considered, there is no additional delay caused by the interruptions on the other side. Only the RRC processing time and </w:t>
      </w:r>
      <w:proofErr w:type="spellStart"/>
      <w:r w:rsidR="00E63892">
        <w:rPr>
          <w:rFonts w:eastAsiaTheme="minorEastAsia"/>
          <w:lang w:eastAsia="zh-CN"/>
        </w:rPr>
        <w:t>Tprocessing</w:t>
      </w:r>
      <w:proofErr w:type="spellEnd"/>
      <w:r w:rsidR="00E63892">
        <w:rPr>
          <w:rFonts w:eastAsiaTheme="minorEastAsia"/>
          <w:lang w:eastAsia="zh-CN"/>
        </w:rPr>
        <w:t xml:space="preserve"> shall be considered. </w:t>
      </w:r>
    </w:p>
    <w:p w:rsidR="00E63892" w:rsidRDefault="00E63892" w:rsidP="00CE1CAC">
      <w:pPr>
        <w:rPr>
          <w:rFonts w:eastAsiaTheme="minorEastAsia"/>
          <w:b/>
          <w:lang w:eastAsia="zh-CN"/>
        </w:rPr>
      </w:pPr>
      <w:r w:rsidRPr="006406C6">
        <w:rPr>
          <w:rFonts w:eastAsiaTheme="minorEastAsia"/>
          <w:b/>
          <w:lang w:eastAsia="zh-CN"/>
        </w:rPr>
        <w:t xml:space="preserve">Proposal 3: Not to have interruption requirements for HO with </w:t>
      </w:r>
      <w:proofErr w:type="spellStart"/>
      <w:r w:rsidRPr="006406C6">
        <w:rPr>
          <w:rFonts w:eastAsiaTheme="minorEastAsia"/>
          <w:b/>
          <w:lang w:eastAsia="zh-CN"/>
        </w:rPr>
        <w:t>PSCell</w:t>
      </w:r>
      <w:proofErr w:type="spellEnd"/>
      <w:r w:rsidRPr="006406C6">
        <w:rPr>
          <w:rFonts w:eastAsiaTheme="minorEastAsia"/>
          <w:b/>
          <w:lang w:eastAsia="zh-CN"/>
        </w:rPr>
        <w:t xml:space="preserve"> as there is no other serving CCs during the procedure.</w:t>
      </w:r>
    </w:p>
    <w:p w:rsidR="004A1C84" w:rsidRDefault="00B616DA" w:rsidP="00CE1CAC">
      <w:pPr>
        <w:rPr>
          <w:i/>
        </w:rPr>
      </w:pPr>
      <w:r w:rsidRPr="00B616DA">
        <w:rPr>
          <w:rFonts w:eastAsiaTheme="minorEastAsia"/>
          <w:lang w:eastAsia="zh-CN"/>
        </w:rPr>
        <w:t>An LS</w:t>
      </w:r>
      <w:r w:rsidR="00032D69">
        <w:rPr>
          <w:rFonts w:eastAsiaTheme="minorEastAsia"/>
          <w:lang w:eastAsia="zh-CN"/>
        </w:rPr>
        <w:t xml:space="preserve"> [2]</w:t>
      </w:r>
      <w:r w:rsidRPr="00B616DA">
        <w:rPr>
          <w:rFonts w:eastAsiaTheme="minorEastAsia"/>
          <w:lang w:eastAsia="zh-CN"/>
        </w:rPr>
        <w:t xml:space="preserve"> was sent to RAN2 </w:t>
      </w:r>
      <w:r>
        <w:rPr>
          <w:rFonts w:eastAsiaTheme="minorEastAsia"/>
          <w:lang w:eastAsia="zh-CN"/>
        </w:rPr>
        <w:t xml:space="preserve">to ask about the UE’s behaviour when UE fails to synchronize to the target </w:t>
      </w:r>
      <w:proofErr w:type="spellStart"/>
      <w:r>
        <w:rPr>
          <w:rFonts w:eastAsiaTheme="minorEastAsia"/>
          <w:lang w:eastAsia="zh-CN"/>
        </w:rPr>
        <w:t>PSCell</w:t>
      </w:r>
      <w:proofErr w:type="spellEnd"/>
      <w:r>
        <w:rPr>
          <w:rFonts w:eastAsiaTheme="minorEastAsia"/>
          <w:lang w:eastAsia="zh-CN"/>
        </w:rPr>
        <w:t xml:space="preserve">. Before we get the response from RAN2, we provide some observations based on the current RAN2’ spec. </w:t>
      </w:r>
      <w:r w:rsidR="00941AAB">
        <w:rPr>
          <w:rFonts w:eastAsiaTheme="minorEastAsia"/>
          <w:lang w:eastAsia="zh-CN"/>
        </w:rPr>
        <w:t xml:space="preserve">For the HO with </w:t>
      </w:r>
      <w:proofErr w:type="spellStart"/>
      <w:r w:rsidR="00941AAB">
        <w:rPr>
          <w:rFonts w:eastAsiaTheme="minorEastAsia"/>
          <w:lang w:eastAsia="zh-CN"/>
        </w:rPr>
        <w:t>PSCell</w:t>
      </w:r>
      <w:proofErr w:type="spellEnd"/>
      <w:r w:rsidR="00941AAB">
        <w:rPr>
          <w:rFonts w:eastAsiaTheme="minorEastAsia"/>
          <w:lang w:eastAsia="zh-CN"/>
        </w:rPr>
        <w:t xml:space="preserve">, the HO command and </w:t>
      </w:r>
      <w:proofErr w:type="spellStart"/>
      <w:r w:rsidR="00941AAB">
        <w:rPr>
          <w:rFonts w:eastAsiaTheme="minorEastAsia"/>
          <w:lang w:eastAsia="zh-CN"/>
        </w:rPr>
        <w:t>PSCell</w:t>
      </w:r>
      <w:proofErr w:type="spellEnd"/>
      <w:r w:rsidR="00941AAB">
        <w:rPr>
          <w:rFonts w:eastAsiaTheme="minorEastAsia"/>
          <w:lang w:eastAsia="zh-CN"/>
        </w:rPr>
        <w:t xml:space="preserve"> addition/change command are carried in the same RRC message, the single RRC complete message will be transmitted via MCG. According to TS 38.321, if the </w:t>
      </w:r>
      <w:r w:rsidR="00941AAB">
        <w:t xml:space="preserve">if </w:t>
      </w:r>
      <w:proofErr w:type="spellStart"/>
      <w:r w:rsidR="00941AAB">
        <w:rPr>
          <w:i/>
        </w:rPr>
        <w:t>reconfigurationWithSync</w:t>
      </w:r>
      <w:proofErr w:type="spellEnd"/>
      <w:r w:rsidR="00941AAB">
        <w:t xml:space="preserve"> was included in </w:t>
      </w:r>
      <w:proofErr w:type="spellStart"/>
      <w:r w:rsidR="00941AAB">
        <w:rPr>
          <w:i/>
        </w:rPr>
        <w:t>spCellConfig</w:t>
      </w:r>
      <w:proofErr w:type="spellEnd"/>
      <w:r w:rsidR="001A176B">
        <w:t xml:space="preserve"> of an SCG, the order</w:t>
      </w:r>
      <w:r w:rsidR="00941AAB">
        <w:t xml:space="preserve"> that </w:t>
      </w:r>
      <w:r w:rsidR="00941AAB" w:rsidRPr="00941AAB">
        <w:t xml:space="preserve">UE sends the </w:t>
      </w:r>
      <w:proofErr w:type="spellStart"/>
      <w:r w:rsidR="00941AAB" w:rsidRPr="00941AAB">
        <w:t>RRCConnectionReconfigurationComplete</w:t>
      </w:r>
      <w:proofErr w:type="spellEnd"/>
      <w:r w:rsidR="00941AAB" w:rsidRPr="00941AAB">
        <w:t xml:space="preserve"> message and performs the Random Access procedure towards the SCG is left to UE implementation.</w:t>
      </w:r>
      <w:r w:rsidR="00941AAB">
        <w:t xml:space="preserve"> Thus, when UE complete synchronization to the target </w:t>
      </w:r>
      <w:proofErr w:type="spellStart"/>
      <w:r w:rsidR="00941AAB">
        <w:t>PCell</w:t>
      </w:r>
      <w:proofErr w:type="spellEnd"/>
      <w:r w:rsidR="00941AAB">
        <w:t xml:space="preserve">, UE could transmit the RRC complete message, no matter whether the synchronization to the </w:t>
      </w:r>
      <w:proofErr w:type="spellStart"/>
      <w:r w:rsidR="00941AAB">
        <w:t>PSCell</w:t>
      </w:r>
      <w:proofErr w:type="spellEnd"/>
      <w:r w:rsidR="00941AAB">
        <w:t xml:space="preserve"> is completed or not. If UE fails to synchronize to the target </w:t>
      </w:r>
      <w:proofErr w:type="spellStart"/>
      <w:r w:rsidR="00941AAB">
        <w:t>PSCell</w:t>
      </w:r>
      <w:proofErr w:type="spellEnd"/>
      <w:r w:rsidR="00941AAB">
        <w:t xml:space="preserve">, UE will initiates SCG failure and set the </w:t>
      </w:r>
      <w:proofErr w:type="spellStart"/>
      <w:r w:rsidR="00941AAB">
        <w:rPr>
          <w:i/>
        </w:rPr>
        <w:t>failureType</w:t>
      </w:r>
      <w:proofErr w:type="spellEnd"/>
      <w:r w:rsidR="00941AAB">
        <w:t xml:space="preserve"> as </w:t>
      </w:r>
      <w:proofErr w:type="spellStart"/>
      <w:r w:rsidR="00941AAB">
        <w:rPr>
          <w:i/>
        </w:rPr>
        <w:t>synchReconfigFailure</w:t>
      </w:r>
      <w:proofErr w:type="spellEnd"/>
      <w:r w:rsidR="00941AAB">
        <w:rPr>
          <w:i/>
        </w:rPr>
        <w:t>-SCG.</w:t>
      </w:r>
    </w:p>
    <w:p w:rsidR="00941AAB" w:rsidRPr="00032D69" w:rsidRDefault="00941AAB" w:rsidP="00CE1CAC">
      <w:pPr>
        <w:rPr>
          <w:rFonts w:eastAsiaTheme="minorEastAsia"/>
          <w:b/>
          <w:lang w:eastAsia="zh-CN"/>
        </w:rPr>
      </w:pPr>
      <w:r w:rsidRPr="00032D69">
        <w:rPr>
          <w:rFonts w:eastAsiaTheme="minorEastAsia"/>
          <w:b/>
          <w:lang w:eastAsia="zh-CN"/>
        </w:rPr>
        <w:t xml:space="preserve">Observation 4: UE shall transmit RRC complete message no matter whether </w:t>
      </w:r>
      <w:r w:rsidR="00032D69" w:rsidRPr="00032D69">
        <w:rPr>
          <w:rFonts w:eastAsiaTheme="minorEastAsia"/>
          <w:b/>
          <w:lang w:eastAsia="zh-CN"/>
        </w:rPr>
        <w:t xml:space="preserve">the </w:t>
      </w:r>
      <w:r w:rsidR="00032D69" w:rsidRPr="00032D69">
        <w:rPr>
          <w:b/>
        </w:rPr>
        <w:t xml:space="preserve">synchronization to the </w:t>
      </w:r>
      <w:proofErr w:type="spellStart"/>
      <w:r w:rsidR="00032D69" w:rsidRPr="00032D69">
        <w:rPr>
          <w:b/>
        </w:rPr>
        <w:t>PSCell</w:t>
      </w:r>
      <w:proofErr w:type="spellEnd"/>
      <w:r w:rsidR="00032D69" w:rsidRPr="00032D69">
        <w:rPr>
          <w:b/>
        </w:rPr>
        <w:t xml:space="preserve"> is completed or not.</w:t>
      </w:r>
    </w:p>
    <w:p w:rsidR="00941AAB" w:rsidRPr="00032D69" w:rsidRDefault="00941AAB" w:rsidP="00CE1CAC">
      <w:pPr>
        <w:rPr>
          <w:rFonts w:eastAsiaTheme="minorEastAsia"/>
          <w:b/>
          <w:lang w:eastAsia="zh-CN"/>
        </w:rPr>
      </w:pPr>
      <w:r w:rsidRPr="00032D69">
        <w:rPr>
          <w:rFonts w:eastAsiaTheme="minorEastAsia"/>
          <w:b/>
          <w:lang w:eastAsia="zh-CN"/>
        </w:rPr>
        <w:t>Observation 5:</w:t>
      </w:r>
      <w:r w:rsidR="00032D69" w:rsidRPr="00032D69">
        <w:rPr>
          <w:rFonts w:eastAsiaTheme="minorEastAsia"/>
          <w:b/>
          <w:lang w:eastAsia="zh-CN"/>
        </w:rPr>
        <w:t xml:space="preserve"> </w:t>
      </w:r>
      <w:r w:rsidR="00032D69" w:rsidRPr="00032D69">
        <w:rPr>
          <w:b/>
        </w:rPr>
        <w:t xml:space="preserve">UE will report SCG failure If UE fails to synchronize to the target </w:t>
      </w:r>
      <w:proofErr w:type="spellStart"/>
      <w:r w:rsidR="00032D69" w:rsidRPr="00032D69">
        <w:rPr>
          <w:b/>
        </w:rPr>
        <w:t>PSCell</w:t>
      </w:r>
      <w:proofErr w:type="spellEnd"/>
      <w:r w:rsidR="00032D69" w:rsidRPr="00032D69">
        <w:rPr>
          <w:b/>
        </w:rPr>
        <w:t>.</w:t>
      </w:r>
    </w:p>
    <w:p w:rsidR="00DF0231" w:rsidRPr="002D2977" w:rsidRDefault="00DF0231" w:rsidP="00DF0231">
      <w:pPr>
        <w:pStyle w:val="1"/>
        <w:numPr>
          <w:ilvl w:val="0"/>
          <w:numId w:val="1"/>
        </w:numPr>
        <w:rPr>
          <w:lang w:val="en-US"/>
        </w:rPr>
      </w:pPr>
      <w:r w:rsidRPr="002D2977">
        <w:rPr>
          <w:lang w:val="en-US"/>
        </w:rPr>
        <w:t>Conclusions</w:t>
      </w:r>
    </w:p>
    <w:p w:rsidR="00032D69" w:rsidRPr="00CE1CAC" w:rsidRDefault="00032D69" w:rsidP="00032D69">
      <w:pPr>
        <w:rPr>
          <w:b/>
        </w:rPr>
      </w:pPr>
      <w:r w:rsidRPr="00CE1CAC">
        <w:rPr>
          <w:b/>
          <w:lang w:val="en-US"/>
        </w:rPr>
        <w:t xml:space="preserve">Proposal 1: </w:t>
      </w:r>
      <w:r w:rsidRPr="00CE1CAC">
        <w:rPr>
          <w:b/>
        </w:rPr>
        <w:t xml:space="preserve">Define RRM requirement for HO with </w:t>
      </w:r>
      <w:proofErr w:type="spellStart"/>
      <w:r w:rsidRPr="00CE1CAC">
        <w:rPr>
          <w:b/>
        </w:rPr>
        <w:t>PSCell</w:t>
      </w:r>
      <w:proofErr w:type="spellEnd"/>
      <w:r w:rsidRPr="00CE1CAC">
        <w:rPr>
          <w:b/>
        </w:rPr>
        <w:t xml:space="preserve"> for following scenarios:</w:t>
      </w:r>
    </w:p>
    <w:p w:rsidR="00032D69" w:rsidRPr="00CE1CAC" w:rsidRDefault="00032D69" w:rsidP="00032D69">
      <w:pPr>
        <w:pStyle w:val="a6"/>
        <w:numPr>
          <w:ilvl w:val="0"/>
          <w:numId w:val="4"/>
        </w:numPr>
        <w:ind w:firstLineChars="0"/>
        <w:rPr>
          <w:b/>
          <w:lang w:val="en-US"/>
        </w:rPr>
      </w:pPr>
      <w:r w:rsidRPr="00CE1CAC">
        <w:rPr>
          <w:b/>
          <w:lang w:val="en-US"/>
        </w:rPr>
        <w:t xml:space="preserve">from NR SA to EN-DC </w:t>
      </w:r>
    </w:p>
    <w:p w:rsidR="00032D69" w:rsidRPr="00CE1CAC" w:rsidRDefault="00032D69" w:rsidP="00032D69">
      <w:pPr>
        <w:pStyle w:val="a6"/>
        <w:numPr>
          <w:ilvl w:val="0"/>
          <w:numId w:val="4"/>
        </w:numPr>
        <w:ind w:firstLineChars="0"/>
        <w:rPr>
          <w:b/>
          <w:lang w:val="en-US"/>
        </w:rPr>
      </w:pPr>
      <w:r w:rsidRPr="00CE1CAC">
        <w:rPr>
          <w:b/>
          <w:lang w:val="en-US"/>
        </w:rPr>
        <w:t>from EN-DC to EN-DC</w:t>
      </w:r>
    </w:p>
    <w:p w:rsidR="00032D69" w:rsidRPr="00CE1CAC" w:rsidRDefault="00032D69" w:rsidP="00032D69">
      <w:pPr>
        <w:pStyle w:val="a6"/>
        <w:numPr>
          <w:ilvl w:val="0"/>
          <w:numId w:val="4"/>
        </w:numPr>
        <w:ind w:firstLineChars="0"/>
        <w:rPr>
          <w:b/>
          <w:lang w:val="en-US"/>
        </w:rPr>
      </w:pPr>
      <w:r w:rsidRPr="00CE1CAC">
        <w:rPr>
          <w:b/>
          <w:lang w:val="en-US"/>
        </w:rPr>
        <w:t>from NE-DC to NE-DC</w:t>
      </w:r>
    </w:p>
    <w:p w:rsidR="00032D69" w:rsidRPr="00CE1CAC" w:rsidRDefault="00032D69" w:rsidP="00032D69">
      <w:pPr>
        <w:pStyle w:val="a6"/>
        <w:numPr>
          <w:ilvl w:val="0"/>
          <w:numId w:val="4"/>
        </w:numPr>
        <w:ind w:firstLineChars="0"/>
        <w:rPr>
          <w:b/>
          <w:lang w:val="en-US"/>
        </w:rPr>
      </w:pPr>
      <w:r w:rsidRPr="00CE1CAC">
        <w:rPr>
          <w:b/>
          <w:lang w:val="en-US"/>
        </w:rPr>
        <w:t>from NR-DC to NR-DC</w:t>
      </w:r>
    </w:p>
    <w:p w:rsidR="00032D69" w:rsidRDefault="00032D69" w:rsidP="00032D69">
      <w:pPr>
        <w:rPr>
          <w:b/>
        </w:rPr>
      </w:pPr>
      <w:r w:rsidRPr="003D48D7">
        <w:rPr>
          <w:b/>
        </w:rPr>
        <w:t xml:space="preserve">Observation 1: Upon receiving HO and </w:t>
      </w:r>
      <w:proofErr w:type="spellStart"/>
      <w:r w:rsidRPr="003D48D7">
        <w:rPr>
          <w:b/>
        </w:rPr>
        <w:t>PSCell</w:t>
      </w:r>
      <w:proofErr w:type="spellEnd"/>
      <w:r w:rsidRPr="003D48D7">
        <w:rPr>
          <w:b/>
        </w:rPr>
        <w:t xml:space="preserve"> command, all serving CC will be released, and UE is capable to perform HO and </w:t>
      </w:r>
      <w:proofErr w:type="spellStart"/>
      <w:r w:rsidRPr="003D48D7">
        <w:rPr>
          <w:b/>
        </w:rPr>
        <w:t>PSCell</w:t>
      </w:r>
      <w:proofErr w:type="spellEnd"/>
      <w:r w:rsidRPr="003D48D7">
        <w:rPr>
          <w:b/>
        </w:rPr>
        <w:t xml:space="preserve"> addition/change in parallel.</w:t>
      </w:r>
    </w:p>
    <w:p w:rsidR="00032D69" w:rsidRDefault="00032D69" w:rsidP="00032D69">
      <w:pPr>
        <w:rPr>
          <w:b/>
        </w:rPr>
      </w:pPr>
      <w:r>
        <w:rPr>
          <w:b/>
        </w:rPr>
        <w:t xml:space="preserve">Proposal 1: Define the requirements for HO with </w:t>
      </w:r>
      <w:proofErr w:type="spellStart"/>
      <w:r>
        <w:rPr>
          <w:b/>
        </w:rPr>
        <w:t>PSCell</w:t>
      </w:r>
      <w:proofErr w:type="spellEnd"/>
      <w:r>
        <w:rPr>
          <w:b/>
        </w:rPr>
        <w:t xml:space="preserve"> based on the assumption that the procedure is performed in parallel.</w:t>
      </w:r>
    </w:p>
    <w:p w:rsidR="00032D69" w:rsidRPr="007E418C" w:rsidRDefault="00032D69" w:rsidP="00032D69">
      <w:pPr>
        <w:rPr>
          <w:b/>
        </w:rPr>
      </w:pPr>
      <w:r w:rsidRPr="007E418C">
        <w:rPr>
          <w:b/>
        </w:rPr>
        <w:t xml:space="preserve">Observation 2: Separate delay requirements shall be define for HO and </w:t>
      </w:r>
      <w:proofErr w:type="spellStart"/>
      <w:r w:rsidRPr="007E418C">
        <w:rPr>
          <w:b/>
        </w:rPr>
        <w:t>PSCell</w:t>
      </w:r>
      <w:proofErr w:type="spellEnd"/>
      <w:r w:rsidRPr="007E418C">
        <w:rPr>
          <w:b/>
        </w:rPr>
        <w:t xml:space="preserve"> addition/change. The same starting point is assumed for </w:t>
      </w:r>
      <w:proofErr w:type="spellStart"/>
      <w:r w:rsidRPr="007E418C">
        <w:rPr>
          <w:b/>
        </w:rPr>
        <w:t>PCell</w:t>
      </w:r>
      <w:proofErr w:type="spellEnd"/>
      <w:r w:rsidRPr="007E418C">
        <w:rPr>
          <w:b/>
        </w:rPr>
        <w:t xml:space="preserve"> and </w:t>
      </w:r>
      <w:proofErr w:type="spellStart"/>
      <w:r w:rsidRPr="007E418C">
        <w:rPr>
          <w:b/>
        </w:rPr>
        <w:t>PScell</w:t>
      </w:r>
      <w:proofErr w:type="spellEnd"/>
      <w:r w:rsidRPr="007E418C">
        <w:rPr>
          <w:b/>
        </w:rPr>
        <w:t xml:space="preserve"> and then ending points should be defined as </w:t>
      </w:r>
      <w:proofErr w:type="spellStart"/>
      <w:r w:rsidRPr="007E418C">
        <w:rPr>
          <w:b/>
        </w:rPr>
        <w:t>PCell</w:t>
      </w:r>
      <w:proofErr w:type="spellEnd"/>
      <w:r w:rsidRPr="007E418C">
        <w:rPr>
          <w:b/>
        </w:rPr>
        <w:t xml:space="preserve"> PRACH and </w:t>
      </w:r>
      <w:proofErr w:type="spellStart"/>
      <w:r w:rsidRPr="007E418C">
        <w:rPr>
          <w:b/>
        </w:rPr>
        <w:t>PSCell</w:t>
      </w:r>
      <w:proofErr w:type="spellEnd"/>
      <w:r w:rsidRPr="007E418C">
        <w:rPr>
          <w:b/>
        </w:rPr>
        <w:t xml:space="preserve"> PRACH respectively. </w:t>
      </w:r>
    </w:p>
    <w:p w:rsidR="00032D69" w:rsidRPr="007E418C" w:rsidRDefault="00032D69" w:rsidP="00032D69">
      <w:pPr>
        <w:rPr>
          <w:b/>
        </w:rPr>
      </w:pPr>
      <w:r w:rsidRPr="007E418C">
        <w:rPr>
          <w:b/>
        </w:rPr>
        <w:lastRenderedPageBreak/>
        <w:t xml:space="preserve">Proposal 2: Define delay requirements for HO and </w:t>
      </w:r>
      <w:proofErr w:type="spellStart"/>
      <w:r w:rsidRPr="007E418C">
        <w:rPr>
          <w:b/>
        </w:rPr>
        <w:t>PSCell</w:t>
      </w:r>
      <w:proofErr w:type="spellEnd"/>
      <w:r w:rsidRPr="007E418C">
        <w:rPr>
          <w:b/>
        </w:rPr>
        <w:t xml:space="preserve"> addition/change separately with the ending points defined as </w:t>
      </w:r>
      <w:proofErr w:type="spellStart"/>
      <w:r w:rsidRPr="007E418C">
        <w:rPr>
          <w:b/>
        </w:rPr>
        <w:t>PCell</w:t>
      </w:r>
      <w:proofErr w:type="spellEnd"/>
      <w:r w:rsidRPr="007E418C">
        <w:rPr>
          <w:b/>
        </w:rPr>
        <w:t xml:space="preserve"> PRACH and </w:t>
      </w:r>
      <w:proofErr w:type="spellStart"/>
      <w:r w:rsidRPr="007E418C">
        <w:rPr>
          <w:b/>
        </w:rPr>
        <w:t>PSCell</w:t>
      </w:r>
      <w:proofErr w:type="spellEnd"/>
      <w:r w:rsidRPr="007E418C">
        <w:rPr>
          <w:b/>
        </w:rPr>
        <w:t xml:space="preserve"> PRACH respectively. No need to define overall delay requirement.</w:t>
      </w:r>
    </w:p>
    <w:p w:rsidR="00032D69" w:rsidRPr="005C1FDB" w:rsidRDefault="00032D69" w:rsidP="00032D69">
      <w:pPr>
        <w:rPr>
          <w:b/>
        </w:rPr>
      </w:pPr>
      <w:r w:rsidRPr="005C1FDB">
        <w:rPr>
          <w:b/>
        </w:rPr>
        <w:t xml:space="preserve">Observation 3: There is no other serving CCs in the HO with </w:t>
      </w:r>
      <w:proofErr w:type="spellStart"/>
      <w:r w:rsidRPr="005C1FDB">
        <w:rPr>
          <w:b/>
        </w:rPr>
        <w:t>PSCell</w:t>
      </w:r>
      <w:proofErr w:type="spellEnd"/>
      <w:r w:rsidRPr="005C1FDB">
        <w:rPr>
          <w:b/>
        </w:rPr>
        <w:t xml:space="preserve"> procedure.</w:t>
      </w:r>
    </w:p>
    <w:p w:rsidR="00032D69" w:rsidRDefault="00032D69" w:rsidP="00032D69">
      <w:pPr>
        <w:rPr>
          <w:rFonts w:eastAsiaTheme="minorEastAsia"/>
          <w:b/>
          <w:lang w:eastAsia="zh-CN"/>
        </w:rPr>
      </w:pPr>
      <w:r w:rsidRPr="006406C6">
        <w:rPr>
          <w:rFonts w:eastAsiaTheme="minorEastAsia"/>
          <w:b/>
          <w:lang w:eastAsia="zh-CN"/>
        </w:rPr>
        <w:t xml:space="preserve">Proposal 3: Not to have interruption requirements for HO with </w:t>
      </w:r>
      <w:proofErr w:type="spellStart"/>
      <w:r w:rsidRPr="006406C6">
        <w:rPr>
          <w:rFonts w:eastAsiaTheme="minorEastAsia"/>
          <w:b/>
          <w:lang w:eastAsia="zh-CN"/>
        </w:rPr>
        <w:t>PSCell</w:t>
      </w:r>
      <w:proofErr w:type="spellEnd"/>
      <w:r w:rsidRPr="006406C6">
        <w:rPr>
          <w:rFonts w:eastAsiaTheme="minorEastAsia"/>
          <w:b/>
          <w:lang w:eastAsia="zh-CN"/>
        </w:rPr>
        <w:t xml:space="preserve"> as there is no other serving CCs during the procedure.</w:t>
      </w:r>
    </w:p>
    <w:p w:rsidR="00032D69" w:rsidRPr="00032D69" w:rsidRDefault="00032D69" w:rsidP="00032D69">
      <w:pPr>
        <w:rPr>
          <w:rFonts w:eastAsiaTheme="minorEastAsia"/>
          <w:b/>
          <w:lang w:eastAsia="zh-CN"/>
        </w:rPr>
      </w:pPr>
      <w:r w:rsidRPr="00032D69">
        <w:rPr>
          <w:rFonts w:eastAsiaTheme="minorEastAsia"/>
          <w:b/>
          <w:lang w:eastAsia="zh-CN"/>
        </w:rPr>
        <w:t xml:space="preserve">Observation 4: UE shall transmit RRC complete message no matter whether the </w:t>
      </w:r>
      <w:r w:rsidRPr="00032D69">
        <w:rPr>
          <w:b/>
        </w:rPr>
        <w:t xml:space="preserve">synchronization to the </w:t>
      </w:r>
      <w:proofErr w:type="spellStart"/>
      <w:r w:rsidRPr="00032D69">
        <w:rPr>
          <w:b/>
        </w:rPr>
        <w:t>PSCell</w:t>
      </w:r>
      <w:proofErr w:type="spellEnd"/>
      <w:r w:rsidRPr="00032D69">
        <w:rPr>
          <w:b/>
        </w:rPr>
        <w:t xml:space="preserve"> is completed or not.</w:t>
      </w:r>
    </w:p>
    <w:p w:rsidR="00550AF2" w:rsidRPr="00032D69" w:rsidRDefault="00032D69" w:rsidP="00893B84">
      <w:pPr>
        <w:rPr>
          <w:rFonts w:eastAsiaTheme="minorEastAsia"/>
          <w:b/>
          <w:lang w:eastAsia="zh-CN"/>
        </w:rPr>
      </w:pPr>
      <w:r w:rsidRPr="00032D69">
        <w:rPr>
          <w:rFonts w:eastAsiaTheme="minorEastAsia"/>
          <w:b/>
          <w:lang w:eastAsia="zh-CN"/>
        </w:rPr>
        <w:t xml:space="preserve">Observation 5: </w:t>
      </w:r>
      <w:r w:rsidRPr="00032D69">
        <w:rPr>
          <w:b/>
        </w:rPr>
        <w:t xml:space="preserve">UE will report SCG failure If UE fails to synchronize to the target </w:t>
      </w:r>
      <w:proofErr w:type="spellStart"/>
      <w:r w:rsidRPr="00032D69">
        <w:rPr>
          <w:b/>
        </w:rPr>
        <w:t>PSCell</w:t>
      </w:r>
      <w:proofErr w:type="spellEnd"/>
      <w:r w:rsidRPr="00032D69">
        <w:rPr>
          <w:b/>
        </w:rPr>
        <w:t>.</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550AF2" w:rsidRPr="00550AF2">
        <w:rPr>
          <w:lang w:val="en-US"/>
        </w:rPr>
        <w:t>R4-2103673</w:t>
      </w:r>
      <w:r w:rsidR="00550AF2">
        <w:rPr>
          <w:lang w:val="en-US"/>
        </w:rPr>
        <w:t xml:space="preserve"> </w:t>
      </w:r>
      <w:r w:rsidR="00550AF2" w:rsidRPr="00550AF2">
        <w:t xml:space="preserve">WF on further RRM enhancement for NR and MR-DC – Handover with </w:t>
      </w:r>
      <w:proofErr w:type="spellStart"/>
      <w:r w:rsidR="00550AF2" w:rsidRPr="00550AF2">
        <w:t>PSCell</w:t>
      </w:r>
      <w:proofErr w:type="spellEnd"/>
      <w:r w:rsidR="005118C9">
        <w:t xml:space="preserve">, </w:t>
      </w:r>
      <w:r w:rsidR="00550AF2" w:rsidRPr="00550AF2">
        <w:t>Apple</w:t>
      </w:r>
    </w:p>
    <w:p w:rsidR="00032D69" w:rsidRDefault="00032D69" w:rsidP="000C2147">
      <w:r>
        <w:t xml:space="preserve">[2] </w:t>
      </w:r>
      <w:r w:rsidRPr="00032D69">
        <w:t>R4-2103674</w:t>
      </w:r>
      <w:r>
        <w:t xml:space="preserve"> LS on handover with </w:t>
      </w:r>
      <w:proofErr w:type="spellStart"/>
      <w:r>
        <w:t>PSCell</w:t>
      </w:r>
      <w:proofErr w:type="spellEnd"/>
      <w:r>
        <w:t>, Apple</w:t>
      </w:r>
    </w:p>
    <w:p w:rsidR="00BA4C0A" w:rsidRPr="006406C6" w:rsidRDefault="00BA4C0A">
      <w:pPr>
        <w:rPr>
          <w:rFonts w:eastAsiaTheme="minorEastAsia"/>
          <w:lang w:val="en-US" w:eastAsia="zh-CN"/>
        </w:rPr>
      </w:pPr>
    </w:p>
    <w:sectPr w:rsidR="00BA4C0A" w:rsidRPr="006406C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D39" w:rsidRDefault="00272D39">
      <w:pPr>
        <w:spacing w:after="0"/>
      </w:pPr>
      <w:r>
        <w:separator/>
      </w:r>
    </w:p>
  </w:endnote>
  <w:endnote w:type="continuationSeparator" w:id="0">
    <w:p w:rsidR="00272D39" w:rsidRDefault="00272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A24" w:rsidRDefault="003E0A2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3E0A24" w:rsidRDefault="003E0A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A24" w:rsidRDefault="003E0A2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84DF9">
      <w:rPr>
        <w:rStyle w:val="a5"/>
      </w:rPr>
      <w:t>2</w:t>
    </w:r>
    <w:r>
      <w:rPr>
        <w:rStyle w:val="a5"/>
      </w:rPr>
      <w:fldChar w:fldCharType="end"/>
    </w:r>
  </w:p>
  <w:p w:rsidR="003E0A24" w:rsidRDefault="003E0A2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D39" w:rsidRDefault="00272D39">
      <w:pPr>
        <w:spacing w:after="0"/>
      </w:pPr>
      <w:r>
        <w:separator/>
      </w:r>
    </w:p>
  </w:footnote>
  <w:footnote w:type="continuationSeparator" w:id="0">
    <w:p w:rsidR="00272D39" w:rsidRDefault="00272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58B602FB"/>
    <w:multiLevelType w:val="hybridMultilevel"/>
    <w:tmpl w:val="298E896A"/>
    <w:lvl w:ilvl="0" w:tplc="D7381584">
      <w:start w:val="2017"/>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DB31D9"/>
    <w:multiLevelType w:val="hybridMultilevel"/>
    <w:tmpl w:val="28884A54"/>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32D69"/>
    <w:rsid w:val="00035250"/>
    <w:rsid w:val="0004558E"/>
    <w:rsid w:val="00063E08"/>
    <w:rsid w:val="00067A4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20CE"/>
    <w:rsid w:val="001365E9"/>
    <w:rsid w:val="0014128A"/>
    <w:rsid w:val="00141870"/>
    <w:rsid w:val="001619B6"/>
    <w:rsid w:val="0017747E"/>
    <w:rsid w:val="00184DF9"/>
    <w:rsid w:val="00193834"/>
    <w:rsid w:val="00197B43"/>
    <w:rsid w:val="001A176B"/>
    <w:rsid w:val="001A1E7C"/>
    <w:rsid w:val="001C2057"/>
    <w:rsid w:val="001D3006"/>
    <w:rsid w:val="001E7174"/>
    <w:rsid w:val="001F4670"/>
    <w:rsid w:val="0020033A"/>
    <w:rsid w:val="00216AAB"/>
    <w:rsid w:val="002221AC"/>
    <w:rsid w:val="00222A85"/>
    <w:rsid w:val="00222AF7"/>
    <w:rsid w:val="00230F18"/>
    <w:rsid w:val="002328DD"/>
    <w:rsid w:val="00243552"/>
    <w:rsid w:val="00245810"/>
    <w:rsid w:val="00253226"/>
    <w:rsid w:val="00254F38"/>
    <w:rsid w:val="00272D39"/>
    <w:rsid w:val="00272F1F"/>
    <w:rsid w:val="002736F0"/>
    <w:rsid w:val="00282D3C"/>
    <w:rsid w:val="002863F7"/>
    <w:rsid w:val="00294B79"/>
    <w:rsid w:val="002A235C"/>
    <w:rsid w:val="002A5E54"/>
    <w:rsid w:val="002B45C3"/>
    <w:rsid w:val="002C0C45"/>
    <w:rsid w:val="002D327E"/>
    <w:rsid w:val="002E668C"/>
    <w:rsid w:val="002F1C9C"/>
    <w:rsid w:val="002F579F"/>
    <w:rsid w:val="00311CF9"/>
    <w:rsid w:val="003158EC"/>
    <w:rsid w:val="00321181"/>
    <w:rsid w:val="00325AF1"/>
    <w:rsid w:val="00334DAC"/>
    <w:rsid w:val="00336939"/>
    <w:rsid w:val="00356FB6"/>
    <w:rsid w:val="00357E9F"/>
    <w:rsid w:val="003622B2"/>
    <w:rsid w:val="003664ED"/>
    <w:rsid w:val="00375AE5"/>
    <w:rsid w:val="00377D59"/>
    <w:rsid w:val="0038462A"/>
    <w:rsid w:val="003A5CBC"/>
    <w:rsid w:val="003A5E2B"/>
    <w:rsid w:val="003D48D7"/>
    <w:rsid w:val="003E0A24"/>
    <w:rsid w:val="003F762D"/>
    <w:rsid w:val="00401473"/>
    <w:rsid w:val="00415933"/>
    <w:rsid w:val="00430F24"/>
    <w:rsid w:val="00435EBD"/>
    <w:rsid w:val="00451601"/>
    <w:rsid w:val="00451B80"/>
    <w:rsid w:val="00455FD0"/>
    <w:rsid w:val="00456670"/>
    <w:rsid w:val="00466D02"/>
    <w:rsid w:val="00476D5F"/>
    <w:rsid w:val="00477263"/>
    <w:rsid w:val="00486726"/>
    <w:rsid w:val="0049501A"/>
    <w:rsid w:val="004A1C84"/>
    <w:rsid w:val="004A678E"/>
    <w:rsid w:val="004A7CF2"/>
    <w:rsid w:val="004B28B5"/>
    <w:rsid w:val="004B4633"/>
    <w:rsid w:val="004B5582"/>
    <w:rsid w:val="004C4868"/>
    <w:rsid w:val="004D5244"/>
    <w:rsid w:val="004E3732"/>
    <w:rsid w:val="004E4CDB"/>
    <w:rsid w:val="004F0167"/>
    <w:rsid w:val="005030B7"/>
    <w:rsid w:val="005118C9"/>
    <w:rsid w:val="005235DB"/>
    <w:rsid w:val="00530EB0"/>
    <w:rsid w:val="00534398"/>
    <w:rsid w:val="005375AA"/>
    <w:rsid w:val="005409B9"/>
    <w:rsid w:val="00545EC2"/>
    <w:rsid w:val="0054734A"/>
    <w:rsid w:val="00550AF2"/>
    <w:rsid w:val="00557527"/>
    <w:rsid w:val="00562EF1"/>
    <w:rsid w:val="00566A1B"/>
    <w:rsid w:val="005A456B"/>
    <w:rsid w:val="005B0D68"/>
    <w:rsid w:val="005B6053"/>
    <w:rsid w:val="005C1FDB"/>
    <w:rsid w:val="005D231A"/>
    <w:rsid w:val="005D3DC0"/>
    <w:rsid w:val="005E4CCD"/>
    <w:rsid w:val="005F5231"/>
    <w:rsid w:val="00604490"/>
    <w:rsid w:val="0061679F"/>
    <w:rsid w:val="006406C6"/>
    <w:rsid w:val="00653385"/>
    <w:rsid w:val="00672FCE"/>
    <w:rsid w:val="00682A46"/>
    <w:rsid w:val="006A68E5"/>
    <w:rsid w:val="006D43CD"/>
    <w:rsid w:val="006D7325"/>
    <w:rsid w:val="006D7D85"/>
    <w:rsid w:val="006E2E0E"/>
    <w:rsid w:val="006F1BAF"/>
    <w:rsid w:val="006F27CD"/>
    <w:rsid w:val="007005B2"/>
    <w:rsid w:val="00701598"/>
    <w:rsid w:val="00702FA5"/>
    <w:rsid w:val="00703C3A"/>
    <w:rsid w:val="00704F7F"/>
    <w:rsid w:val="00712608"/>
    <w:rsid w:val="00714064"/>
    <w:rsid w:val="007200C7"/>
    <w:rsid w:val="00723883"/>
    <w:rsid w:val="007321EB"/>
    <w:rsid w:val="00732D90"/>
    <w:rsid w:val="00736D84"/>
    <w:rsid w:val="00766048"/>
    <w:rsid w:val="0077159B"/>
    <w:rsid w:val="00786C50"/>
    <w:rsid w:val="007902A8"/>
    <w:rsid w:val="007954B3"/>
    <w:rsid w:val="007A37DA"/>
    <w:rsid w:val="007A52D1"/>
    <w:rsid w:val="007B3DC0"/>
    <w:rsid w:val="007D0DF7"/>
    <w:rsid w:val="007D3409"/>
    <w:rsid w:val="007E2E8A"/>
    <w:rsid w:val="007E418C"/>
    <w:rsid w:val="007E5F97"/>
    <w:rsid w:val="007E67EC"/>
    <w:rsid w:val="007F045C"/>
    <w:rsid w:val="007F2E6A"/>
    <w:rsid w:val="007F4815"/>
    <w:rsid w:val="007F7E14"/>
    <w:rsid w:val="00804945"/>
    <w:rsid w:val="00804C18"/>
    <w:rsid w:val="008408E7"/>
    <w:rsid w:val="008446CE"/>
    <w:rsid w:val="00852630"/>
    <w:rsid w:val="008729BE"/>
    <w:rsid w:val="0087326D"/>
    <w:rsid w:val="00873C1C"/>
    <w:rsid w:val="00873F55"/>
    <w:rsid w:val="008766C3"/>
    <w:rsid w:val="00886BD8"/>
    <w:rsid w:val="008921D4"/>
    <w:rsid w:val="00892EAE"/>
    <w:rsid w:val="00893B84"/>
    <w:rsid w:val="00893C66"/>
    <w:rsid w:val="008A1C4E"/>
    <w:rsid w:val="008A2B76"/>
    <w:rsid w:val="008B2AED"/>
    <w:rsid w:val="008B3970"/>
    <w:rsid w:val="008B4F73"/>
    <w:rsid w:val="008C7F4D"/>
    <w:rsid w:val="008D2D3D"/>
    <w:rsid w:val="008D55C5"/>
    <w:rsid w:val="008E2591"/>
    <w:rsid w:val="008F50AC"/>
    <w:rsid w:val="008F67CF"/>
    <w:rsid w:val="00914A03"/>
    <w:rsid w:val="00915DEA"/>
    <w:rsid w:val="0092386A"/>
    <w:rsid w:val="00923CC3"/>
    <w:rsid w:val="00931830"/>
    <w:rsid w:val="00941AAB"/>
    <w:rsid w:val="009450D8"/>
    <w:rsid w:val="00957098"/>
    <w:rsid w:val="009708D0"/>
    <w:rsid w:val="00972D26"/>
    <w:rsid w:val="009814D6"/>
    <w:rsid w:val="00983267"/>
    <w:rsid w:val="0099102E"/>
    <w:rsid w:val="009968CF"/>
    <w:rsid w:val="009A5118"/>
    <w:rsid w:val="009C4E39"/>
    <w:rsid w:val="009C5BBA"/>
    <w:rsid w:val="009C6CB9"/>
    <w:rsid w:val="009C7117"/>
    <w:rsid w:val="009C7D5E"/>
    <w:rsid w:val="009D03C6"/>
    <w:rsid w:val="009D2942"/>
    <w:rsid w:val="009D4189"/>
    <w:rsid w:val="009D75DF"/>
    <w:rsid w:val="009E2013"/>
    <w:rsid w:val="009E6763"/>
    <w:rsid w:val="009E6DC8"/>
    <w:rsid w:val="009F7F10"/>
    <w:rsid w:val="00A1597D"/>
    <w:rsid w:val="00A22790"/>
    <w:rsid w:val="00A26AB0"/>
    <w:rsid w:val="00A34913"/>
    <w:rsid w:val="00A35F07"/>
    <w:rsid w:val="00A42E3A"/>
    <w:rsid w:val="00A7739E"/>
    <w:rsid w:val="00A82F3D"/>
    <w:rsid w:val="00AC2C97"/>
    <w:rsid w:val="00AC6EFC"/>
    <w:rsid w:val="00AD2EC2"/>
    <w:rsid w:val="00AD65F4"/>
    <w:rsid w:val="00AD69AA"/>
    <w:rsid w:val="00AD71F4"/>
    <w:rsid w:val="00AE6BE0"/>
    <w:rsid w:val="00AF02CB"/>
    <w:rsid w:val="00AF073D"/>
    <w:rsid w:val="00AF5966"/>
    <w:rsid w:val="00B02A13"/>
    <w:rsid w:val="00B072D0"/>
    <w:rsid w:val="00B10C6E"/>
    <w:rsid w:val="00B1402B"/>
    <w:rsid w:val="00B22016"/>
    <w:rsid w:val="00B23292"/>
    <w:rsid w:val="00B26D02"/>
    <w:rsid w:val="00B3040A"/>
    <w:rsid w:val="00B343A3"/>
    <w:rsid w:val="00B41E6D"/>
    <w:rsid w:val="00B450D5"/>
    <w:rsid w:val="00B616DA"/>
    <w:rsid w:val="00B71C35"/>
    <w:rsid w:val="00B72BEC"/>
    <w:rsid w:val="00B73A82"/>
    <w:rsid w:val="00B76F4D"/>
    <w:rsid w:val="00B77412"/>
    <w:rsid w:val="00B77752"/>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76A37"/>
    <w:rsid w:val="00C82277"/>
    <w:rsid w:val="00C82533"/>
    <w:rsid w:val="00C83525"/>
    <w:rsid w:val="00CA1729"/>
    <w:rsid w:val="00CA1DAE"/>
    <w:rsid w:val="00CA3EEA"/>
    <w:rsid w:val="00CA7429"/>
    <w:rsid w:val="00CB6216"/>
    <w:rsid w:val="00CC4578"/>
    <w:rsid w:val="00CD0284"/>
    <w:rsid w:val="00CD160F"/>
    <w:rsid w:val="00CE0DA0"/>
    <w:rsid w:val="00CE1CAC"/>
    <w:rsid w:val="00CF030B"/>
    <w:rsid w:val="00CF5CE7"/>
    <w:rsid w:val="00CF5EF5"/>
    <w:rsid w:val="00D13FC8"/>
    <w:rsid w:val="00D17293"/>
    <w:rsid w:val="00D3442D"/>
    <w:rsid w:val="00D41D2D"/>
    <w:rsid w:val="00D63676"/>
    <w:rsid w:val="00D73373"/>
    <w:rsid w:val="00D828E1"/>
    <w:rsid w:val="00D94E39"/>
    <w:rsid w:val="00DB10D2"/>
    <w:rsid w:val="00DB1DD4"/>
    <w:rsid w:val="00DB61B3"/>
    <w:rsid w:val="00DD0915"/>
    <w:rsid w:val="00DD1DFF"/>
    <w:rsid w:val="00DE3896"/>
    <w:rsid w:val="00DF0231"/>
    <w:rsid w:val="00E04C43"/>
    <w:rsid w:val="00E05A4D"/>
    <w:rsid w:val="00E13E91"/>
    <w:rsid w:val="00E15FB2"/>
    <w:rsid w:val="00E16D37"/>
    <w:rsid w:val="00E17E17"/>
    <w:rsid w:val="00E17F78"/>
    <w:rsid w:val="00E21B03"/>
    <w:rsid w:val="00E22D0F"/>
    <w:rsid w:val="00E31284"/>
    <w:rsid w:val="00E406F2"/>
    <w:rsid w:val="00E415BA"/>
    <w:rsid w:val="00E43EE7"/>
    <w:rsid w:val="00E470EC"/>
    <w:rsid w:val="00E5666B"/>
    <w:rsid w:val="00E577DD"/>
    <w:rsid w:val="00E63892"/>
    <w:rsid w:val="00E72064"/>
    <w:rsid w:val="00E85BF2"/>
    <w:rsid w:val="00E91110"/>
    <w:rsid w:val="00E9184C"/>
    <w:rsid w:val="00E937EA"/>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65B4"/>
    <w:rsid w:val="00F5790A"/>
    <w:rsid w:val="00F609CD"/>
    <w:rsid w:val="00F76B81"/>
    <w:rsid w:val="00F9628B"/>
    <w:rsid w:val="00FA4943"/>
    <w:rsid w:val="00FB020C"/>
    <w:rsid w:val="00FB6BD9"/>
    <w:rsid w:val="00FC0F9D"/>
    <w:rsid w:val="00FC3492"/>
    <w:rsid w:val="00FD518E"/>
    <w:rsid w:val="00FE1A35"/>
    <w:rsid w:val="00FE4A34"/>
    <w:rsid w:val="00FE736A"/>
    <w:rsid w:val="00FF02AA"/>
    <w:rsid w:val="00FF5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5952318">
      <w:bodyDiv w:val="1"/>
      <w:marLeft w:val="0"/>
      <w:marRight w:val="0"/>
      <w:marTop w:val="0"/>
      <w:marBottom w:val="0"/>
      <w:divBdr>
        <w:top w:val="none" w:sz="0" w:space="0" w:color="auto"/>
        <w:left w:val="none" w:sz="0" w:space="0" w:color="auto"/>
        <w:bottom w:val="none" w:sz="0" w:space="0" w:color="auto"/>
        <w:right w:val="none" w:sz="0" w:space="0" w:color="auto"/>
      </w:divBdr>
      <w:divsChild>
        <w:div w:id="698363027">
          <w:marLeft w:val="547"/>
          <w:marRight w:val="0"/>
          <w:marTop w:val="144"/>
          <w:marBottom w:val="0"/>
          <w:divBdr>
            <w:top w:val="none" w:sz="0" w:space="0" w:color="auto"/>
            <w:left w:val="none" w:sz="0" w:space="0" w:color="auto"/>
            <w:bottom w:val="none" w:sz="0" w:space="0" w:color="auto"/>
            <w:right w:val="none" w:sz="0" w:space="0" w:color="auto"/>
          </w:divBdr>
        </w:div>
        <w:div w:id="1929190954">
          <w:marLeft w:val="1166"/>
          <w:marRight w:val="0"/>
          <w:marTop w:val="125"/>
          <w:marBottom w:val="0"/>
          <w:divBdr>
            <w:top w:val="none" w:sz="0" w:space="0" w:color="auto"/>
            <w:left w:val="none" w:sz="0" w:space="0" w:color="auto"/>
            <w:bottom w:val="none" w:sz="0" w:space="0" w:color="auto"/>
            <w:right w:val="none" w:sz="0" w:space="0" w:color="auto"/>
          </w:divBdr>
        </w:div>
        <w:div w:id="1262640259">
          <w:marLeft w:val="1800"/>
          <w:marRight w:val="0"/>
          <w:marTop w:val="106"/>
          <w:marBottom w:val="0"/>
          <w:divBdr>
            <w:top w:val="none" w:sz="0" w:space="0" w:color="auto"/>
            <w:left w:val="none" w:sz="0" w:space="0" w:color="auto"/>
            <w:bottom w:val="none" w:sz="0" w:space="0" w:color="auto"/>
            <w:right w:val="none" w:sz="0" w:space="0" w:color="auto"/>
          </w:divBdr>
        </w:div>
        <w:div w:id="1120801358">
          <w:marLeft w:val="1166"/>
          <w:marRight w:val="0"/>
          <w:marTop w:val="125"/>
          <w:marBottom w:val="0"/>
          <w:divBdr>
            <w:top w:val="none" w:sz="0" w:space="0" w:color="auto"/>
            <w:left w:val="none" w:sz="0" w:space="0" w:color="auto"/>
            <w:bottom w:val="none" w:sz="0" w:space="0" w:color="auto"/>
            <w:right w:val="none" w:sz="0" w:space="0" w:color="auto"/>
          </w:divBdr>
        </w:div>
        <w:div w:id="473376550">
          <w:marLeft w:val="1800"/>
          <w:marRight w:val="0"/>
          <w:marTop w:val="106"/>
          <w:marBottom w:val="0"/>
          <w:divBdr>
            <w:top w:val="none" w:sz="0" w:space="0" w:color="auto"/>
            <w:left w:val="none" w:sz="0" w:space="0" w:color="auto"/>
            <w:bottom w:val="none" w:sz="0" w:space="0" w:color="auto"/>
            <w:right w:val="none" w:sz="0" w:space="0" w:color="auto"/>
          </w:divBdr>
        </w:div>
        <w:div w:id="47342482">
          <w:marLeft w:val="1166"/>
          <w:marRight w:val="0"/>
          <w:marTop w:val="125"/>
          <w:marBottom w:val="0"/>
          <w:divBdr>
            <w:top w:val="none" w:sz="0" w:space="0" w:color="auto"/>
            <w:left w:val="none" w:sz="0" w:space="0" w:color="auto"/>
            <w:bottom w:val="none" w:sz="0" w:space="0" w:color="auto"/>
            <w:right w:val="none" w:sz="0" w:space="0" w:color="auto"/>
          </w:divBdr>
        </w:div>
        <w:div w:id="1395087393">
          <w:marLeft w:val="1800"/>
          <w:marRight w:val="0"/>
          <w:marTop w:val="106"/>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6801344">
      <w:bodyDiv w:val="1"/>
      <w:marLeft w:val="0"/>
      <w:marRight w:val="0"/>
      <w:marTop w:val="0"/>
      <w:marBottom w:val="0"/>
      <w:divBdr>
        <w:top w:val="none" w:sz="0" w:space="0" w:color="auto"/>
        <w:left w:val="none" w:sz="0" w:space="0" w:color="auto"/>
        <w:bottom w:val="none" w:sz="0" w:space="0" w:color="auto"/>
        <w:right w:val="none" w:sz="0" w:space="0" w:color="auto"/>
      </w:divBdr>
    </w:div>
    <w:div w:id="770708160">
      <w:bodyDiv w:val="1"/>
      <w:marLeft w:val="0"/>
      <w:marRight w:val="0"/>
      <w:marTop w:val="0"/>
      <w:marBottom w:val="0"/>
      <w:divBdr>
        <w:top w:val="none" w:sz="0" w:space="0" w:color="auto"/>
        <w:left w:val="none" w:sz="0" w:space="0" w:color="auto"/>
        <w:bottom w:val="none" w:sz="0" w:space="0" w:color="auto"/>
        <w:right w:val="none" w:sz="0" w:space="0" w:color="auto"/>
      </w:divBdr>
      <w:divsChild>
        <w:div w:id="400442390">
          <w:marLeft w:val="2520"/>
          <w:marRight w:val="0"/>
          <w:marTop w:val="106"/>
          <w:marBottom w:val="0"/>
          <w:divBdr>
            <w:top w:val="none" w:sz="0" w:space="0" w:color="auto"/>
            <w:left w:val="none" w:sz="0" w:space="0" w:color="auto"/>
            <w:bottom w:val="none" w:sz="0" w:space="0" w:color="auto"/>
            <w:right w:val="none" w:sz="0" w:space="0" w:color="auto"/>
          </w:divBdr>
        </w:div>
        <w:div w:id="2125030646">
          <w:marLeft w:val="2520"/>
          <w:marRight w:val="0"/>
          <w:marTop w:val="106"/>
          <w:marBottom w:val="0"/>
          <w:divBdr>
            <w:top w:val="none" w:sz="0" w:space="0" w:color="auto"/>
            <w:left w:val="none" w:sz="0" w:space="0" w:color="auto"/>
            <w:bottom w:val="none" w:sz="0" w:space="0" w:color="auto"/>
            <w:right w:val="none" w:sz="0" w:space="0" w:color="auto"/>
          </w:divBdr>
        </w:div>
        <w:div w:id="1087187403">
          <w:marLeft w:val="2520"/>
          <w:marRight w:val="0"/>
          <w:marTop w:val="106"/>
          <w:marBottom w:val="0"/>
          <w:divBdr>
            <w:top w:val="none" w:sz="0" w:space="0" w:color="auto"/>
            <w:left w:val="none" w:sz="0" w:space="0" w:color="auto"/>
            <w:bottom w:val="none" w:sz="0" w:space="0" w:color="auto"/>
            <w:right w:val="none" w:sz="0" w:space="0" w:color="auto"/>
          </w:divBdr>
        </w:div>
        <w:div w:id="582573644">
          <w:marLeft w:val="2520"/>
          <w:marRight w:val="0"/>
          <w:marTop w:val="106"/>
          <w:marBottom w:val="0"/>
          <w:divBdr>
            <w:top w:val="none" w:sz="0" w:space="0" w:color="auto"/>
            <w:left w:val="none" w:sz="0" w:space="0" w:color="auto"/>
            <w:bottom w:val="none" w:sz="0" w:space="0" w:color="auto"/>
            <w:right w:val="none" w:sz="0" w:space="0" w:color="auto"/>
          </w:divBdr>
        </w:div>
      </w:divsChild>
    </w:div>
    <w:div w:id="794250777">
      <w:bodyDiv w:val="1"/>
      <w:marLeft w:val="0"/>
      <w:marRight w:val="0"/>
      <w:marTop w:val="0"/>
      <w:marBottom w:val="0"/>
      <w:divBdr>
        <w:top w:val="none" w:sz="0" w:space="0" w:color="auto"/>
        <w:left w:val="none" w:sz="0" w:space="0" w:color="auto"/>
        <w:bottom w:val="none" w:sz="0" w:space="0" w:color="auto"/>
        <w:right w:val="none" w:sz="0" w:space="0" w:color="auto"/>
      </w:divBdr>
      <w:divsChild>
        <w:div w:id="1984583184">
          <w:marLeft w:val="547"/>
          <w:marRight w:val="0"/>
          <w:marTop w:val="154"/>
          <w:marBottom w:val="0"/>
          <w:divBdr>
            <w:top w:val="none" w:sz="0" w:space="0" w:color="auto"/>
            <w:left w:val="none" w:sz="0" w:space="0" w:color="auto"/>
            <w:bottom w:val="none" w:sz="0" w:space="0" w:color="auto"/>
            <w:right w:val="none" w:sz="0" w:space="0" w:color="auto"/>
          </w:divBdr>
        </w:div>
        <w:div w:id="82531228">
          <w:marLeft w:val="1166"/>
          <w:marRight w:val="0"/>
          <w:marTop w:val="134"/>
          <w:marBottom w:val="0"/>
          <w:divBdr>
            <w:top w:val="none" w:sz="0" w:space="0" w:color="auto"/>
            <w:left w:val="none" w:sz="0" w:space="0" w:color="auto"/>
            <w:bottom w:val="none" w:sz="0" w:space="0" w:color="auto"/>
            <w:right w:val="none" w:sz="0" w:space="0" w:color="auto"/>
          </w:divBdr>
        </w:div>
      </w:divsChild>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3424820">
      <w:bodyDiv w:val="1"/>
      <w:marLeft w:val="0"/>
      <w:marRight w:val="0"/>
      <w:marTop w:val="0"/>
      <w:marBottom w:val="0"/>
      <w:divBdr>
        <w:top w:val="none" w:sz="0" w:space="0" w:color="auto"/>
        <w:left w:val="none" w:sz="0" w:space="0" w:color="auto"/>
        <w:bottom w:val="none" w:sz="0" w:space="0" w:color="auto"/>
        <w:right w:val="none" w:sz="0" w:space="0" w:color="auto"/>
      </w:divBdr>
      <w:divsChild>
        <w:div w:id="1909419494">
          <w:marLeft w:val="547"/>
          <w:marRight w:val="0"/>
          <w:marTop w:val="154"/>
          <w:marBottom w:val="0"/>
          <w:divBdr>
            <w:top w:val="none" w:sz="0" w:space="0" w:color="auto"/>
            <w:left w:val="none" w:sz="0" w:space="0" w:color="auto"/>
            <w:bottom w:val="none" w:sz="0" w:space="0" w:color="auto"/>
            <w:right w:val="none" w:sz="0" w:space="0" w:color="auto"/>
          </w:divBdr>
        </w:div>
        <w:div w:id="633482850">
          <w:marLeft w:val="1166"/>
          <w:marRight w:val="0"/>
          <w:marTop w:val="134"/>
          <w:marBottom w:val="0"/>
          <w:divBdr>
            <w:top w:val="none" w:sz="0" w:space="0" w:color="auto"/>
            <w:left w:val="none" w:sz="0" w:space="0" w:color="auto"/>
            <w:bottom w:val="none" w:sz="0" w:space="0" w:color="auto"/>
            <w:right w:val="none" w:sz="0" w:space="0" w:color="auto"/>
          </w:divBdr>
        </w:div>
        <w:div w:id="1829592603">
          <w:marLeft w:val="1800"/>
          <w:marRight w:val="0"/>
          <w:marTop w:val="115"/>
          <w:marBottom w:val="0"/>
          <w:divBdr>
            <w:top w:val="none" w:sz="0" w:space="0" w:color="auto"/>
            <w:left w:val="none" w:sz="0" w:space="0" w:color="auto"/>
            <w:bottom w:val="none" w:sz="0" w:space="0" w:color="auto"/>
            <w:right w:val="none" w:sz="0" w:space="0" w:color="auto"/>
          </w:divBdr>
        </w:div>
        <w:div w:id="980618908">
          <w:marLeft w:val="1800"/>
          <w:marRight w:val="0"/>
          <w:marTop w:val="115"/>
          <w:marBottom w:val="0"/>
          <w:divBdr>
            <w:top w:val="none" w:sz="0" w:space="0" w:color="auto"/>
            <w:left w:val="none" w:sz="0" w:space="0" w:color="auto"/>
            <w:bottom w:val="none" w:sz="0" w:space="0" w:color="auto"/>
            <w:right w:val="none" w:sz="0" w:space="0" w:color="auto"/>
          </w:divBdr>
        </w:div>
        <w:div w:id="1620992052">
          <w:marLeft w:val="1800"/>
          <w:marRight w:val="0"/>
          <w:marTop w:val="115"/>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87637237">
      <w:bodyDiv w:val="1"/>
      <w:marLeft w:val="0"/>
      <w:marRight w:val="0"/>
      <w:marTop w:val="0"/>
      <w:marBottom w:val="0"/>
      <w:divBdr>
        <w:top w:val="none" w:sz="0" w:space="0" w:color="auto"/>
        <w:left w:val="none" w:sz="0" w:space="0" w:color="auto"/>
        <w:bottom w:val="none" w:sz="0" w:space="0" w:color="auto"/>
        <w:right w:val="none" w:sz="0" w:space="0" w:color="auto"/>
      </w:divBdr>
      <w:divsChild>
        <w:div w:id="1944529238">
          <w:marLeft w:val="2520"/>
          <w:marRight w:val="0"/>
          <w:marTop w:val="106"/>
          <w:marBottom w:val="0"/>
          <w:divBdr>
            <w:top w:val="none" w:sz="0" w:space="0" w:color="auto"/>
            <w:left w:val="none" w:sz="0" w:space="0" w:color="auto"/>
            <w:bottom w:val="none" w:sz="0" w:space="0" w:color="auto"/>
            <w:right w:val="none" w:sz="0" w:space="0" w:color="auto"/>
          </w:divBdr>
        </w:div>
        <w:div w:id="974870316">
          <w:marLeft w:val="2520"/>
          <w:marRight w:val="0"/>
          <w:marTop w:val="106"/>
          <w:marBottom w:val="0"/>
          <w:divBdr>
            <w:top w:val="none" w:sz="0" w:space="0" w:color="auto"/>
            <w:left w:val="none" w:sz="0" w:space="0" w:color="auto"/>
            <w:bottom w:val="none" w:sz="0" w:space="0" w:color="auto"/>
            <w:right w:val="none" w:sz="0" w:space="0" w:color="auto"/>
          </w:divBdr>
        </w:div>
        <w:div w:id="884296778">
          <w:marLeft w:val="2520"/>
          <w:marRight w:val="0"/>
          <w:marTop w:val="106"/>
          <w:marBottom w:val="0"/>
          <w:divBdr>
            <w:top w:val="none" w:sz="0" w:space="0" w:color="auto"/>
            <w:left w:val="none" w:sz="0" w:space="0" w:color="auto"/>
            <w:bottom w:val="none" w:sz="0" w:space="0" w:color="auto"/>
            <w:right w:val="none" w:sz="0" w:space="0" w:color="auto"/>
          </w:divBdr>
        </w:div>
        <w:div w:id="1390689664">
          <w:marLeft w:val="2520"/>
          <w:marRight w:val="0"/>
          <w:marTop w:val="106"/>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6470928">
      <w:bodyDiv w:val="1"/>
      <w:marLeft w:val="0"/>
      <w:marRight w:val="0"/>
      <w:marTop w:val="0"/>
      <w:marBottom w:val="0"/>
      <w:divBdr>
        <w:top w:val="none" w:sz="0" w:space="0" w:color="auto"/>
        <w:left w:val="none" w:sz="0" w:space="0" w:color="auto"/>
        <w:bottom w:val="none" w:sz="0" w:space="0" w:color="auto"/>
        <w:right w:val="none" w:sz="0" w:space="0" w:color="auto"/>
      </w:divBdr>
      <w:divsChild>
        <w:div w:id="986132038">
          <w:marLeft w:val="547"/>
          <w:marRight w:val="0"/>
          <w:marTop w:val="120"/>
          <w:marBottom w:val="0"/>
          <w:divBdr>
            <w:top w:val="none" w:sz="0" w:space="0" w:color="auto"/>
            <w:left w:val="none" w:sz="0" w:space="0" w:color="auto"/>
            <w:bottom w:val="none" w:sz="0" w:space="0" w:color="auto"/>
            <w:right w:val="none" w:sz="0" w:space="0" w:color="auto"/>
          </w:divBdr>
        </w:div>
        <w:div w:id="1668703437">
          <w:marLeft w:val="1166"/>
          <w:marRight w:val="0"/>
          <w:marTop w:val="106"/>
          <w:marBottom w:val="0"/>
          <w:divBdr>
            <w:top w:val="none" w:sz="0" w:space="0" w:color="auto"/>
            <w:left w:val="none" w:sz="0" w:space="0" w:color="auto"/>
            <w:bottom w:val="none" w:sz="0" w:space="0" w:color="auto"/>
            <w:right w:val="none" w:sz="0" w:space="0" w:color="auto"/>
          </w:divBdr>
        </w:div>
        <w:div w:id="1994530240">
          <w:marLeft w:val="1800"/>
          <w:marRight w:val="0"/>
          <w:marTop w:val="91"/>
          <w:marBottom w:val="0"/>
          <w:divBdr>
            <w:top w:val="none" w:sz="0" w:space="0" w:color="auto"/>
            <w:left w:val="none" w:sz="0" w:space="0" w:color="auto"/>
            <w:bottom w:val="none" w:sz="0" w:space="0" w:color="auto"/>
            <w:right w:val="none" w:sz="0" w:space="0" w:color="auto"/>
          </w:divBdr>
        </w:div>
        <w:div w:id="193740015">
          <w:marLeft w:val="1166"/>
          <w:marRight w:val="0"/>
          <w:marTop w:val="106"/>
          <w:marBottom w:val="0"/>
          <w:divBdr>
            <w:top w:val="none" w:sz="0" w:space="0" w:color="auto"/>
            <w:left w:val="none" w:sz="0" w:space="0" w:color="auto"/>
            <w:bottom w:val="none" w:sz="0" w:space="0" w:color="auto"/>
            <w:right w:val="none" w:sz="0" w:space="0" w:color="auto"/>
          </w:divBdr>
        </w:div>
        <w:div w:id="1480994145">
          <w:marLeft w:val="1800"/>
          <w:marRight w:val="0"/>
          <w:marTop w:val="91"/>
          <w:marBottom w:val="0"/>
          <w:divBdr>
            <w:top w:val="none" w:sz="0" w:space="0" w:color="auto"/>
            <w:left w:val="none" w:sz="0" w:space="0" w:color="auto"/>
            <w:bottom w:val="none" w:sz="0" w:space="0" w:color="auto"/>
            <w:right w:val="none" w:sz="0" w:space="0" w:color="auto"/>
          </w:divBdr>
        </w:div>
        <w:div w:id="1674799295">
          <w:marLeft w:val="1166"/>
          <w:marRight w:val="0"/>
          <w:marTop w:val="106"/>
          <w:marBottom w:val="0"/>
          <w:divBdr>
            <w:top w:val="none" w:sz="0" w:space="0" w:color="auto"/>
            <w:left w:val="none" w:sz="0" w:space="0" w:color="auto"/>
            <w:bottom w:val="none" w:sz="0" w:space="0" w:color="auto"/>
            <w:right w:val="none" w:sz="0" w:space="0" w:color="auto"/>
          </w:divBdr>
        </w:div>
        <w:div w:id="1488008337">
          <w:marLeft w:val="1800"/>
          <w:marRight w:val="0"/>
          <w:marTop w:val="91"/>
          <w:marBottom w:val="0"/>
          <w:divBdr>
            <w:top w:val="none" w:sz="0" w:space="0" w:color="auto"/>
            <w:left w:val="none" w:sz="0" w:space="0" w:color="auto"/>
            <w:bottom w:val="none" w:sz="0" w:space="0" w:color="auto"/>
            <w:right w:val="none" w:sz="0" w:space="0" w:color="auto"/>
          </w:divBdr>
        </w:div>
        <w:div w:id="1171988546">
          <w:marLeft w:val="1166"/>
          <w:marRight w:val="0"/>
          <w:marTop w:val="106"/>
          <w:marBottom w:val="0"/>
          <w:divBdr>
            <w:top w:val="none" w:sz="0" w:space="0" w:color="auto"/>
            <w:left w:val="none" w:sz="0" w:space="0" w:color="auto"/>
            <w:bottom w:val="none" w:sz="0" w:space="0" w:color="auto"/>
            <w:right w:val="none" w:sz="0" w:space="0" w:color="auto"/>
          </w:divBdr>
        </w:div>
        <w:div w:id="1470636371">
          <w:marLeft w:val="1800"/>
          <w:marRight w:val="0"/>
          <w:marTop w:val="91"/>
          <w:marBottom w:val="0"/>
          <w:divBdr>
            <w:top w:val="none" w:sz="0" w:space="0" w:color="auto"/>
            <w:left w:val="none" w:sz="0" w:space="0" w:color="auto"/>
            <w:bottom w:val="none" w:sz="0" w:space="0" w:color="auto"/>
            <w:right w:val="none" w:sz="0" w:space="0" w:color="auto"/>
          </w:divBdr>
        </w:div>
        <w:div w:id="137847846">
          <w:marLeft w:val="1166"/>
          <w:marRight w:val="0"/>
          <w:marTop w:val="106"/>
          <w:marBottom w:val="0"/>
          <w:divBdr>
            <w:top w:val="none" w:sz="0" w:space="0" w:color="auto"/>
            <w:left w:val="none" w:sz="0" w:space="0" w:color="auto"/>
            <w:bottom w:val="none" w:sz="0" w:space="0" w:color="auto"/>
            <w:right w:val="none" w:sz="0" w:space="0" w:color="auto"/>
          </w:divBdr>
        </w:div>
        <w:div w:id="1086152113">
          <w:marLeft w:val="1800"/>
          <w:marRight w:val="0"/>
          <w:marTop w:val="91"/>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46C3E-2731-4DAD-94DE-E1C586DC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9176</TotalTime>
  <Pages>4</Pages>
  <Words>1418</Words>
  <Characters>8087</Characters>
  <Application>Microsoft Office Word</Application>
  <DocSecurity>0</DocSecurity>
  <Lines>67</Lines>
  <Paragraphs>18</Paragraphs>
  <ScaleCrop>false</ScaleCrop>
  <Company>HUAWEI</Company>
  <LinksUpToDate>false</LinksUpToDate>
  <CharactersWithSpaces>9487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124</cp:revision>
  <dcterms:created xsi:type="dcterms:W3CDTF">2019-09-18T02:52:00Z</dcterms:created>
  <dcterms:modified xsi:type="dcterms:W3CDTF">2021-04-02T15:32:00Z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