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BB4" w:rsidRPr="00C87BB4" w:rsidRDefault="00C87BB4" w:rsidP="00C87BB4">
      <w:pPr>
        <w:pStyle w:val="a3"/>
        <w:rPr>
          <w:rFonts w:cs="Arial"/>
          <w:sz w:val="24"/>
          <w:szCs w:val="24"/>
        </w:rPr>
      </w:pPr>
      <w:r w:rsidRPr="00C87BB4">
        <w:rPr>
          <w:rFonts w:cs="Arial"/>
          <w:sz w:val="24"/>
          <w:szCs w:val="24"/>
        </w:rPr>
        <w:t xml:space="preserve">3GPP TSG-RAN WG4 Meeting # 98-bis-e </w:t>
      </w:r>
      <w:r w:rsidRPr="00C87BB4">
        <w:rPr>
          <w:rFonts w:cs="Arial"/>
          <w:sz w:val="24"/>
          <w:szCs w:val="24"/>
        </w:rPr>
        <w:tab/>
      </w:r>
      <w:r>
        <w:rPr>
          <w:rFonts w:cs="Arial"/>
          <w:sz w:val="24"/>
          <w:szCs w:val="24"/>
        </w:rPr>
        <w:t xml:space="preserve">                          </w:t>
      </w:r>
      <w:r w:rsidR="00401AF4" w:rsidRPr="00401AF4">
        <w:rPr>
          <w:rFonts w:cs="Arial"/>
          <w:sz w:val="24"/>
          <w:szCs w:val="24"/>
        </w:rPr>
        <w:t>R4-2106984</w:t>
      </w:r>
      <w:bookmarkStart w:id="0" w:name="_GoBack"/>
      <w:bookmarkEnd w:id="0"/>
    </w:p>
    <w:p w:rsidR="00DF0231" w:rsidRPr="002D2977" w:rsidRDefault="00C87BB4" w:rsidP="00C87BB4">
      <w:pPr>
        <w:pStyle w:val="a3"/>
        <w:rPr>
          <w:noProof w:val="0"/>
        </w:rPr>
      </w:pPr>
      <w:r w:rsidRPr="00C87BB4">
        <w:rPr>
          <w:rFonts w:cs="Arial"/>
          <w:sz w:val="24"/>
          <w:szCs w:val="24"/>
        </w:rPr>
        <w:t>Electronic Meeting, Apr. 12-20, 2021</w:t>
      </w: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2374D">
        <w:rPr>
          <w:rFonts w:ascii="Arial" w:hAnsi="Arial"/>
          <w:sz w:val="24"/>
          <w:lang w:val="en-US"/>
        </w:rPr>
        <w:t>5.1.3.3.20</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92374D" w:rsidRPr="0092374D">
        <w:rPr>
          <w:rFonts w:ascii="Arial" w:hAnsi="Arial"/>
          <w:sz w:val="24"/>
          <w:lang w:val="en-US"/>
        </w:rPr>
        <w:t>Discussion on test cases for TCI switching for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0D1A1A" w:rsidRDefault="00B1402B" w:rsidP="00DF0231">
      <w:pPr>
        <w:rPr>
          <w:rFonts w:eastAsiaTheme="minorEastAsia"/>
          <w:lang w:val="en-US" w:eastAsia="zh-CN"/>
        </w:rPr>
      </w:pPr>
      <w:r w:rsidRPr="00B1402B">
        <w:rPr>
          <w:rFonts w:eastAsiaTheme="minorEastAsia" w:hint="eastAsia"/>
          <w:lang w:val="en-US" w:eastAsia="zh-CN"/>
        </w:rPr>
        <w:t>In</w:t>
      </w:r>
      <w:r w:rsidRPr="00B1402B">
        <w:rPr>
          <w:rFonts w:eastAsiaTheme="minorEastAsia"/>
          <w:lang w:val="en-US" w:eastAsia="zh-CN"/>
        </w:rPr>
        <w:t xml:space="preserve"> RAN4</w:t>
      </w:r>
      <w:r w:rsidRPr="00B1402B">
        <w:rPr>
          <w:rFonts w:eastAsiaTheme="minorEastAsia" w:hint="eastAsia"/>
          <w:lang w:val="en-US" w:eastAsia="zh-CN"/>
        </w:rPr>
        <w:t>#</w:t>
      </w:r>
      <w:r w:rsidRPr="00B1402B">
        <w:rPr>
          <w:rFonts w:eastAsiaTheme="minorEastAsia"/>
          <w:lang w:val="en-US" w:eastAsia="zh-CN"/>
        </w:rPr>
        <w:t>9</w:t>
      </w:r>
      <w:r w:rsidR="00F34526">
        <w:rPr>
          <w:rFonts w:eastAsiaTheme="minorEastAsia"/>
          <w:lang w:val="en-US" w:eastAsia="zh-CN"/>
        </w:rPr>
        <w:t>8</w:t>
      </w:r>
      <w:r w:rsidRPr="00B1402B">
        <w:rPr>
          <w:rFonts w:eastAsiaTheme="minorEastAsia"/>
          <w:lang w:val="en-US" w:eastAsia="zh-CN"/>
        </w:rPr>
        <w:t xml:space="preserve">e meeting, </w:t>
      </w:r>
      <w:r w:rsidR="000A42C3">
        <w:rPr>
          <w:rFonts w:eastAsiaTheme="minorEastAsia"/>
          <w:lang w:val="en-US" w:eastAsia="zh-CN"/>
        </w:rPr>
        <w:t xml:space="preserve">the general test configurations are discussed with the agreements captured in the WF [1]. The progress of the CCA modeling is captured in the WF [2]. </w:t>
      </w:r>
      <w:r w:rsidR="00CE4A77">
        <w:rPr>
          <w:rFonts w:eastAsiaTheme="minorEastAsia"/>
          <w:lang w:val="en-US" w:eastAsia="zh-CN"/>
        </w:rPr>
        <w:t>According to the updated test cases list [4], whether to have TCI state switching test cases are still FFS. But it is captured in the WF [3] to introduce the corresponding test cases for NR-U. Then we provide our views on TCI state switching test cases for NR-U.</w:t>
      </w:r>
    </w:p>
    <w:p w:rsidR="00DF0231" w:rsidRDefault="00DF0231" w:rsidP="00DF0231">
      <w:pPr>
        <w:pStyle w:val="1"/>
        <w:numPr>
          <w:ilvl w:val="0"/>
          <w:numId w:val="1"/>
        </w:numPr>
        <w:rPr>
          <w:lang w:val="en-US"/>
        </w:rPr>
      </w:pPr>
      <w:r w:rsidRPr="002D2977">
        <w:rPr>
          <w:lang w:val="en-US"/>
        </w:rPr>
        <w:t>Discussion</w:t>
      </w:r>
    </w:p>
    <w:p w:rsidR="00CE4A77" w:rsidRDefault="00CE4A77" w:rsidP="0018523E">
      <w:pPr>
        <w:rPr>
          <w:rFonts w:eastAsiaTheme="minorEastAsia"/>
          <w:lang w:val="en-US" w:eastAsia="zh-CN"/>
        </w:rPr>
      </w:pPr>
      <w:r>
        <w:rPr>
          <w:rFonts w:eastAsiaTheme="minorEastAsia"/>
          <w:lang w:val="en-US" w:eastAsia="zh-CN"/>
        </w:rPr>
        <w:t>It is agreed to introduce the test cases for TCI state switching for NR-U in Rel-16 in WF [3]:</w:t>
      </w:r>
    </w:p>
    <w:tbl>
      <w:tblPr>
        <w:tblStyle w:val="a7"/>
        <w:tblW w:w="0" w:type="auto"/>
        <w:tblLook w:val="04A0" w:firstRow="1" w:lastRow="0" w:firstColumn="1" w:lastColumn="0" w:noHBand="0" w:noVBand="1"/>
      </w:tblPr>
      <w:tblGrid>
        <w:gridCol w:w="9562"/>
      </w:tblGrid>
      <w:tr w:rsidR="00CE4A77" w:rsidTr="00CE4A77">
        <w:tc>
          <w:tcPr>
            <w:tcW w:w="9562" w:type="dxa"/>
          </w:tcPr>
          <w:p w:rsidR="00CE4A77" w:rsidRPr="00CE4A77" w:rsidRDefault="00CE4A77" w:rsidP="00CE4A77">
            <w:pPr>
              <w:overflowPunct w:val="0"/>
              <w:spacing w:after="0"/>
              <w:rPr>
                <w:rFonts w:eastAsia="Times New Roman"/>
                <w:sz w:val="16"/>
                <w:szCs w:val="24"/>
                <w:lang w:val="en-US" w:eastAsia="zh-CN"/>
              </w:rPr>
            </w:pPr>
            <w:r w:rsidRPr="00CE4A77">
              <w:rPr>
                <w:rFonts w:ascii="Calibri" w:eastAsia="+mn-ea" w:hAnsi="Calibri" w:cs="+mn-cs"/>
                <w:color w:val="000000"/>
                <w:kern w:val="24"/>
                <w:sz w:val="22"/>
                <w:szCs w:val="36"/>
                <w:lang w:val="en-US" w:eastAsia="zh-CN"/>
              </w:rPr>
              <w:t>Issue 2-8-1:</w:t>
            </w:r>
          </w:p>
          <w:p w:rsidR="00CE4A77" w:rsidRPr="00CE4A77" w:rsidRDefault="00CE4A77" w:rsidP="00CE4A77">
            <w:pPr>
              <w:overflowPunct w:val="0"/>
              <w:spacing w:after="0"/>
              <w:ind w:left="720"/>
              <w:rPr>
                <w:rFonts w:eastAsia="Times New Roman"/>
                <w:sz w:val="16"/>
                <w:szCs w:val="24"/>
                <w:lang w:val="en-US" w:eastAsia="zh-CN"/>
              </w:rPr>
            </w:pPr>
            <w:r w:rsidRPr="00CE4A77">
              <w:rPr>
                <w:rFonts w:ascii="Calibri" w:eastAsia="+mn-ea" w:hAnsi="Calibri" w:cs="+mn-cs"/>
                <w:color w:val="000000"/>
                <w:kern w:val="24"/>
                <w:sz w:val="22"/>
                <w:szCs w:val="36"/>
                <w:lang w:eastAsia="zh-CN"/>
              </w:rPr>
              <w:t>In Rel-16 NR-U, test cases for active TCI state switching are introduced for the following cases:</w:t>
            </w:r>
          </w:p>
          <w:p w:rsidR="00CE4A77" w:rsidRPr="00CE4A77" w:rsidRDefault="00CE4A77" w:rsidP="00CE4A77">
            <w:pPr>
              <w:overflowPunct w:val="0"/>
              <w:spacing w:after="0"/>
              <w:ind w:left="1440"/>
              <w:rPr>
                <w:rFonts w:eastAsia="Times New Roman"/>
                <w:sz w:val="16"/>
                <w:szCs w:val="24"/>
                <w:lang w:val="en-US" w:eastAsia="zh-CN"/>
              </w:rPr>
            </w:pPr>
            <w:r w:rsidRPr="00CE4A77">
              <w:rPr>
                <w:rFonts w:ascii="Calibri" w:eastAsia="+mn-ea" w:hAnsi="Calibri" w:cs="+mn-cs"/>
                <w:color w:val="000000"/>
                <w:kern w:val="24"/>
                <w:sz w:val="22"/>
                <w:szCs w:val="36"/>
                <w:lang w:eastAsia="zh-CN"/>
              </w:rPr>
              <w:t xml:space="preserve">EN-DC, NR </w:t>
            </w:r>
            <w:proofErr w:type="spellStart"/>
            <w:r w:rsidRPr="00CE4A77">
              <w:rPr>
                <w:rFonts w:ascii="Calibri" w:eastAsia="+mn-ea" w:hAnsi="Calibri" w:cs="+mn-cs"/>
                <w:color w:val="000000"/>
                <w:kern w:val="24"/>
                <w:sz w:val="22"/>
                <w:szCs w:val="36"/>
                <w:lang w:eastAsia="zh-CN"/>
              </w:rPr>
              <w:t>PSCell</w:t>
            </w:r>
            <w:proofErr w:type="spellEnd"/>
            <w:r w:rsidRPr="00CE4A77">
              <w:rPr>
                <w:rFonts w:ascii="Calibri" w:eastAsia="+mn-ea" w:hAnsi="Calibri" w:cs="+mn-cs"/>
                <w:color w:val="000000"/>
                <w:kern w:val="24"/>
                <w:sz w:val="22"/>
                <w:szCs w:val="36"/>
                <w:lang w:eastAsia="zh-CN"/>
              </w:rPr>
              <w:t xml:space="preserve"> under CCA, known TCI state, MAC-based triggering</w:t>
            </w:r>
          </w:p>
          <w:p w:rsidR="00CE4A77" w:rsidRPr="00CE4A77" w:rsidRDefault="00CE4A77" w:rsidP="00CE4A77">
            <w:pPr>
              <w:overflowPunct w:val="0"/>
              <w:spacing w:after="0"/>
              <w:ind w:left="1440"/>
              <w:rPr>
                <w:rFonts w:eastAsia="Times New Roman"/>
                <w:sz w:val="16"/>
                <w:szCs w:val="24"/>
                <w:lang w:val="en-US" w:eastAsia="zh-CN"/>
              </w:rPr>
            </w:pPr>
            <w:r w:rsidRPr="00CE4A77">
              <w:rPr>
                <w:rFonts w:ascii="Calibri" w:eastAsia="+mn-ea" w:hAnsi="Calibri" w:cs="+mn-cs"/>
                <w:color w:val="000000"/>
                <w:kern w:val="24"/>
                <w:sz w:val="22"/>
                <w:szCs w:val="36"/>
                <w:lang w:eastAsia="zh-CN"/>
              </w:rPr>
              <w:t xml:space="preserve">EN-DC, NR </w:t>
            </w:r>
            <w:proofErr w:type="spellStart"/>
            <w:r w:rsidRPr="00CE4A77">
              <w:rPr>
                <w:rFonts w:ascii="Calibri" w:eastAsia="+mn-ea" w:hAnsi="Calibri" w:cs="+mn-cs"/>
                <w:color w:val="000000"/>
                <w:kern w:val="24"/>
                <w:sz w:val="22"/>
                <w:szCs w:val="36"/>
                <w:lang w:eastAsia="zh-CN"/>
              </w:rPr>
              <w:t>PSCell</w:t>
            </w:r>
            <w:proofErr w:type="spellEnd"/>
            <w:r w:rsidRPr="00CE4A77">
              <w:rPr>
                <w:rFonts w:ascii="Calibri" w:eastAsia="+mn-ea" w:hAnsi="Calibri" w:cs="+mn-cs"/>
                <w:color w:val="000000"/>
                <w:kern w:val="24"/>
                <w:sz w:val="22"/>
                <w:szCs w:val="36"/>
                <w:lang w:eastAsia="zh-CN"/>
              </w:rPr>
              <w:t xml:space="preserve"> under CCA, known TCI state, RRC-based triggering</w:t>
            </w:r>
          </w:p>
          <w:p w:rsidR="00CE4A77" w:rsidRPr="00CE4A77" w:rsidRDefault="00CE4A77" w:rsidP="00CE4A77">
            <w:pPr>
              <w:overflowPunct w:val="0"/>
              <w:spacing w:after="0"/>
              <w:ind w:left="1440"/>
              <w:rPr>
                <w:rFonts w:eastAsia="Times New Roman"/>
                <w:sz w:val="16"/>
                <w:szCs w:val="24"/>
                <w:lang w:val="en-US" w:eastAsia="zh-CN"/>
              </w:rPr>
            </w:pPr>
            <w:r w:rsidRPr="00CE4A77">
              <w:rPr>
                <w:rFonts w:ascii="Calibri" w:eastAsia="+mn-ea" w:hAnsi="Calibri" w:cs="+mn-cs"/>
                <w:color w:val="000000"/>
                <w:kern w:val="24"/>
                <w:sz w:val="22"/>
                <w:szCs w:val="36"/>
                <w:lang w:eastAsia="zh-CN"/>
              </w:rPr>
              <w:t xml:space="preserve">NR SA, </w:t>
            </w:r>
            <w:proofErr w:type="spellStart"/>
            <w:r w:rsidRPr="00CE4A77">
              <w:rPr>
                <w:rFonts w:ascii="Calibri" w:eastAsia="+mn-ea" w:hAnsi="Calibri" w:cs="+mn-cs"/>
                <w:color w:val="000000"/>
                <w:kern w:val="24"/>
                <w:sz w:val="22"/>
                <w:szCs w:val="36"/>
                <w:lang w:eastAsia="zh-CN"/>
              </w:rPr>
              <w:t>PCell</w:t>
            </w:r>
            <w:proofErr w:type="spellEnd"/>
            <w:r w:rsidRPr="00CE4A77">
              <w:rPr>
                <w:rFonts w:ascii="Calibri" w:eastAsia="+mn-ea" w:hAnsi="Calibri" w:cs="+mn-cs"/>
                <w:color w:val="000000"/>
                <w:kern w:val="24"/>
                <w:sz w:val="22"/>
                <w:szCs w:val="36"/>
                <w:lang w:eastAsia="zh-CN"/>
              </w:rPr>
              <w:t xml:space="preserve"> under CCA, known TCI state, MAC-based triggering</w:t>
            </w:r>
          </w:p>
          <w:p w:rsidR="00CE4A77" w:rsidRPr="00CE4A77" w:rsidRDefault="00CE4A77" w:rsidP="00CE4A77">
            <w:pPr>
              <w:overflowPunct w:val="0"/>
              <w:spacing w:after="0"/>
              <w:ind w:left="1440"/>
              <w:rPr>
                <w:rFonts w:eastAsia="Times New Roman"/>
                <w:sz w:val="16"/>
                <w:szCs w:val="24"/>
                <w:lang w:val="en-US" w:eastAsia="zh-CN"/>
              </w:rPr>
            </w:pPr>
            <w:r w:rsidRPr="00CE4A77">
              <w:rPr>
                <w:rFonts w:ascii="Calibri" w:eastAsia="+mn-ea" w:hAnsi="Calibri" w:cs="+mn-cs"/>
                <w:color w:val="000000"/>
                <w:kern w:val="24"/>
                <w:sz w:val="22"/>
                <w:szCs w:val="36"/>
                <w:lang w:eastAsia="zh-CN"/>
              </w:rPr>
              <w:t xml:space="preserve">NR SA, </w:t>
            </w:r>
            <w:proofErr w:type="spellStart"/>
            <w:r w:rsidRPr="00CE4A77">
              <w:rPr>
                <w:rFonts w:ascii="Calibri" w:eastAsia="+mn-ea" w:hAnsi="Calibri" w:cs="+mn-cs"/>
                <w:color w:val="000000"/>
                <w:kern w:val="24"/>
                <w:sz w:val="22"/>
                <w:szCs w:val="36"/>
                <w:lang w:eastAsia="zh-CN"/>
              </w:rPr>
              <w:t>PCell</w:t>
            </w:r>
            <w:proofErr w:type="spellEnd"/>
            <w:r w:rsidRPr="00CE4A77">
              <w:rPr>
                <w:rFonts w:ascii="Calibri" w:eastAsia="+mn-ea" w:hAnsi="Calibri" w:cs="+mn-cs"/>
                <w:color w:val="000000"/>
                <w:kern w:val="24"/>
                <w:sz w:val="22"/>
                <w:szCs w:val="36"/>
                <w:lang w:eastAsia="zh-CN"/>
              </w:rPr>
              <w:t xml:space="preserve"> under CCA, known TCI state, RRC-based triggering</w:t>
            </w:r>
          </w:p>
          <w:p w:rsidR="00CE4A77" w:rsidRPr="00CE4A77" w:rsidRDefault="00CE4A77" w:rsidP="00CE4A77">
            <w:pPr>
              <w:overflowPunct w:val="0"/>
              <w:spacing w:after="0"/>
              <w:ind w:left="1440"/>
              <w:rPr>
                <w:rFonts w:eastAsia="Times New Roman"/>
                <w:sz w:val="16"/>
                <w:szCs w:val="24"/>
                <w:lang w:val="en-US" w:eastAsia="zh-CN"/>
              </w:rPr>
            </w:pPr>
            <w:r w:rsidRPr="00CE4A77">
              <w:rPr>
                <w:rFonts w:ascii="Calibri" w:eastAsia="+mn-ea" w:hAnsi="Calibri" w:cs="+mn-cs"/>
                <w:color w:val="000000"/>
                <w:kern w:val="24"/>
                <w:sz w:val="22"/>
                <w:szCs w:val="36"/>
                <w:lang w:eastAsia="zh-CN"/>
              </w:rPr>
              <w:t xml:space="preserve">NR SA, </w:t>
            </w:r>
            <w:proofErr w:type="spellStart"/>
            <w:r w:rsidRPr="00CE4A77">
              <w:rPr>
                <w:rFonts w:ascii="Calibri" w:eastAsia="+mn-ea" w:hAnsi="Calibri" w:cs="+mn-cs"/>
                <w:color w:val="000000"/>
                <w:kern w:val="24"/>
                <w:sz w:val="22"/>
                <w:szCs w:val="36"/>
                <w:lang w:eastAsia="zh-CN"/>
              </w:rPr>
              <w:t>SCell</w:t>
            </w:r>
            <w:proofErr w:type="spellEnd"/>
            <w:r w:rsidRPr="00CE4A77">
              <w:rPr>
                <w:rFonts w:ascii="Calibri" w:eastAsia="+mn-ea" w:hAnsi="Calibri" w:cs="+mn-cs"/>
                <w:color w:val="000000"/>
                <w:kern w:val="24"/>
                <w:sz w:val="22"/>
                <w:szCs w:val="36"/>
                <w:lang w:eastAsia="zh-CN"/>
              </w:rPr>
              <w:t xml:space="preserve"> under CCA, known TCI state, MAC-based triggering</w:t>
            </w:r>
          </w:p>
          <w:p w:rsidR="00CE4A77" w:rsidRPr="00A85E12" w:rsidRDefault="00CE4A77" w:rsidP="00CE4A77">
            <w:pPr>
              <w:overflowPunct w:val="0"/>
              <w:spacing w:after="0"/>
              <w:ind w:left="1440"/>
              <w:rPr>
                <w:rFonts w:ascii="Calibri" w:eastAsia="+mn-ea" w:hAnsi="Calibri" w:cs="+mn-cs"/>
                <w:color w:val="000000"/>
                <w:kern w:val="24"/>
                <w:sz w:val="22"/>
                <w:szCs w:val="36"/>
                <w:lang w:eastAsia="zh-CN"/>
              </w:rPr>
            </w:pPr>
            <w:r w:rsidRPr="00CE4A77">
              <w:rPr>
                <w:rFonts w:ascii="Calibri" w:eastAsia="+mn-ea" w:hAnsi="Calibri" w:cs="+mn-cs"/>
                <w:color w:val="000000"/>
                <w:kern w:val="24"/>
                <w:sz w:val="22"/>
                <w:szCs w:val="36"/>
                <w:lang w:eastAsia="zh-CN"/>
              </w:rPr>
              <w:t xml:space="preserve">NR SA, </w:t>
            </w:r>
            <w:proofErr w:type="spellStart"/>
            <w:r w:rsidRPr="00CE4A77">
              <w:rPr>
                <w:rFonts w:ascii="Calibri" w:eastAsia="+mn-ea" w:hAnsi="Calibri" w:cs="+mn-cs"/>
                <w:color w:val="000000"/>
                <w:kern w:val="24"/>
                <w:sz w:val="22"/>
                <w:szCs w:val="36"/>
                <w:lang w:eastAsia="zh-CN"/>
              </w:rPr>
              <w:t>SCell</w:t>
            </w:r>
            <w:proofErr w:type="spellEnd"/>
            <w:r w:rsidRPr="00CE4A77">
              <w:rPr>
                <w:rFonts w:ascii="Calibri" w:eastAsia="+mn-ea" w:hAnsi="Calibri" w:cs="+mn-cs"/>
                <w:color w:val="000000"/>
                <w:kern w:val="24"/>
                <w:sz w:val="22"/>
                <w:szCs w:val="36"/>
                <w:lang w:eastAsia="zh-CN"/>
              </w:rPr>
              <w:t xml:space="preserve"> under CCA, known TCI state, RRC-based triggering</w:t>
            </w:r>
          </w:p>
          <w:p w:rsidR="00A85E12" w:rsidRPr="00CE4A77" w:rsidRDefault="00A85E12" w:rsidP="00CE4A77">
            <w:pPr>
              <w:overflowPunct w:val="0"/>
              <w:spacing w:after="0"/>
              <w:ind w:left="1440"/>
              <w:rPr>
                <w:rFonts w:eastAsia="Times New Roman"/>
                <w:sz w:val="24"/>
                <w:szCs w:val="24"/>
                <w:lang w:val="en-US" w:eastAsia="zh-CN"/>
              </w:rPr>
            </w:pPr>
          </w:p>
        </w:tc>
      </w:tr>
    </w:tbl>
    <w:p w:rsidR="00CE4A77" w:rsidRDefault="00CE4A77" w:rsidP="0018523E">
      <w:pPr>
        <w:rPr>
          <w:rFonts w:eastAsiaTheme="minorEastAsia"/>
          <w:lang w:val="en-US" w:eastAsia="zh-CN"/>
        </w:rPr>
      </w:pPr>
    </w:p>
    <w:p w:rsidR="007416E8" w:rsidRDefault="00CE4A77" w:rsidP="0018523E">
      <w:pPr>
        <w:rPr>
          <w:rFonts w:eastAsiaTheme="minorEastAsia"/>
          <w:lang w:val="en-US" w:eastAsia="zh-CN"/>
        </w:rPr>
      </w:pPr>
      <w:r>
        <w:rPr>
          <w:rFonts w:eastAsiaTheme="minorEastAsia"/>
          <w:lang w:val="en-US" w:eastAsia="zh-CN"/>
        </w:rPr>
        <w:t xml:space="preserve">For the legacy test cases, we only define TCI state switching test cases for FR2 for SA and EN-DC. </w:t>
      </w:r>
      <w:r w:rsidR="00A85E12">
        <w:rPr>
          <w:rFonts w:eastAsiaTheme="minorEastAsia"/>
          <w:lang w:val="en-US" w:eastAsia="zh-CN"/>
        </w:rPr>
        <w:t>In each test cases, UE is configured with 2 different TCI states QCL-</w:t>
      </w:r>
      <w:proofErr w:type="spellStart"/>
      <w:r w:rsidR="00A85E12">
        <w:rPr>
          <w:rFonts w:eastAsiaTheme="minorEastAsia"/>
          <w:lang w:val="en-US" w:eastAsia="zh-CN"/>
        </w:rPr>
        <w:t>ed</w:t>
      </w:r>
      <w:proofErr w:type="spellEnd"/>
      <w:r w:rsidR="00A85E12">
        <w:rPr>
          <w:rFonts w:eastAsiaTheme="minorEastAsia"/>
          <w:lang w:val="en-US" w:eastAsia="zh-CN"/>
        </w:rPr>
        <w:t xml:space="preserve"> to different SSB index. UE is indicated </w:t>
      </w:r>
      <w:r w:rsidR="0050787C">
        <w:rPr>
          <w:rFonts w:eastAsiaTheme="minorEastAsia"/>
          <w:lang w:val="en-US" w:eastAsia="zh-CN"/>
        </w:rPr>
        <w:t xml:space="preserve">with </w:t>
      </w:r>
      <w:r w:rsidR="00A85E12">
        <w:rPr>
          <w:rFonts w:eastAsiaTheme="minorEastAsia"/>
          <w:lang w:val="en-US" w:eastAsia="zh-CN"/>
        </w:rPr>
        <w:t xml:space="preserve">the TCI switching command within 1280ms </w:t>
      </w:r>
      <w:r w:rsidR="0050787C">
        <w:rPr>
          <w:rFonts w:eastAsiaTheme="minorEastAsia"/>
          <w:lang w:val="en-US" w:eastAsia="zh-CN"/>
        </w:rPr>
        <w:t>from</w:t>
      </w:r>
      <w:r w:rsidR="00A85E12">
        <w:rPr>
          <w:rFonts w:eastAsiaTheme="minorEastAsia"/>
          <w:lang w:val="en-US" w:eastAsia="zh-CN"/>
        </w:rPr>
        <w:t xml:space="preserve"> UE providing the L1-RSRP</w:t>
      </w:r>
      <w:r w:rsidR="0050787C">
        <w:rPr>
          <w:rFonts w:eastAsiaTheme="minorEastAsia"/>
          <w:lang w:val="en-US" w:eastAsia="zh-CN"/>
        </w:rPr>
        <w:t xml:space="preserve"> report</w:t>
      </w:r>
      <w:r w:rsidR="00A85E12">
        <w:rPr>
          <w:rFonts w:eastAsiaTheme="minorEastAsia"/>
          <w:lang w:val="en-US" w:eastAsia="zh-CN"/>
        </w:rPr>
        <w:t xml:space="preserve"> to test the TCI state switch for a known TCI state. The two TCI </w:t>
      </w:r>
      <w:r w:rsidR="008D5258">
        <w:rPr>
          <w:rFonts w:eastAsiaTheme="minorEastAsia"/>
          <w:lang w:val="en-US" w:eastAsia="zh-CN"/>
        </w:rPr>
        <w:t xml:space="preserve">states indicate two different </w:t>
      </w:r>
      <w:proofErr w:type="spellStart"/>
      <w:r w:rsidR="008D5258">
        <w:rPr>
          <w:rFonts w:eastAsiaTheme="minorEastAsia"/>
          <w:lang w:val="en-US" w:eastAsia="zh-CN"/>
        </w:rPr>
        <w:t>AoAs</w:t>
      </w:r>
      <w:proofErr w:type="spellEnd"/>
      <w:r w:rsidR="008D5258">
        <w:rPr>
          <w:rFonts w:eastAsiaTheme="minorEastAsia"/>
          <w:lang w:val="en-US" w:eastAsia="zh-CN"/>
        </w:rPr>
        <w:t xml:space="preserve"> (QCL type D). The UE is required to </w:t>
      </w:r>
      <w:r w:rsidR="0050787C">
        <w:rPr>
          <w:rFonts w:eastAsiaTheme="minorEastAsia"/>
          <w:lang w:val="en-US" w:eastAsia="zh-CN"/>
        </w:rPr>
        <w:t>do reception</w:t>
      </w:r>
      <w:r w:rsidR="008D5258">
        <w:rPr>
          <w:rFonts w:eastAsiaTheme="minorEastAsia"/>
          <w:lang w:val="en-US" w:eastAsia="zh-CN"/>
        </w:rPr>
        <w:t xml:space="preserve"> using the old/new TCI according to the requirements. However for NR-U, the operating b</w:t>
      </w:r>
      <w:r w:rsidR="007416E8">
        <w:rPr>
          <w:rFonts w:eastAsiaTheme="minorEastAsia"/>
          <w:lang w:val="en-US" w:eastAsia="zh-CN"/>
        </w:rPr>
        <w:t xml:space="preserve">and is in FR1 where type D is not involved in the TCI states, the legacy approach to test the TCI state switching is not suitable for NR-U. </w:t>
      </w:r>
    </w:p>
    <w:p w:rsidR="00CE4A77" w:rsidRDefault="0087531D" w:rsidP="0018523E">
      <w:pPr>
        <w:rPr>
          <w:rFonts w:eastAsiaTheme="minorEastAsia"/>
          <w:lang w:val="en-US" w:eastAsia="zh-CN"/>
        </w:rPr>
      </w:pPr>
      <w:r>
        <w:rPr>
          <w:rFonts w:eastAsiaTheme="minorEastAsia"/>
          <w:lang w:val="en-US" w:eastAsia="zh-CN"/>
        </w:rPr>
        <w:t xml:space="preserve">The TCI states in FR1 only represent the time and frequency shifting and spread, then the TCI state switching may indicate UE shall receive the PDCCH or PDSCH using the time/frequency characteristics according to the RS in the TCI state. </w:t>
      </w:r>
      <w:r w:rsidR="00FD2D17">
        <w:rPr>
          <w:rFonts w:eastAsiaTheme="minorEastAsia"/>
          <w:lang w:val="en-US" w:eastAsia="zh-CN"/>
        </w:rPr>
        <w:t>To verify the performance of TCI state switching, it is suggested to introduce timing difference between the two RS in the two TCI states</w:t>
      </w:r>
      <w:r w:rsidR="003E5A54">
        <w:rPr>
          <w:rFonts w:eastAsiaTheme="minorEastAsia"/>
          <w:lang w:val="en-US" w:eastAsia="zh-CN"/>
        </w:rPr>
        <w:t>, which may be caused by different paths</w:t>
      </w:r>
      <w:r w:rsidR="00FD2D17">
        <w:rPr>
          <w:rFonts w:eastAsiaTheme="minorEastAsia"/>
          <w:lang w:val="en-US" w:eastAsia="zh-CN"/>
        </w:rPr>
        <w:t xml:space="preserve">. </w:t>
      </w:r>
    </w:p>
    <w:p w:rsidR="00FD2D17" w:rsidRPr="00A8543F" w:rsidRDefault="00FD2D17" w:rsidP="0018523E">
      <w:pPr>
        <w:rPr>
          <w:rFonts w:eastAsiaTheme="minorEastAsia"/>
          <w:b/>
          <w:lang w:val="en-US" w:eastAsia="zh-CN"/>
        </w:rPr>
      </w:pPr>
      <w:r w:rsidRPr="00A8543F">
        <w:rPr>
          <w:rFonts w:eastAsiaTheme="minorEastAsia"/>
          <w:b/>
          <w:lang w:val="en-US" w:eastAsia="zh-CN"/>
        </w:rPr>
        <w:t>Observation 1: Introduce the timing different between the RS in the two TCI states.</w:t>
      </w:r>
    </w:p>
    <w:p w:rsidR="00FD2D17" w:rsidRDefault="00FD2D17" w:rsidP="0018523E">
      <w:pPr>
        <w:rPr>
          <w:rFonts w:eastAsiaTheme="minorEastAsia"/>
          <w:lang w:val="en-US" w:eastAsia="zh-CN"/>
        </w:rPr>
      </w:pPr>
      <w:r>
        <w:rPr>
          <w:rFonts w:eastAsiaTheme="minorEastAsia"/>
          <w:lang w:val="en-US" w:eastAsia="zh-CN"/>
        </w:rPr>
        <w:t>It</w:t>
      </w:r>
      <w:r w:rsidR="00AE270C">
        <w:rPr>
          <w:rFonts w:eastAsiaTheme="minorEastAsia"/>
          <w:lang w:val="en-US" w:eastAsia="zh-CN"/>
        </w:rPr>
        <w:t xml:space="preserve"> means UE shall be able to receive PDCCH using the old TCI states, and when receiving the TCI state switching command, the UE shall implement the new TCI states</w:t>
      </w:r>
      <w:r w:rsidR="00A8543F">
        <w:rPr>
          <w:rFonts w:eastAsiaTheme="minorEastAsia"/>
          <w:lang w:val="en-US" w:eastAsia="zh-CN"/>
        </w:rPr>
        <w:t xml:space="preserve"> according to the delay requirements</w:t>
      </w:r>
      <w:r w:rsidR="00AE270C">
        <w:rPr>
          <w:rFonts w:eastAsiaTheme="minorEastAsia"/>
          <w:lang w:val="en-US" w:eastAsia="zh-CN"/>
        </w:rPr>
        <w:t xml:space="preserve"> and the PDCCH transmission shall following the timing of the RS in the new TCI states. </w:t>
      </w:r>
      <w:r w:rsidR="00A8543F">
        <w:rPr>
          <w:rFonts w:eastAsiaTheme="minorEastAsia"/>
          <w:lang w:val="en-US" w:eastAsia="zh-CN"/>
        </w:rPr>
        <w:t>However, the question is how to determine the exact time difference in the test cases. The purpose is to guarantee that the PDDCH could only detected by implementing the new TCI state. However, it is related to the demodulation performance and also may be different from different implementations. Then it is sugg</w:t>
      </w:r>
      <w:r w:rsidR="003E5A54">
        <w:rPr>
          <w:rFonts w:eastAsiaTheme="minorEastAsia"/>
          <w:lang w:val="en-US" w:eastAsia="zh-CN"/>
        </w:rPr>
        <w:t>ested to further discuss the exact value of the time difference used in the test cases.</w:t>
      </w:r>
    </w:p>
    <w:p w:rsidR="00CE4A77" w:rsidRPr="00FF2E1C" w:rsidRDefault="003E5A54" w:rsidP="0018523E">
      <w:pPr>
        <w:rPr>
          <w:rFonts w:eastAsiaTheme="minorEastAsia"/>
          <w:b/>
          <w:lang w:val="en-US" w:eastAsia="zh-CN"/>
        </w:rPr>
      </w:pPr>
      <w:r w:rsidRPr="00FF2E1C">
        <w:rPr>
          <w:rFonts w:eastAsiaTheme="minorEastAsia"/>
          <w:b/>
          <w:lang w:val="en-US" w:eastAsia="zh-CN"/>
        </w:rPr>
        <w:t xml:space="preserve">Proposal 1: </w:t>
      </w:r>
      <w:r w:rsidR="00FF2E1C" w:rsidRPr="00FF2E1C">
        <w:rPr>
          <w:rFonts w:eastAsiaTheme="minorEastAsia"/>
          <w:b/>
          <w:lang w:val="en-US" w:eastAsia="zh-CN"/>
        </w:rPr>
        <w:t>Introduce the timing different between the RS in the two TCI states in the TCI state switching test cases, where the exact value needs further discussion.</w:t>
      </w:r>
    </w:p>
    <w:p w:rsidR="00DF0231" w:rsidRPr="002D2977" w:rsidRDefault="00DF0231" w:rsidP="00DF0231">
      <w:pPr>
        <w:pStyle w:val="1"/>
        <w:numPr>
          <w:ilvl w:val="0"/>
          <w:numId w:val="1"/>
        </w:numPr>
        <w:rPr>
          <w:lang w:val="en-US"/>
        </w:rPr>
      </w:pPr>
      <w:r w:rsidRPr="002D2977">
        <w:rPr>
          <w:lang w:val="en-US"/>
        </w:rPr>
        <w:lastRenderedPageBreak/>
        <w:t>Conclusions</w:t>
      </w:r>
    </w:p>
    <w:p w:rsidR="00FF2E1C" w:rsidRPr="00FF2E1C" w:rsidRDefault="00FF2E1C" w:rsidP="00FF2E1C">
      <w:pPr>
        <w:rPr>
          <w:rFonts w:eastAsia="宋体"/>
          <w:b/>
          <w:lang w:val="en-US" w:eastAsia="zh-CN"/>
        </w:rPr>
      </w:pPr>
      <w:r w:rsidRPr="00FF2E1C">
        <w:rPr>
          <w:rFonts w:eastAsia="宋体"/>
          <w:b/>
          <w:lang w:val="en-US" w:eastAsia="zh-CN"/>
        </w:rPr>
        <w:t>Observation 1: Introduce the timing different between the RS in the two TCI states.</w:t>
      </w:r>
    </w:p>
    <w:p w:rsidR="00CE4A77" w:rsidRPr="00FF2E1C" w:rsidRDefault="00FF2E1C" w:rsidP="00FF2E1C">
      <w:pPr>
        <w:rPr>
          <w:rFonts w:eastAsia="宋体"/>
          <w:b/>
          <w:lang w:val="en-US" w:eastAsia="zh-CN"/>
        </w:rPr>
      </w:pPr>
      <w:r w:rsidRPr="00FF2E1C">
        <w:rPr>
          <w:rFonts w:eastAsia="宋体"/>
          <w:b/>
          <w:lang w:val="en-US" w:eastAsia="zh-CN"/>
        </w:rPr>
        <w:t>Proposal 1: Introduce the timing different between the RS in the two TCI states in the TCI state switching test cases, where the exact value needs further discussion.</w:t>
      </w:r>
    </w:p>
    <w:p w:rsidR="00DF0231" w:rsidRPr="002D2977" w:rsidRDefault="00DF0231" w:rsidP="00DF0231">
      <w:pPr>
        <w:pStyle w:val="1"/>
        <w:tabs>
          <w:tab w:val="clear" w:pos="432"/>
        </w:tabs>
        <w:ind w:left="0" w:firstLine="0"/>
        <w:rPr>
          <w:lang w:val="en-US"/>
        </w:rPr>
      </w:pPr>
      <w:r w:rsidRPr="002D2977">
        <w:rPr>
          <w:lang w:val="en-US"/>
        </w:rPr>
        <w:t>References</w:t>
      </w:r>
    </w:p>
    <w:p w:rsidR="00A7739E" w:rsidRPr="00F34526" w:rsidRDefault="00A7739E" w:rsidP="000C2147">
      <w:pPr>
        <w:rPr>
          <w:lang w:val="en-US"/>
        </w:rPr>
      </w:pPr>
      <w:r>
        <w:rPr>
          <w:lang w:val="en-US"/>
        </w:rPr>
        <w:t>[</w:t>
      </w:r>
      <w:r w:rsidR="00067A48">
        <w:rPr>
          <w:lang w:val="en-US"/>
        </w:rPr>
        <w:t>1</w:t>
      </w:r>
      <w:r>
        <w:rPr>
          <w:lang w:val="en-US"/>
        </w:rPr>
        <w:t xml:space="preserve">] </w:t>
      </w:r>
      <w:r w:rsidR="00C87BB4" w:rsidRPr="00C87BB4">
        <w:t>R4-2103518</w:t>
      </w:r>
      <w:r w:rsidR="00C87BB4">
        <w:t xml:space="preserve"> </w:t>
      </w:r>
      <w:r w:rsidR="00C87BB4" w:rsidRPr="00C87BB4">
        <w:t>WF on general test configurations for NR-U RRM performance requirements</w:t>
      </w:r>
      <w:r w:rsidR="00F34526">
        <w:t xml:space="preserve">, </w:t>
      </w:r>
      <w:r w:rsidR="00C87BB4" w:rsidRPr="00C87BB4">
        <w:rPr>
          <w:lang w:val="en-US"/>
        </w:rPr>
        <w:t>Nokia, Nokia Shanghai Bell</w:t>
      </w:r>
    </w:p>
    <w:p w:rsidR="00067A48" w:rsidRDefault="00067A48" w:rsidP="000C2147">
      <w:r>
        <w:t xml:space="preserve">[2] </w:t>
      </w:r>
      <w:r w:rsidR="00C87BB4" w:rsidRPr="00C87BB4">
        <w:t>R4-2104088</w:t>
      </w:r>
      <w:r w:rsidR="00C87BB4">
        <w:t xml:space="preserve"> </w:t>
      </w:r>
      <w:r w:rsidR="00C87BB4" w:rsidRPr="00C87BB4">
        <w:t>WF on LBT models for NR-U RRM performance requirements</w:t>
      </w:r>
      <w:r w:rsidR="008C398B">
        <w:t xml:space="preserve">, </w:t>
      </w:r>
      <w:r w:rsidR="00C87BB4" w:rsidRPr="00C87BB4">
        <w:t>Qualcomm</w:t>
      </w:r>
    </w:p>
    <w:p w:rsidR="000D1A1A" w:rsidRPr="000D1A1A" w:rsidRDefault="000D1A1A" w:rsidP="000C2147">
      <w:pPr>
        <w:rPr>
          <w:lang w:val="en-US"/>
        </w:rPr>
      </w:pPr>
      <w:r>
        <w:t>[3]</w:t>
      </w:r>
      <w:r w:rsidRPr="000D1A1A">
        <w:t xml:space="preserve"> R4-2103520</w:t>
      </w:r>
      <w:r>
        <w:t xml:space="preserve"> </w:t>
      </w:r>
      <w:r w:rsidRPr="000D1A1A">
        <w:t>WF on test configurations for NR-U RRM performance requirements</w:t>
      </w:r>
      <w:r>
        <w:t xml:space="preserve">, </w:t>
      </w:r>
      <w:r w:rsidRPr="000D1A1A">
        <w:t>Ericsson</w:t>
      </w:r>
    </w:p>
    <w:p w:rsidR="000D1A1A" w:rsidRDefault="000D1A1A" w:rsidP="000C2147">
      <w:r>
        <w:t>[4]</w:t>
      </w:r>
      <w:r w:rsidRPr="000D1A1A">
        <w:t xml:space="preserve"> R4-2103523</w:t>
      </w:r>
      <w:r>
        <w:t xml:space="preserve"> </w:t>
      </w:r>
      <w:r w:rsidRPr="000D1A1A">
        <w:t>Updated test case list for NR-U</w:t>
      </w:r>
      <w:r>
        <w:t xml:space="preserve">, </w:t>
      </w:r>
      <w:r w:rsidRPr="000D1A1A">
        <w:t>Ericsson</w:t>
      </w:r>
    </w:p>
    <w:p w:rsidR="008F67CF" w:rsidRDefault="008F67CF" w:rsidP="000C2147">
      <w:r>
        <w:t>[</w:t>
      </w:r>
      <w:r w:rsidR="000D1A1A">
        <w:t>5</w:t>
      </w:r>
      <w:r>
        <w:t xml:space="preserve">] </w:t>
      </w:r>
      <w:r w:rsidR="00C87BB4" w:rsidRPr="00C87BB4">
        <w:t>R4-2103532</w:t>
      </w:r>
      <w:r w:rsidR="00C87BB4">
        <w:t xml:space="preserve"> </w:t>
      </w:r>
      <w:r w:rsidR="00C87BB4" w:rsidRPr="00C87BB4">
        <w:t>Draft Big CR: Introduction of Rel-16 NR-U RRM performance requirements</w:t>
      </w:r>
      <w:r w:rsidR="00C87BB4">
        <w:t xml:space="preserve">, </w:t>
      </w:r>
      <w:r w:rsidR="00C87BB4" w:rsidRPr="00C87BB4">
        <w:t>Ericsson</w:t>
      </w:r>
    </w:p>
    <w:p w:rsidR="00BA4C0A" w:rsidRPr="00E17E17" w:rsidRDefault="00BA4C0A">
      <w:pPr>
        <w:rPr>
          <w:lang w:val="en-US"/>
        </w:rPr>
      </w:pP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654" w:rsidRDefault="00305654">
      <w:pPr>
        <w:spacing w:after="0"/>
      </w:pPr>
      <w:r>
        <w:separator/>
      </w:r>
    </w:p>
  </w:endnote>
  <w:endnote w:type="continuationSeparator" w:id="0">
    <w:p w:rsidR="00305654" w:rsidRDefault="00305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2B2" w:rsidRDefault="00FD02B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FD02B2" w:rsidRDefault="00FD02B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2B2" w:rsidRDefault="00FD02B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01AF4">
      <w:rPr>
        <w:rStyle w:val="a5"/>
      </w:rPr>
      <w:t>1</w:t>
    </w:r>
    <w:r>
      <w:rPr>
        <w:rStyle w:val="a5"/>
      </w:rPr>
      <w:fldChar w:fldCharType="end"/>
    </w:r>
  </w:p>
  <w:p w:rsidR="00FD02B2" w:rsidRDefault="00FD02B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654" w:rsidRDefault="00305654">
      <w:pPr>
        <w:spacing w:after="0"/>
      </w:pPr>
      <w:r>
        <w:separator/>
      </w:r>
    </w:p>
  </w:footnote>
  <w:footnote w:type="continuationSeparator" w:id="0">
    <w:p w:rsidR="00305654" w:rsidRDefault="0030565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357C76"/>
    <w:multiLevelType w:val="hybridMultilevel"/>
    <w:tmpl w:val="67CA414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0"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516F57"/>
    <w:multiLevelType w:val="hybridMultilevel"/>
    <w:tmpl w:val="BDBA1C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D1231C"/>
    <w:multiLevelType w:val="hybridMultilevel"/>
    <w:tmpl w:val="526C58C4"/>
    <w:lvl w:ilvl="0" w:tplc="9C20070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6"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E96DE2"/>
    <w:multiLevelType w:val="hybridMultilevel"/>
    <w:tmpl w:val="7C72A636"/>
    <w:lvl w:ilvl="0" w:tplc="D83C3608">
      <w:start w:val="1"/>
      <w:numFmt w:val="bullet"/>
      <w:lvlText w:val="•"/>
      <w:lvlJc w:val="left"/>
      <w:pPr>
        <w:tabs>
          <w:tab w:val="num" w:pos="720"/>
        </w:tabs>
        <w:ind w:left="720" w:hanging="360"/>
      </w:pPr>
      <w:rPr>
        <w:rFonts w:ascii="Arial" w:hAnsi="Arial" w:hint="default"/>
      </w:rPr>
    </w:lvl>
    <w:lvl w:ilvl="1" w:tplc="59267200" w:tentative="1">
      <w:start w:val="1"/>
      <w:numFmt w:val="bullet"/>
      <w:lvlText w:val="•"/>
      <w:lvlJc w:val="left"/>
      <w:pPr>
        <w:tabs>
          <w:tab w:val="num" w:pos="1440"/>
        </w:tabs>
        <w:ind w:left="1440" w:hanging="360"/>
      </w:pPr>
      <w:rPr>
        <w:rFonts w:ascii="Arial" w:hAnsi="Arial" w:hint="default"/>
      </w:rPr>
    </w:lvl>
    <w:lvl w:ilvl="2" w:tplc="F0EE74B4" w:tentative="1">
      <w:start w:val="1"/>
      <w:numFmt w:val="bullet"/>
      <w:lvlText w:val="•"/>
      <w:lvlJc w:val="left"/>
      <w:pPr>
        <w:tabs>
          <w:tab w:val="num" w:pos="2160"/>
        </w:tabs>
        <w:ind w:left="2160" w:hanging="360"/>
      </w:pPr>
      <w:rPr>
        <w:rFonts w:ascii="Arial" w:hAnsi="Arial" w:hint="default"/>
      </w:rPr>
    </w:lvl>
    <w:lvl w:ilvl="3" w:tplc="8A288C64" w:tentative="1">
      <w:start w:val="1"/>
      <w:numFmt w:val="bullet"/>
      <w:lvlText w:val="•"/>
      <w:lvlJc w:val="left"/>
      <w:pPr>
        <w:tabs>
          <w:tab w:val="num" w:pos="2880"/>
        </w:tabs>
        <w:ind w:left="2880" w:hanging="360"/>
      </w:pPr>
      <w:rPr>
        <w:rFonts w:ascii="Arial" w:hAnsi="Arial" w:hint="default"/>
      </w:rPr>
    </w:lvl>
    <w:lvl w:ilvl="4" w:tplc="3D8ED504" w:tentative="1">
      <w:start w:val="1"/>
      <w:numFmt w:val="bullet"/>
      <w:lvlText w:val="•"/>
      <w:lvlJc w:val="left"/>
      <w:pPr>
        <w:tabs>
          <w:tab w:val="num" w:pos="3600"/>
        </w:tabs>
        <w:ind w:left="3600" w:hanging="360"/>
      </w:pPr>
      <w:rPr>
        <w:rFonts w:ascii="Arial" w:hAnsi="Arial" w:hint="default"/>
      </w:rPr>
    </w:lvl>
    <w:lvl w:ilvl="5" w:tplc="863C2792" w:tentative="1">
      <w:start w:val="1"/>
      <w:numFmt w:val="bullet"/>
      <w:lvlText w:val="•"/>
      <w:lvlJc w:val="left"/>
      <w:pPr>
        <w:tabs>
          <w:tab w:val="num" w:pos="4320"/>
        </w:tabs>
        <w:ind w:left="4320" w:hanging="360"/>
      </w:pPr>
      <w:rPr>
        <w:rFonts w:ascii="Arial" w:hAnsi="Arial" w:hint="default"/>
      </w:rPr>
    </w:lvl>
    <w:lvl w:ilvl="6" w:tplc="6CB4D35E" w:tentative="1">
      <w:start w:val="1"/>
      <w:numFmt w:val="bullet"/>
      <w:lvlText w:val="•"/>
      <w:lvlJc w:val="left"/>
      <w:pPr>
        <w:tabs>
          <w:tab w:val="num" w:pos="5040"/>
        </w:tabs>
        <w:ind w:left="5040" w:hanging="360"/>
      </w:pPr>
      <w:rPr>
        <w:rFonts w:ascii="Arial" w:hAnsi="Arial" w:hint="default"/>
      </w:rPr>
    </w:lvl>
    <w:lvl w:ilvl="7" w:tplc="5742D418" w:tentative="1">
      <w:start w:val="1"/>
      <w:numFmt w:val="bullet"/>
      <w:lvlText w:val="•"/>
      <w:lvlJc w:val="left"/>
      <w:pPr>
        <w:tabs>
          <w:tab w:val="num" w:pos="5760"/>
        </w:tabs>
        <w:ind w:left="5760" w:hanging="360"/>
      </w:pPr>
      <w:rPr>
        <w:rFonts w:ascii="Arial" w:hAnsi="Arial" w:hint="default"/>
      </w:rPr>
    </w:lvl>
    <w:lvl w:ilvl="8" w:tplc="41FCBFB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42"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BE7B36"/>
    <w:multiLevelType w:val="hybridMultilevel"/>
    <w:tmpl w:val="1286F638"/>
    <w:lvl w:ilvl="0" w:tplc="0409000F">
      <w:start w:val="1"/>
      <w:numFmt w:val="decimal"/>
      <w:lvlText w:val="%1."/>
      <w:lvlJc w:val="left"/>
      <w:pPr>
        <w:tabs>
          <w:tab w:val="num" w:pos="737"/>
        </w:tabs>
        <w:ind w:left="737" w:hanging="453"/>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6"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1"/>
  </w:num>
  <w:num w:numId="3">
    <w:abstractNumId w:val="40"/>
  </w:num>
  <w:num w:numId="4">
    <w:abstractNumId w:val="45"/>
  </w:num>
  <w:num w:numId="5">
    <w:abstractNumId w:val="31"/>
  </w:num>
  <w:num w:numId="6">
    <w:abstractNumId w:val="15"/>
  </w:num>
  <w:num w:numId="7">
    <w:abstractNumId w:val="27"/>
  </w:num>
  <w:num w:numId="8">
    <w:abstractNumId w:val="4"/>
  </w:num>
  <w:num w:numId="9">
    <w:abstractNumId w:val="13"/>
  </w:num>
  <w:num w:numId="10">
    <w:abstractNumId w:val="7"/>
  </w:num>
  <w:num w:numId="11">
    <w:abstractNumId w:val="17"/>
  </w:num>
  <w:num w:numId="12">
    <w:abstractNumId w:val="21"/>
  </w:num>
  <w:num w:numId="13">
    <w:abstractNumId w:val="20"/>
  </w:num>
  <w:num w:numId="14">
    <w:abstractNumId w:val="16"/>
  </w:num>
  <w:num w:numId="15">
    <w:abstractNumId w:val="38"/>
  </w:num>
  <w:num w:numId="16">
    <w:abstractNumId w:val="6"/>
  </w:num>
  <w:num w:numId="17">
    <w:abstractNumId w:val="5"/>
  </w:num>
  <w:num w:numId="18">
    <w:abstractNumId w:val="18"/>
  </w:num>
  <w:num w:numId="19">
    <w:abstractNumId w:val="36"/>
  </w:num>
  <w:num w:numId="20">
    <w:abstractNumId w:val="33"/>
  </w:num>
  <w:num w:numId="21">
    <w:abstractNumId w:val="3"/>
  </w:num>
  <w:num w:numId="22">
    <w:abstractNumId w:val="10"/>
  </w:num>
  <w:num w:numId="23">
    <w:abstractNumId w:val="24"/>
  </w:num>
  <w:num w:numId="24">
    <w:abstractNumId w:val="22"/>
  </w:num>
  <w:num w:numId="25">
    <w:abstractNumId w:val="30"/>
  </w:num>
  <w:num w:numId="26">
    <w:abstractNumId w:val="42"/>
  </w:num>
  <w:num w:numId="27">
    <w:abstractNumId w:val="34"/>
  </w:num>
  <w:num w:numId="28">
    <w:abstractNumId w:val="44"/>
  </w:num>
  <w:num w:numId="29">
    <w:abstractNumId w:val="26"/>
  </w:num>
  <w:num w:numId="30">
    <w:abstractNumId w:val="8"/>
  </w:num>
  <w:num w:numId="31">
    <w:abstractNumId w:val="11"/>
  </w:num>
  <w:num w:numId="32">
    <w:abstractNumId w:val="0"/>
  </w:num>
  <w:num w:numId="33">
    <w:abstractNumId w:val="29"/>
  </w:num>
  <w:num w:numId="34">
    <w:abstractNumId w:val="46"/>
  </w:num>
  <w:num w:numId="35">
    <w:abstractNumId w:val="12"/>
  </w:num>
  <w:num w:numId="36">
    <w:abstractNumId w:val="32"/>
  </w:num>
  <w:num w:numId="37">
    <w:abstractNumId w:val="35"/>
  </w:num>
  <w:num w:numId="38">
    <w:abstractNumId w:val="41"/>
  </w:num>
  <w:num w:numId="39">
    <w:abstractNumId w:val="2"/>
  </w:num>
  <w:num w:numId="40">
    <w:abstractNumId w:val="39"/>
  </w:num>
  <w:num w:numId="41">
    <w:abstractNumId w:val="19"/>
  </w:num>
  <w:num w:numId="42">
    <w:abstractNumId w:val="14"/>
  </w:num>
  <w:num w:numId="43">
    <w:abstractNumId w:val="37"/>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9"/>
  </w:num>
  <w:num w:numId="47">
    <w:abstractNumId w:val="4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A48"/>
    <w:rsid w:val="00067B89"/>
    <w:rsid w:val="00076C0A"/>
    <w:rsid w:val="000903D2"/>
    <w:rsid w:val="000A1878"/>
    <w:rsid w:val="000A2ED7"/>
    <w:rsid w:val="000A42C3"/>
    <w:rsid w:val="000A4BCB"/>
    <w:rsid w:val="000A7A19"/>
    <w:rsid w:val="000C2147"/>
    <w:rsid w:val="000D1A1A"/>
    <w:rsid w:val="000D2930"/>
    <w:rsid w:val="000E0A8A"/>
    <w:rsid w:val="000E2C03"/>
    <w:rsid w:val="000F17A0"/>
    <w:rsid w:val="0010016B"/>
    <w:rsid w:val="00100360"/>
    <w:rsid w:val="0011207E"/>
    <w:rsid w:val="001230FF"/>
    <w:rsid w:val="001365E9"/>
    <w:rsid w:val="0014128A"/>
    <w:rsid w:val="00141870"/>
    <w:rsid w:val="0017747E"/>
    <w:rsid w:val="0018523E"/>
    <w:rsid w:val="001A1E7C"/>
    <w:rsid w:val="001C6A9D"/>
    <w:rsid w:val="001D3006"/>
    <w:rsid w:val="001E7174"/>
    <w:rsid w:val="0020033A"/>
    <w:rsid w:val="00216AAB"/>
    <w:rsid w:val="002221AC"/>
    <w:rsid w:val="00222A85"/>
    <w:rsid w:val="00222AF7"/>
    <w:rsid w:val="002328DD"/>
    <w:rsid w:val="00243552"/>
    <w:rsid w:val="00245810"/>
    <w:rsid w:val="00254F38"/>
    <w:rsid w:val="00272F1F"/>
    <w:rsid w:val="0027365E"/>
    <w:rsid w:val="002736F0"/>
    <w:rsid w:val="00282D3C"/>
    <w:rsid w:val="00294B79"/>
    <w:rsid w:val="002A235C"/>
    <w:rsid w:val="002A5E54"/>
    <w:rsid w:val="002B45C3"/>
    <w:rsid w:val="002E668C"/>
    <w:rsid w:val="002F579F"/>
    <w:rsid w:val="00305654"/>
    <w:rsid w:val="00311CF9"/>
    <w:rsid w:val="003158EC"/>
    <w:rsid w:val="00321181"/>
    <w:rsid w:val="00336939"/>
    <w:rsid w:val="00356FB6"/>
    <w:rsid w:val="003622B2"/>
    <w:rsid w:val="003664ED"/>
    <w:rsid w:val="00366D97"/>
    <w:rsid w:val="00377D59"/>
    <w:rsid w:val="0038462A"/>
    <w:rsid w:val="00391FFD"/>
    <w:rsid w:val="003A10A7"/>
    <w:rsid w:val="003A5CBC"/>
    <w:rsid w:val="003A5E2B"/>
    <w:rsid w:val="003E5A54"/>
    <w:rsid w:val="003E7C96"/>
    <w:rsid w:val="003F762D"/>
    <w:rsid w:val="00401473"/>
    <w:rsid w:val="00401AF4"/>
    <w:rsid w:val="00415933"/>
    <w:rsid w:val="00430F24"/>
    <w:rsid w:val="00435EBD"/>
    <w:rsid w:val="00451B80"/>
    <w:rsid w:val="00455FD0"/>
    <w:rsid w:val="00466D02"/>
    <w:rsid w:val="00477263"/>
    <w:rsid w:val="0049501A"/>
    <w:rsid w:val="00497D4A"/>
    <w:rsid w:val="004A678E"/>
    <w:rsid w:val="004A7CF2"/>
    <w:rsid w:val="004B1ECE"/>
    <w:rsid w:val="004B4633"/>
    <w:rsid w:val="004C4868"/>
    <w:rsid w:val="004D3C97"/>
    <w:rsid w:val="004E3732"/>
    <w:rsid w:val="004E492B"/>
    <w:rsid w:val="004E4EB1"/>
    <w:rsid w:val="004F0167"/>
    <w:rsid w:val="0050787C"/>
    <w:rsid w:val="005235DB"/>
    <w:rsid w:val="00530EB0"/>
    <w:rsid w:val="005375AA"/>
    <w:rsid w:val="005409B9"/>
    <w:rsid w:val="00545EC2"/>
    <w:rsid w:val="0054734A"/>
    <w:rsid w:val="00557527"/>
    <w:rsid w:val="005763DF"/>
    <w:rsid w:val="005A456B"/>
    <w:rsid w:val="005B0D68"/>
    <w:rsid w:val="005B6053"/>
    <w:rsid w:val="005D231A"/>
    <w:rsid w:val="005D3DC0"/>
    <w:rsid w:val="005E4CCD"/>
    <w:rsid w:val="005F5231"/>
    <w:rsid w:val="00604490"/>
    <w:rsid w:val="0061679F"/>
    <w:rsid w:val="00630C50"/>
    <w:rsid w:val="00672FCE"/>
    <w:rsid w:val="006A68E5"/>
    <w:rsid w:val="006C4BDB"/>
    <w:rsid w:val="006D43CD"/>
    <w:rsid w:val="006D7325"/>
    <w:rsid w:val="006F1BAF"/>
    <w:rsid w:val="006F27CD"/>
    <w:rsid w:val="00701598"/>
    <w:rsid w:val="00702FA5"/>
    <w:rsid w:val="00712608"/>
    <w:rsid w:val="00714064"/>
    <w:rsid w:val="007200C7"/>
    <w:rsid w:val="00723883"/>
    <w:rsid w:val="00732D90"/>
    <w:rsid w:val="00736D84"/>
    <w:rsid w:val="007416E8"/>
    <w:rsid w:val="00766048"/>
    <w:rsid w:val="0077159B"/>
    <w:rsid w:val="00784833"/>
    <w:rsid w:val="00786C50"/>
    <w:rsid w:val="007902A8"/>
    <w:rsid w:val="007A37DA"/>
    <w:rsid w:val="007A52D1"/>
    <w:rsid w:val="007B3DC0"/>
    <w:rsid w:val="007D0DF7"/>
    <w:rsid w:val="007D3409"/>
    <w:rsid w:val="007E2E8A"/>
    <w:rsid w:val="007E5F97"/>
    <w:rsid w:val="007E67EC"/>
    <w:rsid w:val="007F045C"/>
    <w:rsid w:val="007F2E6A"/>
    <w:rsid w:val="007F7E14"/>
    <w:rsid w:val="00804945"/>
    <w:rsid w:val="00807994"/>
    <w:rsid w:val="008408E7"/>
    <w:rsid w:val="008446CE"/>
    <w:rsid w:val="00852630"/>
    <w:rsid w:val="008708B9"/>
    <w:rsid w:val="0087326D"/>
    <w:rsid w:val="00873C1C"/>
    <w:rsid w:val="00873F55"/>
    <w:rsid w:val="0087531D"/>
    <w:rsid w:val="008766C3"/>
    <w:rsid w:val="00876F00"/>
    <w:rsid w:val="008921D4"/>
    <w:rsid w:val="00892EAE"/>
    <w:rsid w:val="00893C66"/>
    <w:rsid w:val="008A1C4E"/>
    <w:rsid w:val="008A2B76"/>
    <w:rsid w:val="008B3970"/>
    <w:rsid w:val="008B4A2C"/>
    <w:rsid w:val="008B4F73"/>
    <w:rsid w:val="008C398B"/>
    <w:rsid w:val="008D2D3D"/>
    <w:rsid w:val="008D5258"/>
    <w:rsid w:val="008D55C5"/>
    <w:rsid w:val="008E2591"/>
    <w:rsid w:val="008F67CF"/>
    <w:rsid w:val="00914A03"/>
    <w:rsid w:val="00915DEA"/>
    <w:rsid w:val="0092374D"/>
    <w:rsid w:val="0092386A"/>
    <w:rsid w:val="00923CC3"/>
    <w:rsid w:val="00931830"/>
    <w:rsid w:val="009450D8"/>
    <w:rsid w:val="00957098"/>
    <w:rsid w:val="009575E6"/>
    <w:rsid w:val="009708D0"/>
    <w:rsid w:val="00972D26"/>
    <w:rsid w:val="009814D6"/>
    <w:rsid w:val="0099102E"/>
    <w:rsid w:val="009968CF"/>
    <w:rsid w:val="009A5118"/>
    <w:rsid w:val="009C17AE"/>
    <w:rsid w:val="009C4E39"/>
    <w:rsid w:val="009C5BBA"/>
    <w:rsid w:val="009C6CB9"/>
    <w:rsid w:val="009C6FD7"/>
    <w:rsid w:val="009C7D5E"/>
    <w:rsid w:val="009D03C6"/>
    <w:rsid w:val="009D1A47"/>
    <w:rsid w:val="009D2942"/>
    <w:rsid w:val="009D4189"/>
    <w:rsid w:val="009D75DF"/>
    <w:rsid w:val="009E6763"/>
    <w:rsid w:val="009E6DC8"/>
    <w:rsid w:val="009F7F10"/>
    <w:rsid w:val="00A1597D"/>
    <w:rsid w:val="00A209E8"/>
    <w:rsid w:val="00A22790"/>
    <w:rsid w:val="00A26AB0"/>
    <w:rsid w:val="00A34913"/>
    <w:rsid w:val="00A35F07"/>
    <w:rsid w:val="00A42E3A"/>
    <w:rsid w:val="00A7739E"/>
    <w:rsid w:val="00A8543F"/>
    <w:rsid w:val="00A85E12"/>
    <w:rsid w:val="00AC2C97"/>
    <w:rsid w:val="00AD426C"/>
    <w:rsid w:val="00AD65F4"/>
    <w:rsid w:val="00AD69AA"/>
    <w:rsid w:val="00AD7502"/>
    <w:rsid w:val="00AE270C"/>
    <w:rsid w:val="00AE6BE0"/>
    <w:rsid w:val="00AF02CB"/>
    <w:rsid w:val="00AF5966"/>
    <w:rsid w:val="00B02A13"/>
    <w:rsid w:val="00B10C6E"/>
    <w:rsid w:val="00B1402B"/>
    <w:rsid w:val="00B22016"/>
    <w:rsid w:val="00B23292"/>
    <w:rsid w:val="00B26D02"/>
    <w:rsid w:val="00B31025"/>
    <w:rsid w:val="00B343A3"/>
    <w:rsid w:val="00B41E6D"/>
    <w:rsid w:val="00B450D5"/>
    <w:rsid w:val="00B71C35"/>
    <w:rsid w:val="00B72BEC"/>
    <w:rsid w:val="00B73A82"/>
    <w:rsid w:val="00B76F4D"/>
    <w:rsid w:val="00B77412"/>
    <w:rsid w:val="00B77752"/>
    <w:rsid w:val="00BA4C0A"/>
    <w:rsid w:val="00BB2A32"/>
    <w:rsid w:val="00BB6484"/>
    <w:rsid w:val="00BC3920"/>
    <w:rsid w:val="00BC47AB"/>
    <w:rsid w:val="00BC4F23"/>
    <w:rsid w:val="00BD2AB1"/>
    <w:rsid w:val="00BE09C1"/>
    <w:rsid w:val="00BE1FD4"/>
    <w:rsid w:val="00BE677A"/>
    <w:rsid w:val="00BE6A2E"/>
    <w:rsid w:val="00BF00A7"/>
    <w:rsid w:val="00BF33D9"/>
    <w:rsid w:val="00C11B10"/>
    <w:rsid w:val="00C15E40"/>
    <w:rsid w:val="00C338CA"/>
    <w:rsid w:val="00C50A0A"/>
    <w:rsid w:val="00C60016"/>
    <w:rsid w:val="00C638D8"/>
    <w:rsid w:val="00C63D6B"/>
    <w:rsid w:val="00C83525"/>
    <w:rsid w:val="00C87BB4"/>
    <w:rsid w:val="00CA1729"/>
    <w:rsid w:val="00CA1DAE"/>
    <w:rsid w:val="00CA7429"/>
    <w:rsid w:val="00CB6216"/>
    <w:rsid w:val="00CC4578"/>
    <w:rsid w:val="00CD0284"/>
    <w:rsid w:val="00CD160F"/>
    <w:rsid w:val="00CE0DA0"/>
    <w:rsid w:val="00CE4A77"/>
    <w:rsid w:val="00CF030B"/>
    <w:rsid w:val="00CF2856"/>
    <w:rsid w:val="00CF5CE7"/>
    <w:rsid w:val="00CF5EF5"/>
    <w:rsid w:val="00D13FC8"/>
    <w:rsid w:val="00D15B80"/>
    <w:rsid w:val="00D3442D"/>
    <w:rsid w:val="00D41D2D"/>
    <w:rsid w:val="00D463A3"/>
    <w:rsid w:val="00D73373"/>
    <w:rsid w:val="00D828E1"/>
    <w:rsid w:val="00D94E39"/>
    <w:rsid w:val="00DB10D2"/>
    <w:rsid w:val="00DB1DD4"/>
    <w:rsid w:val="00DB61B3"/>
    <w:rsid w:val="00DD0915"/>
    <w:rsid w:val="00DD1DFF"/>
    <w:rsid w:val="00DE3896"/>
    <w:rsid w:val="00DF0231"/>
    <w:rsid w:val="00E00610"/>
    <w:rsid w:val="00E04C43"/>
    <w:rsid w:val="00E05117"/>
    <w:rsid w:val="00E13E91"/>
    <w:rsid w:val="00E16D37"/>
    <w:rsid w:val="00E17E17"/>
    <w:rsid w:val="00E17F78"/>
    <w:rsid w:val="00E21B03"/>
    <w:rsid w:val="00E22D0F"/>
    <w:rsid w:val="00E31284"/>
    <w:rsid w:val="00E406F2"/>
    <w:rsid w:val="00E415BA"/>
    <w:rsid w:val="00E470EC"/>
    <w:rsid w:val="00E5666B"/>
    <w:rsid w:val="00E577DD"/>
    <w:rsid w:val="00E72064"/>
    <w:rsid w:val="00E85BF2"/>
    <w:rsid w:val="00E91110"/>
    <w:rsid w:val="00E9184C"/>
    <w:rsid w:val="00EA4E79"/>
    <w:rsid w:val="00EA5149"/>
    <w:rsid w:val="00EB02DF"/>
    <w:rsid w:val="00EE1CF7"/>
    <w:rsid w:val="00EE6F45"/>
    <w:rsid w:val="00EF66B2"/>
    <w:rsid w:val="00F0497C"/>
    <w:rsid w:val="00F076D1"/>
    <w:rsid w:val="00F0770B"/>
    <w:rsid w:val="00F10653"/>
    <w:rsid w:val="00F14670"/>
    <w:rsid w:val="00F1617A"/>
    <w:rsid w:val="00F2033F"/>
    <w:rsid w:val="00F22DF5"/>
    <w:rsid w:val="00F303F4"/>
    <w:rsid w:val="00F34526"/>
    <w:rsid w:val="00F413E7"/>
    <w:rsid w:val="00F5790A"/>
    <w:rsid w:val="00F609CD"/>
    <w:rsid w:val="00F76B81"/>
    <w:rsid w:val="00FA4943"/>
    <w:rsid w:val="00FB6BD9"/>
    <w:rsid w:val="00FC0F9D"/>
    <w:rsid w:val="00FC3492"/>
    <w:rsid w:val="00FD02B2"/>
    <w:rsid w:val="00FD2D17"/>
    <w:rsid w:val="00FD518E"/>
    <w:rsid w:val="00FE1A35"/>
    <w:rsid w:val="00FE736A"/>
    <w:rsid w:val="00FF02AA"/>
    <w:rsid w:val="00FF2E1C"/>
    <w:rsid w:val="00FF4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TALCar">
    <w:name w:val="TAL Car"/>
    <w:link w:val="TAL"/>
    <w:qFormat/>
    <w:locked/>
    <w:rsid w:val="00E05117"/>
    <w:rPr>
      <w:rFonts w:ascii="Arial" w:hAnsi="Arial" w:cs="Arial"/>
      <w:sz w:val="18"/>
      <w:lang w:val="en-GB" w:eastAsia="en-US"/>
    </w:rPr>
  </w:style>
  <w:style w:type="paragraph" w:customStyle="1" w:styleId="TAL">
    <w:name w:val="TAL"/>
    <w:basedOn w:val="a"/>
    <w:link w:val="TALCar"/>
    <w:qFormat/>
    <w:rsid w:val="00E05117"/>
    <w:pPr>
      <w:keepNext/>
      <w:keepLines/>
      <w:spacing w:after="0"/>
    </w:pPr>
    <w:rPr>
      <w:rFonts w:ascii="Arial" w:eastAsiaTheme="minorEastAsia" w:hAnsi="Arial" w:cs="Arial"/>
      <w:kern w:val="2"/>
      <w:sz w:val="18"/>
      <w:szCs w:val="22"/>
    </w:rPr>
  </w:style>
  <w:style w:type="character" w:customStyle="1" w:styleId="PLChar">
    <w:name w:val="PL Char"/>
    <w:link w:val="PL"/>
    <w:qFormat/>
    <w:locked/>
    <w:rsid w:val="00366D97"/>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366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7826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5663119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67392403">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584533895">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166144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7958976">
      <w:bodyDiv w:val="1"/>
      <w:marLeft w:val="0"/>
      <w:marRight w:val="0"/>
      <w:marTop w:val="0"/>
      <w:marBottom w:val="0"/>
      <w:divBdr>
        <w:top w:val="none" w:sz="0" w:space="0" w:color="auto"/>
        <w:left w:val="none" w:sz="0" w:space="0" w:color="auto"/>
        <w:bottom w:val="none" w:sz="0" w:space="0" w:color="auto"/>
        <w:right w:val="none" w:sz="0" w:space="0" w:color="auto"/>
      </w:divBdr>
    </w:div>
    <w:div w:id="990256856">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56094989">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42930859">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73340369">
      <w:bodyDiv w:val="1"/>
      <w:marLeft w:val="0"/>
      <w:marRight w:val="0"/>
      <w:marTop w:val="0"/>
      <w:marBottom w:val="0"/>
      <w:divBdr>
        <w:top w:val="none" w:sz="0" w:space="0" w:color="auto"/>
        <w:left w:val="none" w:sz="0" w:space="0" w:color="auto"/>
        <w:bottom w:val="none" w:sz="0" w:space="0" w:color="auto"/>
        <w:right w:val="none" w:sz="0" w:space="0" w:color="auto"/>
      </w:divBdr>
    </w:div>
    <w:div w:id="1678191987">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1883722">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0499364">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3A210-6514-4E24-B555-EEEDCE9D0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6946</TotalTime>
  <Pages>2</Pages>
  <Words>601</Words>
  <Characters>3430</Characters>
  <Application>Microsoft Office Word</Application>
  <DocSecurity>0</DocSecurity>
  <Lines>28</Lines>
  <Paragraphs>8</Paragraphs>
  <ScaleCrop>false</ScaleCrop>
  <Company>HUAWEI</Company>
  <LinksUpToDate>false</LinksUpToDate>
  <CharactersWithSpaces>4023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120</cp:revision>
  <dcterms:created xsi:type="dcterms:W3CDTF">2019-09-18T02:52:00Z</dcterms:created>
  <dcterms:modified xsi:type="dcterms:W3CDTF">2021-04-02T15:31:00Z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