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1A3D" w:rsidRPr="00CD5A36" w:rsidRDefault="008E1A3D" w:rsidP="008E1A3D">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98-</w:t>
      </w:r>
      <w:r>
        <w:rPr>
          <w:rFonts w:cs="Arial"/>
          <w:sz w:val="24"/>
          <w:szCs w:val="24"/>
        </w:rPr>
        <w:t>bis-</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B04DB5" w:rsidRPr="00B04DB5">
        <w:rPr>
          <w:rFonts w:cs="Arial"/>
          <w:sz w:val="24"/>
          <w:szCs w:val="24"/>
        </w:rPr>
        <w:t>R4-2106959</w:t>
      </w:r>
      <w:bookmarkStart w:id="2" w:name="_GoBack"/>
      <w:bookmarkEnd w:id="2"/>
    </w:p>
    <w:p w:rsidR="008E1A3D" w:rsidRPr="00CD5A36" w:rsidRDefault="008E1A3D" w:rsidP="008E1A3D">
      <w:pPr>
        <w:pStyle w:val="a3"/>
        <w:tabs>
          <w:tab w:val="right" w:pos="9781"/>
          <w:tab w:val="right" w:pos="13323"/>
        </w:tabs>
        <w:outlineLvl w:val="0"/>
        <w:rPr>
          <w:rFonts w:eastAsia="宋体"/>
          <w:b w:val="0"/>
          <w:sz w:val="24"/>
          <w:szCs w:val="24"/>
          <w:lang w:eastAsia="zh-CN"/>
        </w:rPr>
      </w:pPr>
      <w:r w:rsidRPr="00CD5A36">
        <w:rPr>
          <w:rFonts w:eastAsia="宋体"/>
          <w:sz w:val="24"/>
          <w:szCs w:val="24"/>
          <w:lang w:eastAsia="zh-CN"/>
        </w:rPr>
        <w:t xml:space="preserve">Electronic Meeting, </w:t>
      </w:r>
      <w:r>
        <w:rPr>
          <w:rFonts w:eastAsia="宋体"/>
          <w:sz w:val="24"/>
          <w:szCs w:val="24"/>
          <w:lang w:eastAsia="zh-CN"/>
        </w:rPr>
        <w:t>Apr. 12-20</w:t>
      </w:r>
      <w:r w:rsidRPr="00CD5A36">
        <w:rPr>
          <w:rFonts w:eastAsia="宋体"/>
          <w:sz w:val="24"/>
          <w:szCs w:val="24"/>
          <w:lang w:eastAsia="zh-CN"/>
        </w:rPr>
        <w:t>, 2021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708B9" w:rsidRPr="008708B9">
        <w:rPr>
          <w:rFonts w:ascii="Arial" w:hAnsi="Arial"/>
          <w:sz w:val="24"/>
          <w:lang w:val="en-US"/>
        </w:rPr>
        <w:t>5.1.2.1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F34526" w:rsidRPr="00F34526">
        <w:rPr>
          <w:rFonts w:ascii="Arial" w:hAnsi="Arial"/>
          <w:sz w:val="24"/>
          <w:lang w:val="en-US"/>
        </w:rPr>
        <w:t>Discussion on NR-U terminology clarification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B1402B" w:rsidRDefault="00B1402B" w:rsidP="00DF0231">
      <w:pPr>
        <w:rPr>
          <w:rFonts w:eastAsiaTheme="minorEastAsia"/>
          <w:lang w:val="en-US" w:eastAsia="zh-CN"/>
        </w:rPr>
      </w:pPr>
      <w:r w:rsidRPr="00B1402B">
        <w:rPr>
          <w:rFonts w:eastAsiaTheme="minorEastAsia" w:hint="eastAsia"/>
          <w:lang w:val="en-US" w:eastAsia="zh-CN"/>
        </w:rPr>
        <w:t>In</w:t>
      </w:r>
      <w:r w:rsidRPr="00B1402B">
        <w:rPr>
          <w:rFonts w:eastAsiaTheme="minorEastAsia"/>
          <w:lang w:val="en-US" w:eastAsia="zh-CN"/>
        </w:rPr>
        <w:t xml:space="preserve"> RAN4</w:t>
      </w:r>
      <w:r w:rsidRPr="00B1402B">
        <w:rPr>
          <w:rFonts w:eastAsiaTheme="minorEastAsia" w:hint="eastAsia"/>
          <w:lang w:val="en-US" w:eastAsia="zh-CN"/>
        </w:rPr>
        <w:t>#</w:t>
      </w:r>
      <w:r w:rsidRPr="00B1402B">
        <w:rPr>
          <w:rFonts w:eastAsiaTheme="minorEastAsia"/>
          <w:lang w:val="en-US" w:eastAsia="zh-CN"/>
        </w:rPr>
        <w:t>9</w:t>
      </w:r>
      <w:r w:rsidR="00F34526">
        <w:rPr>
          <w:rFonts w:eastAsiaTheme="minorEastAsia"/>
          <w:lang w:val="en-US" w:eastAsia="zh-CN"/>
        </w:rPr>
        <w:t>8</w:t>
      </w:r>
      <w:r w:rsidRPr="00B1402B">
        <w:rPr>
          <w:rFonts w:eastAsiaTheme="minorEastAsia"/>
          <w:lang w:val="en-US" w:eastAsia="zh-CN"/>
        </w:rPr>
        <w:t xml:space="preserve">e meeting, </w:t>
      </w:r>
      <w:r w:rsidR="00F34526">
        <w:rPr>
          <w:rFonts w:eastAsiaTheme="minorEastAsia"/>
          <w:lang w:val="en-US" w:eastAsia="zh-CN"/>
        </w:rPr>
        <w:t>the terminology about the “not available SMTC/SSB” was discussed with the principle captured in WF [1]. In this paper, we further provide our views on the remaining issues and present potential solutions on how to capture them in the spec.</w:t>
      </w:r>
    </w:p>
    <w:p w:rsidR="00DF0231" w:rsidRDefault="00DF0231" w:rsidP="00DF0231">
      <w:pPr>
        <w:pStyle w:val="1"/>
        <w:numPr>
          <w:ilvl w:val="0"/>
          <w:numId w:val="1"/>
        </w:numPr>
        <w:rPr>
          <w:lang w:val="en-US"/>
        </w:rPr>
      </w:pPr>
      <w:r w:rsidRPr="002D2977">
        <w:rPr>
          <w:lang w:val="en-US"/>
        </w:rPr>
        <w:t>Discussion</w:t>
      </w:r>
    </w:p>
    <w:p w:rsidR="00F34526" w:rsidRDefault="00F34526" w:rsidP="00A26AB0">
      <w:pPr>
        <w:rPr>
          <w:rFonts w:eastAsiaTheme="minorEastAsia"/>
          <w:lang w:val="en-US" w:eastAsia="zh-CN"/>
        </w:rPr>
      </w:pPr>
      <w:r>
        <w:rPr>
          <w:rFonts w:eastAsiaTheme="minorEastAsia"/>
          <w:lang w:val="en-US" w:eastAsia="zh-CN"/>
        </w:rPr>
        <w:t xml:space="preserve">The terminology of “not available” SSB/SMTC has been </w:t>
      </w:r>
      <w:r w:rsidR="004D3C97">
        <w:rPr>
          <w:rFonts w:eastAsiaTheme="minorEastAsia"/>
          <w:lang w:val="en-US" w:eastAsia="zh-CN"/>
        </w:rPr>
        <w:t xml:space="preserve">discussed for several meetings, which may have impact on all most all RRM requirements for NR-U. Based on the previous discussion, it was found that things could be quite complicated when considering the configuration of DRX, MGRP and different combinations of them. It may be possible to consider the accurate terminology case by case and list all possible combinations, but it will drag the work into very detailed discussion and may </w:t>
      </w:r>
      <w:r w:rsidR="005763DF">
        <w:rPr>
          <w:rFonts w:eastAsiaTheme="minorEastAsia"/>
          <w:lang w:val="en-US" w:eastAsia="zh-CN"/>
        </w:rPr>
        <w:t xml:space="preserve">result in </w:t>
      </w:r>
      <w:r w:rsidR="008C398B">
        <w:rPr>
          <w:rFonts w:eastAsiaTheme="minorEastAsia"/>
          <w:lang w:val="en-US" w:eastAsia="zh-CN"/>
        </w:rPr>
        <w:t xml:space="preserve">the spec </w:t>
      </w:r>
      <w:r w:rsidR="005763DF">
        <w:rPr>
          <w:rFonts w:eastAsiaTheme="minorEastAsia"/>
          <w:lang w:val="en-US" w:eastAsia="zh-CN"/>
        </w:rPr>
        <w:t>will be</w:t>
      </w:r>
      <w:r w:rsidR="008C398B">
        <w:rPr>
          <w:rFonts w:eastAsiaTheme="minorEastAsia"/>
          <w:lang w:val="en-US" w:eastAsia="zh-CN"/>
        </w:rPr>
        <w:t xml:space="preserve"> hard to read. Some general principles are captured in the WF as follows:</w:t>
      </w:r>
    </w:p>
    <w:tbl>
      <w:tblPr>
        <w:tblStyle w:val="a7"/>
        <w:tblW w:w="0" w:type="auto"/>
        <w:tblLook w:val="04A0" w:firstRow="1" w:lastRow="0" w:firstColumn="1" w:lastColumn="0" w:noHBand="0" w:noVBand="1"/>
      </w:tblPr>
      <w:tblGrid>
        <w:gridCol w:w="9562"/>
      </w:tblGrid>
      <w:tr w:rsidR="008C398B" w:rsidTr="008C398B">
        <w:tc>
          <w:tcPr>
            <w:tcW w:w="9562" w:type="dxa"/>
          </w:tcPr>
          <w:p w:rsidR="008C398B" w:rsidRPr="008C398B" w:rsidRDefault="008C398B" w:rsidP="008C398B">
            <w:pPr>
              <w:pStyle w:val="a6"/>
              <w:numPr>
                <w:ilvl w:val="0"/>
                <w:numId w:val="45"/>
              </w:numPr>
              <w:overflowPunct w:val="0"/>
              <w:spacing w:after="0"/>
              <w:ind w:firstLineChars="0"/>
              <w:rPr>
                <w:rFonts w:eastAsia="Times New Roman"/>
                <w:sz w:val="14"/>
                <w:szCs w:val="24"/>
                <w:lang w:val="en-US" w:eastAsia="zh-CN"/>
              </w:rPr>
            </w:pPr>
            <w:r w:rsidRPr="008C398B">
              <w:rPr>
                <w:rFonts w:ascii="Calibri" w:eastAsia="+mn-ea" w:hAnsi="Calibri" w:cs="+mn-cs"/>
                <w:color w:val="000000"/>
                <w:kern w:val="24"/>
                <w:szCs w:val="34"/>
                <w:lang w:val="sv-SE" w:eastAsia="zh-CN"/>
              </w:rPr>
              <w:t>Further NR-U terminology clarification</w:t>
            </w:r>
          </w:p>
          <w:p w:rsidR="008C398B" w:rsidRPr="008C398B" w:rsidRDefault="008C398B" w:rsidP="008C398B">
            <w:pPr>
              <w:pStyle w:val="a6"/>
              <w:numPr>
                <w:ilvl w:val="1"/>
                <w:numId w:val="45"/>
              </w:numPr>
              <w:spacing w:after="0"/>
              <w:ind w:firstLineChars="0"/>
              <w:rPr>
                <w:rFonts w:eastAsia="Times New Roman"/>
                <w:sz w:val="14"/>
                <w:szCs w:val="24"/>
                <w:lang w:val="en-US" w:eastAsia="zh-CN"/>
              </w:rPr>
            </w:pPr>
            <w:r w:rsidRPr="008C398B">
              <w:rPr>
                <w:rFonts w:ascii="Calibri" w:eastAsia="+mn-ea" w:hAnsi="Calibri" w:cs="+mn-cs"/>
                <w:color w:val="000000"/>
                <w:kern w:val="24"/>
                <w:szCs w:val="34"/>
                <w:lang w:val="en-US" w:eastAsia="zh-CN"/>
              </w:rPr>
              <w:t>General principles to address the impact of DRX, MGRP, CSSF, etc. on the availability definition:</w:t>
            </w:r>
          </w:p>
          <w:p w:rsidR="008C398B" w:rsidRPr="008C398B" w:rsidRDefault="008C398B" w:rsidP="008C398B">
            <w:pPr>
              <w:pStyle w:val="a6"/>
              <w:numPr>
                <w:ilvl w:val="2"/>
                <w:numId w:val="45"/>
              </w:numPr>
              <w:spacing w:after="0"/>
              <w:ind w:firstLineChars="0"/>
              <w:rPr>
                <w:rFonts w:eastAsia="Times New Roman"/>
                <w:sz w:val="14"/>
                <w:szCs w:val="24"/>
                <w:lang w:val="en-US" w:eastAsia="zh-CN"/>
              </w:rPr>
            </w:pPr>
            <w:r w:rsidRPr="008C398B">
              <w:rPr>
                <w:rFonts w:ascii="Calibri" w:eastAsia="+mn-ea" w:hAnsi="Calibri" w:cs="+mn-cs"/>
                <w:color w:val="000000"/>
                <w:kern w:val="24"/>
                <w:szCs w:val="34"/>
                <w:lang w:val="en-US" w:eastAsia="zh-CN"/>
              </w:rPr>
              <w:t>When configured with measurements in measurement cycles: the UE is not required to determine the availability of SMTC occasions more frequent than once per measurement cycle.</w:t>
            </w:r>
          </w:p>
          <w:p w:rsidR="008C398B" w:rsidRPr="008C398B" w:rsidRDefault="008C398B" w:rsidP="008C398B">
            <w:pPr>
              <w:pStyle w:val="a6"/>
              <w:numPr>
                <w:ilvl w:val="2"/>
                <w:numId w:val="45"/>
              </w:numPr>
              <w:spacing w:after="0"/>
              <w:ind w:firstLineChars="0"/>
              <w:rPr>
                <w:rFonts w:eastAsia="Times New Roman"/>
                <w:sz w:val="14"/>
                <w:szCs w:val="24"/>
                <w:lang w:val="en-US" w:eastAsia="zh-CN"/>
              </w:rPr>
            </w:pPr>
            <w:r w:rsidRPr="008C398B">
              <w:rPr>
                <w:rFonts w:ascii="Calibri" w:eastAsia="+mn-ea" w:hAnsi="Calibri" w:cs="+mn-cs"/>
                <w:color w:val="000000"/>
                <w:kern w:val="24"/>
                <w:szCs w:val="34"/>
                <w:lang w:val="en-US" w:eastAsia="zh-CN"/>
              </w:rPr>
              <w:t>For measurements in gaps: The UE is not required to determine the availability of SMTC occasions more frequent than once during MGRP.</w:t>
            </w:r>
          </w:p>
          <w:p w:rsidR="008C398B" w:rsidRPr="008C398B" w:rsidRDefault="008C398B" w:rsidP="008C398B">
            <w:pPr>
              <w:pStyle w:val="a6"/>
              <w:numPr>
                <w:ilvl w:val="2"/>
                <w:numId w:val="45"/>
              </w:numPr>
              <w:spacing w:after="0"/>
              <w:ind w:firstLineChars="0"/>
              <w:rPr>
                <w:rFonts w:eastAsia="Times New Roman"/>
                <w:sz w:val="14"/>
                <w:szCs w:val="24"/>
                <w:lang w:val="en-US" w:eastAsia="zh-CN"/>
              </w:rPr>
            </w:pPr>
            <w:r w:rsidRPr="008C398B">
              <w:rPr>
                <w:rFonts w:ascii="Calibri" w:eastAsia="+mn-ea" w:hAnsi="Calibri" w:cs="+mn-cs"/>
                <w:color w:val="000000"/>
                <w:kern w:val="24"/>
                <w:szCs w:val="34"/>
                <w:lang w:val="en-US" w:eastAsia="zh-CN"/>
              </w:rPr>
              <w:t>For measurement requirements with DRX: the UE is not required to determine the availability of SMTC occasions more frequent than once per DRX cycle.</w:t>
            </w:r>
          </w:p>
          <w:p w:rsidR="008C398B" w:rsidRPr="008C398B" w:rsidRDefault="008C398B" w:rsidP="008C398B">
            <w:pPr>
              <w:pStyle w:val="a6"/>
              <w:numPr>
                <w:ilvl w:val="2"/>
                <w:numId w:val="45"/>
              </w:numPr>
              <w:spacing w:after="0"/>
              <w:ind w:firstLineChars="0"/>
              <w:rPr>
                <w:rFonts w:eastAsia="Times New Roman"/>
                <w:sz w:val="14"/>
                <w:szCs w:val="24"/>
                <w:lang w:val="en-US" w:eastAsia="zh-CN"/>
              </w:rPr>
            </w:pPr>
            <w:r w:rsidRPr="008C398B">
              <w:rPr>
                <w:rFonts w:ascii="Calibri" w:eastAsia="+mn-ea" w:hAnsi="Calibri" w:cs="+mn-cs"/>
                <w:color w:val="000000"/>
                <w:kern w:val="24"/>
                <w:szCs w:val="34"/>
                <w:lang w:eastAsia="zh-CN"/>
              </w:rPr>
              <w:t>For RLM/CBD: The UE is not required to determine the availability of SSB occasions more frequent than once per DRX cycle length, when configured with DRX.</w:t>
            </w:r>
          </w:p>
          <w:p w:rsidR="008C398B" w:rsidRPr="008C398B" w:rsidRDefault="008C398B" w:rsidP="008C398B">
            <w:pPr>
              <w:pStyle w:val="a6"/>
              <w:numPr>
                <w:ilvl w:val="2"/>
                <w:numId w:val="45"/>
              </w:numPr>
              <w:overflowPunct w:val="0"/>
              <w:spacing w:after="0"/>
              <w:ind w:firstLineChars="0"/>
              <w:rPr>
                <w:rFonts w:eastAsia="Times New Roman"/>
                <w:sz w:val="14"/>
                <w:szCs w:val="24"/>
                <w:lang w:val="en-US" w:eastAsia="zh-CN"/>
              </w:rPr>
            </w:pPr>
            <w:r w:rsidRPr="008C398B">
              <w:rPr>
                <w:rFonts w:ascii="Calibri" w:eastAsia="+mn-ea" w:hAnsi="Calibri" w:cs="+mn-cs"/>
                <w:color w:val="000000"/>
                <w:kern w:val="24"/>
                <w:szCs w:val="34"/>
                <w:lang w:val="en-US" w:eastAsia="zh-CN"/>
              </w:rPr>
              <w:t>FFS: how to account CSSF impact</w:t>
            </w:r>
          </w:p>
          <w:p w:rsidR="008C398B" w:rsidRPr="008C398B" w:rsidRDefault="008C398B" w:rsidP="008C398B">
            <w:pPr>
              <w:pStyle w:val="a6"/>
              <w:numPr>
                <w:ilvl w:val="3"/>
                <w:numId w:val="45"/>
              </w:numPr>
              <w:overflowPunct w:val="0"/>
              <w:spacing w:after="0"/>
              <w:ind w:firstLineChars="0"/>
              <w:rPr>
                <w:rFonts w:eastAsia="Times New Roman"/>
                <w:sz w:val="14"/>
                <w:szCs w:val="24"/>
                <w:lang w:val="en-US" w:eastAsia="zh-CN"/>
              </w:rPr>
            </w:pPr>
            <w:r w:rsidRPr="008C398B">
              <w:rPr>
                <w:rFonts w:ascii="Calibri" w:eastAsia="+mn-ea" w:hAnsi="Calibri" w:cs="+mn-cs"/>
                <w:color w:val="000000"/>
                <w:kern w:val="24"/>
                <w:szCs w:val="34"/>
                <w:lang w:val="en-US" w:eastAsia="zh-CN"/>
              </w:rPr>
              <w:t>Option 1: For measurement requirements with CSSF: The UE is not required to determine the availability of SMTC occasions more frequent than what is required by CSSF</w:t>
            </w:r>
          </w:p>
          <w:p w:rsidR="008C398B" w:rsidRPr="008C398B" w:rsidRDefault="008C398B" w:rsidP="008C398B">
            <w:pPr>
              <w:pStyle w:val="a6"/>
              <w:numPr>
                <w:ilvl w:val="2"/>
                <w:numId w:val="45"/>
              </w:numPr>
              <w:overflowPunct w:val="0"/>
              <w:spacing w:after="0"/>
              <w:ind w:firstLineChars="0"/>
              <w:rPr>
                <w:rFonts w:eastAsia="Times New Roman"/>
                <w:sz w:val="14"/>
                <w:szCs w:val="24"/>
                <w:lang w:val="en-US" w:eastAsia="zh-CN"/>
              </w:rPr>
            </w:pPr>
            <w:r w:rsidRPr="008C398B">
              <w:rPr>
                <w:rFonts w:ascii="Calibri" w:eastAsia="+mn-ea" w:hAnsi="Calibri" w:cs="+mn-cs"/>
                <w:color w:val="000000"/>
                <w:kern w:val="24"/>
                <w:szCs w:val="34"/>
                <w:lang w:val="en-US" w:eastAsia="zh-CN"/>
              </w:rPr>
              <w:t>A common approach (but applicable for the relevant issues among DRX, MGRP, etc.) shall be used for all measurements</w:t>
            </w:r>
          </w:p>
          <w:p w:rsidR="008C398B" w:rsidRPr="008C398B" w:rsidRDefault="008C398B" w:rsidP="008C398B">
            <w:pPr>
              <w:pStyle w:val="a6"/>
              <w:numPr>
                <w:ilvl w:val="1"/>
                <w:numId w:val="45"/>
              </w:numPr>
              <w:overflowPunct w:val="0"/>
              <w:spacing w:after="0"/>
              <w:ind w:firstLineChars="0"/>
              <w:rPr>
                <w:rFonts w:eastAsia="Times New Roman"/>
                <w:sz w:val="14"/>
                <w:szCs w:val="24"/>
                <w:lang w:val="en-US" w:eastAsia="zh-CN"/>
              </w:rPr>
            </w:pPr>
            <w:r w:rsidRPr="008C398B">
              <w:rPr>
                <w:rFonts w:ascii="Calibri" w:eastAsia="+mn-ea" w:hAnsi="Calibri" w:cs="+mn-cs"/>
                <w:color w:val="000000"/>
                <w:kern w:val="24"/>
                <w:szCs w:val="34"/>
                <w:lang w:val="en-US" w:eastAsia="zh-CN"/>
              </w:rPr>
              <w:t>FFS: how to capture the above in 38.133 and the level of details</w:t>
            </w:r>
          </w:p>
        </w:tc>
      </w:tr>
    </w:tbl>
    <w:p w:rsidR="008C398B" w:rsidRDefault="008C398B" w:rsidP="00A26AB0">
      <w:pPr>
        <w:rPr>
          <w:rFonts w:eastAsiaTheme="minorEastAsia"/>
          <w:lang w:val="en-US" w:eastAsia="zh-CN"/>
        </w:rPr>
      </w:pPr>
    </w:p>
    <w:p w:rsidR="008C398B" w:rsidRDefault="008C398B" w:rsidP="00A26AB0">
      <w:pPr>
        <w:rPr>
          <w:rFonts w:eastAsiaTheme="minorEastAsia"/>
          <w:lang w:val="en-US" w:eastAsia="zh-CN"/>
        </w:rPr>
      </w:pPr>
      <w:r>
        <w:rPr>
          <w:rFonts w:eastAsiaTheme="minorEastAsia"/>
          <w:lang w:val="en-US" w:eastAsia="zh-CN"/>
        </w:rPr>
        <w:t>The corresponding changes are proposed in the CR [1] with the CSSF left FFS. For example, for the definition of L</w:t>
      </w:r>
      <w:r w:rsidRPr="008C398B">
        <w:rPr>
          <w:rFonts w:eastAsiaTheme="minorEastAsia"/>
          <w:vertAlign w:val="subscript"/>
          <w:lang w:val="en-US" w:eastAsia="zh-CN"/>
        </w:rPr>
        <w:t>PSS/SSS</w:t>
      </w:r>
      <w:r>
        <w:rPr>
          <w:rFonts w:eastAsiaTheme="minorEastAsia"/>
          <w:lang w:val="en-US" w:eastAsia="zh-CN"/>
        </w:rPr>
        <w:t xml:space="preserve"> for intra-frequency measurement, the changes are as follows:</w:t>
      </w:r>
    </w:p>
    <w:tbl>
      <w:tblPr>
        <w:tblStyle w:val="a7"/>
        <w:tblW w:w="0" w:type="auto"/>
        <w:tblLook w:val="04A0" w:firstRow="1" w:lastRow="0" w:firstColumn="1" w:lastColumn="0" w:noHBand="0" w:noVBand="1"/>
      </w:tblPr>
      <w:tblGrid>
        <w:gridCol w:w="9562"/>
      </w:tblGrid>
      <w:tr w:rsidR="008C398B" w:rsidTr="008C398B">
        <w:tc>
          <w:tcPr>
            <w:tcW w:w="9562" w:type="dxa"/>
          </w:tcPr>
          <w:p w:rsidR="008C398B" w:rsidRDefault="008C398B" w:rsidP="00A26AB0">
            <w:pPr>
              <w:rPr>
                <w:rFonts w:eastAsiaTheme="minorEastAsia"/>
                <w:lang w:val="en-US" w:eastAsia="zh-CN"/>
              </w:rPr>
            </w:pPr>
          </w:p>
          <w:p w:rsidR="008C398B" w:rsidRDefault="008C398B" w:rsidP="008C398B">
            <w:pPr>
              <w:pStyle w:val="TH"/>
              <w:rPr>
                <w:rFonts w:eastAsia="Times New Roman"/>
              </w:rPr>
            </w:pPr>
            <w:r>
              <w:t>Table 9.2A.5.1-1: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8C398B" w:rsidTr="008C398B">
              <w:tc>
                <w:tcPr>
                  <w:tcW w:w="4620" w:type="dxa"/>
                  <w:tcBorders>
                    <w:top w:val="single" w:sz="4" w:space="0" w:color="auto"/>
                    <w:left w:val="single" w:sz="4" w:space="0" w:color="auto"/>
                    <w:bottom w:val="single" w:sz="4" w:space="0" w:color="auto"/>
                    <w:right w:val="single" w:sz="4" w:space="0" w:color="auto"/>
                  </w:tcBorders>
                  <w:hideMark/>
                </w:tcPr>
                <w:p w:rsidR="008C398B" w:rsidRDefault="008C398B" w:rsidP="008C398B">
                  <w:pPr>
                    <w:pStyle w:val="TAH"/>
                  </w:pPr>
                  <w:r>
                    <w:t>Condition</w:t>
                  </w:r>
                </w:p>
              </w:tc>
              <w:tc>
                <w:tcPr>
                  <w:tcW w:w="4621" w:type="dxa"/>
                  <w:tcBorders>
                    <w:top w:val="single" w:sz="4" w:space="0" w:color="auto"/>
                    <w:left w:val="single" w:sz="4" w:space="0" w:color="auto"/>
                    <w:bottom w:val="single" w:sz="4" w:space="0" w:color="auto"/>
                    <w:right w:val="single" w:sz="4" w:space="0" w:color="auto"/>
                  </w:tcBorders>
                  <w:hideMark/>
                </w:tcPr>
                <w:p w:rsidR="008C398B" w:rsidRDefault="008C398B" w:rsidP="008C398B">
                  <w:pPr>
                    <w:pStyle w:val="TAH"/>
                    <w:rPr>
                      <w:lang w:val="sv-SE"/>
                    </w:rPr>
                  </w:pPr>
                  <w:r>
                    <w:rPr>
                      <w:lang w:val="sv-SE"/>
                    </w:rPr>
                    <w:t>T</w:t>
                  </w:r>
                  <w:r>
                    <w:rPr>
                      <w:vertAlign w:val="subscript"/>
                      <w:lang w:val="sv-SE"/>
                    </w:rPr>
                    <w:t>PSS/SSS_sync_intra_CCA</w:t>
                  </w:r>
                </w:p>
              </w:tc>
            </w:tr>
            <w:tr w:rsidR="008C398B" w:rsidTr="008C398B">
              <w:tc>
                <w:tcPr>
                  <w:tcW w:w="4620" w:type="dxa"/>
                  <w:tcBorders>
                    <w:top w:val="single" w:sz="4" w:space="0" w:color="auto"/>
                    <w:left w:val="single" w:sz="4" w:space="0" w:color="auto"/>
                    <w:bottom w:val="single" w:sz="4" w:space="0" w:color="auto"/>
                    <w:right w:val="single" w:sz="4" w:space="0" w:color="auto"/>
                  </w:tcBorders>
                  <w:hideMark/>
                </w:tcPr>
                <w:p w:rsidR="008C398B" w:rsidRDefault="008C398B" w:rsidP="008C398B">
                  <w:pPr>
                    <w:pStyle w:val="TAC"/>
                    <w:rPr>
                      <w:lang w:val="en-US"/>
                    </w:rPr>
                  </w:pPr>
                  <w:r>
                    <w:t>No DRX</w:t>
                  </w:r>
                </w:p>
              </w:tc>
              <w:tc>
                <w:tcPr>
                  <w:tcW w:w="4621" w:type="dxa"/>
                  <w:tcBorders>
                    <w:top w:val="single" w:sz="4" w:space="0" w:color="auto"/>
                    <w:left w:val="single" w:sz="4" w:space="0" w:color="auto"/>
                    <w:bottom w:val="single" w:sz="4" w:space="0" w:color="auto"/>
                    <w:right w:val="single" w:sz="4" w:space="0" w:color="auto"/>
                  </w:tcBorders>
                  <w:hideMark/>
                </w:tcPr>
                <w:p w:rsidR="008C398B" w:rsidRDefault="008C398B" w:rsidP="008C398B">
                  <w:pPr>
                    <w:pStyle w:val="TAC"/>
                    <w:rPr>
                      <w:lang w:val="en-US"/>
                    </w:rPr>
                  </w:pPr>
                  <w:r>
                    <w:rPr>
                      <w:lang w:val="en-US"/>
                    </w:rPr>
                    <w:t>max( 600ms, ceil((5+L</w:t>
                  </w:r>
                  <w:r>
                    <w:rPr>
                      <w:vertAlign w:val="subscript"/>
                      <w:lang w:val="en-US"/>
                    </w:rPr>
                    <w:t>PSS/SSS</w:t>
                  </w:r>
                  <w:r>
                    <w:rPr>
                      <w:lang w:val="en-US"/>
                    </w:rPr>
                    <w:t xml:space="preserve">) x </w:t>
                  </w:r>
                  <w:proofErr w:type="spellStart"/>
                  <w:r>
                    <w:rPr>
                      <w:lang w:val="en-US"/>
                    </w:rPr>
                    <w:t>K</w:t>
                  </w:r>
                  <w:r>
                    <w:rPr>
                      <w:vertAlign w:val="subscript"/>
                      <w:lang w:val="en-US"/>
                    </w:rPr>
                    <w:t>p</w:t>
                  </w:r>
                  <w:proofErr w:type="spellEnd"/>
                  <w:r>
                    <w:rPr>
                      <w:lang w:val="en-US"/>
                    </w:rPr>
                    <w:t>) x SMTC period)</w:t>
                  </w:r>
                  <w:r>
                    <w:rPr>
                      <w:vertAlign w:val="superscript"/>
                      <w:lang w:val="en-US"/>
                    </w:rPr>
                    <w:t>Note 1</w:t>
                  </w:r>
                  <w:r>
                    <w:rPr>
                      <w:lang w:val="en-US"/>
                    </w:rPr>
                    <w:t xml:space="preserve"> x </w:t>
                  </w:r>
                  <w:proofErr w:type="spellStart"/>
                  <w:r>
                    <w:rPr>
                      <w:lang w:val="en-US"/>
                    </w:rPr>
                    <w:t>CSSF</w:t>
                  </w:r>
                  <w:r>
                    <w:rPr>
                      <w:vertAlign w:val="subscript"/>
                      <w:lang w:val="en-US"/>
                    </w:rPr>
                    <w:t>intra</w:t>
                  </w:r>
                  <w:proofErr w:type="spellEnd"/>
                </w:p>
              </w:tc>
            </w:tr>
            <w:tr w:rsidR="008C398B" w:rsidTr="008C398B">
              <w:tc>
                <w:tcPr>
                  <w:tcW w:w="4620" w:type="dxa"/>
                  <w:tcBorders>
                    <w:top w:val="single" w:sz="4" w:space="0" w:color="auto"/>
                    <w:left w:val="single" w:sz="4" w:space="0" w:color="auto"/>
                    <w:bottom w:val="single" w:sz="4" w:space="0" w:color="auto"/>
                    <w:right w:val="single" w:sz="4" w:space="0" w:color="auto"/>
                  </w:tcBorders>
                  <w:hideMark/>
                </w:tcPr>
                <w:p w:rsidR="008C398B" w:rsidRDefault="008C398B" w:rsidP="008C398B">
                  <w:pPr>
                    <w:pStyle w:val="TAC"/>
                    <w:rPr>
                      <w:lang w:val="en-US"/>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8C398B" w:rsidRDefault="008C398B" w:rsidP="008C398B">
                  <w:pPr>
                    <w:pStyle w:val="TAC"/>
                    <w:rPr>
                      <w:lang w:val="en-US"/>
                    </w:rPr>
                  </w:pPr>
                  <w:r>
                    <w:rPr>
                      <w:lang w:val="en-US"/>
                    </w:rPr>
                    <w:t>max( 600ms, ceil(1.5x (5+L</w:t>
                  </w:r>
                  <w:r>
                    <w:rPr>
                      <w:vertAlign w:val="subscript"/>
                      <w:lang w:val="en-US"/>
                    </w:rPr>
                    <w:t>PSS/SSS</w:t>
                  </w:r>
                  <w:r>
                    <w:rPr>
                      <w:lang w:val="en-US"/>
                    </w:rPr>
                    <w:t xml:space="preserve">) x </w:t>
                  </w:r>
                  <w:proofErr w:type="spellStart"/>
                  <w:r>
                    <w:rPr>
                      <w:lang w:val="en-US"/>
                    </w:rPr>
                    <w:t>K</w:t>
                  </w:r>
                  <w:r>
                    <w:rPr>
                      <w:vertAlign w:val="subscript"/>
                      <w:lang w:val="en-US"/>
                    </w:rPr>
                    <w:t>p</w:t>
                  </w:r>
                  <w:proofErr w:type="spellEnd"/>
                  <w:r>
                    <w:rPr>
                      <w:lang w:val="en-US"/>
                    </w:rPr>
                    <w:t xml:space="preserve">) x max(SMTC </w:t>
                  </w:r>
                  <w:proofErr w:type="spellStart"/>
                  <w:r>
                    <w:rPr>
                      <w:lang w:val="en-US"/>
                    </w:rPr>
                    <w:t>period,DRX</w:t>
                  </w:r>
                  <w:proofErr w:type="spellEnd"/>
                  <w:r>
                    <w:rPr>
                      <w:lang w:val="en-US"/>
                    </w:rPr>
                    <w:t xml:space="preserve"> cycle)) x </w:t>
                  </w:r>
                  <w:proofErr w:type="spellStart"/>
                  <w:r>
                    <w:rPr>
                      <w:lang w:val="en-US"/>
                    </w:rPr>
                    <w:t>CSSF</w:t>
                  </w:r>
                  <w:r>
                    <w:rPr>
                      <w:vertAlign w:val="subscript"/>
                      <w:lang w:val="en-US"/>
                    </w:rPr>
                    <w:t>intra</w:t>
                  </w:r>
                  <w:proofErr w:type="spellEnd"/>
                </w:p>
              </w:tc>
            </w:tr>
            <w:tr w:rsidR="008C398B" w:rsidTr="008C398B">
              <w:tc>
                <w:tcPr>
                  <w:tcW w:w="4620" w:type="dxa"/>
                  <w:tcBorders>
                    <w:top w:val="single" w:sz="4" w:space="0" w:color="auto"/>
                    <w:left w:val="single" w:sz="4" w:space="0" w:color="auto"/>
                    <w:bottom w:val="single" w:sz="4" w:space="0" w:color="auto"/>
                    <w:right w:val="single" w:sz="4" w:space="0" w:color="auto"/>
                  </w:tcBorders>
                  <w:hideMark/>
                </w:tcPr>
                <w:p w:rsidR="008C398B" w:rsidRDefault="008C398B" w:rsidP="008C398B">
                  <w:pPr>
                    <w:pStyle w:val="TAC"/>
                    <w:rPr>
                      <w:lang w:val="en-US"/>
                    </w:rPr>
                  </w:pPr>
                  <w:r>
                    <w:lastRenderedPageBreak/>
                    <w:t>DRX cycle&gt;320ms</w:t>
                  </w:r>
                </w:p>
              </w:tc>
              <w:tc>
                <w:tcPr>
                  <w:tcW w:w="4621" w:type="dxa"/>
                  <w:tcBorders>
                    <w:top w:val="single" w:sz="4" w:space="0" w:color="auto"/>
                    <w:left w:val="single" w:sz="4" w:space="0" w:color="auto"/>
                    <w:bottom w:val="single" w:sz="4" w:space="0" w:color="auto"/>
                    <w:right w:val="single" w:sz="4" w:space="0" w:color="auto"/>
                  </w:tcBorders>
                  <w:hideMark/>
                </w:tcPr>
                <w:p w:rsidR="008C398B" w:rsidRDefault="008C398B" w:rsidP="008C398B">
                  <w:pPr>
                    <w:pStyle w:val="TAC"/>
                    <w:rPr>
                      <w:lang w:val="en-US"/>
                    </w:rPr>
                  </w:pPr>
                  <w:r>
                    <w:rPr>
                      <w:lang w:val="en-US"/>
                    </w:rPr>
                    <w:t>ceil((5+L</w:t>
                  </w:r>
                  <w:r>
                    <w:rPr>
                      <w:vertAlign w:val="subscript"/>
                      <w:lang w:val="en-US"/>
                    </w:rPr>
                    <w:t>PSS/SSS</w:t>
                  </w:r>
                  <w:r>
                    <w:rPr>
                      <w:lang w:val="en-US"/>
                    </w:rPr>
                    <w:t xml:space="preserve">) x </w:t>
                  </w:r>
                  <w:proofErr w:type="spellStart"/>
                  <w:r>
                    <w:rPr>
                      <w:lang w:val="en-US"/>
                    </w:rPr>
                    <w:t>K</w:t>
                  </w:r>
                  <w:r>
                    <w:rPr>
                      <w:vertAlign w:val="subscript"/>
                      <w:lang w:val="en-US"/>
                    </w:rPr>
                    <w:t>p</w:t>
                  </w:r>
                  <w:proofErr w:type="spellEnd"/>
                  <w:r>
                    <w:rPr>
                      <w:lang w:val="en-US"/>
                    </w:rPr>
                    <w:t xml:space="preserve">) x DRX cycle x </w:t>
                  </w:r>
                  <w:proofErr w:type="spellStart"/>
                  <w:r>
                    <w:rPr>
                      <w:lang w:val="en-US"/>
                    </w:rPr>
                    <w:t>CSSF</w:t>
                  </w:r>
                  <w:r>
                    <w:rPr>
                      <w:vertAlign w:val="subscript"/>
                      <w:lang w:val="en-US"/>
                    </w:rPr>
                    <w:t>intra</w:t>
                  </w:r>
                  <w:proofErr w:type="spellEnd"/>
                </w:p>
              </w:tc>
            </w:tr>
            <w:tr w:rsidR="008C398B" w:rsidTr="008C398B">
              <w:tc>
                <w:tcPr>
                  <w:tcW w:w="9241" w:type="dxa"/>
                  <w:gridSpan w:val="2"/>
                  <w:tcBorders>
                    <w:top w:val="single" w:sz="4" w:space="0" w:color="auto"/>
                    <w:left w:val="single" w:sz="4" w:space="0" w:color="auto"/>
                    <w:bottom w:val="single" w:sz="4" w:space="0" w:color="auto"/>
                    <w:right w:val="single" w:sz="4" w:space="0" w:color="auto"/>
                  </w:tcBorders>
                  <w:hideMark/>
                </w:tcPr>
                <w:p w:rsidR="008C398B" w:rsidRDefault="008C398B" w:rsidP="008C398B">
                  <w:pPr>
                    <w:pStyle w:val="TAN"/>
                    <w:rPr>
                      <w:lang w:eastAsia="ko-KR"/>
                    </w:rPr>
                  </w:pPr>
                  <w:r>
                    <w:rPr>
                      <w:lang w:eastAsia="ko-KR"/>
                    </w:rPr>
                    <w:t>NOTE 1:</w:t>
                  </w:r>
                  <w:r>
                    <w:rPr>
                      <w:lang w:eastAsia="ko-KR"/>
                    </w:rPr>
                    <w:tab/>
                    <w:t>If different SMTC periodicities are configured for different cells, the SMTC period in the requirement is the one used by the cell being identified</w:t>
                  </w:r>
                </w:p>
                <w:p w:rsidR="008C398B" w:rsidRDefault="008C398B" w:rsidP="008C398B">
                  <w:pPr>
                    <w:pStyle w:val="TAN"/>
                    <w:rPr>
                      <w:lang w:eastAsia="ko-KR"/>
                    </w:rPr>
                  </w:pPr>
                  <w:r>
                    <w:rPr>
                      <w:lang w:eastAsia="ko-KR"/>
                    </w:rPr>
                    <w:t>NOTE 2:</w:t>
                  </w:r>
                  <w:r>
                    <w:rPr>
                      <w:lang w:eastAsia="ko-KR"/>
                    </w:rPr>
                    <w:tab/>
                    <w:t>L</w:t>
                  </w:r>
                  <w:r>
                    <w:rPr>
                      <w:vertAlign w:val="subscript"/>
                      <w:lang w:eastAsia="ko-KR"/>
                    </w:rPr>
                    <w:t>PSS/SSS</w:t>
                  </w:r>
                  <w:r>
                    <w:t xml:space="preserve"> is the number of SMTC occasions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r>
                    <w:rPr>
                      <w:vertAlign w:val="subscript"/>
                      <w:lang w:eastAsia="ko-KR"/>
                    </w:rPr>
                    <w:t>SSS</w:t>
                  </w:r>
                  <w:proofErr w:type="gramStart"/>
                  <w:r>
                    <w:rPr>
                      <w:vertAlign w:val="subscript"/>
                      <w:lang w:eastAsia="ko-KR"/>
                    </w:rPr>
                    <w:t>,max</w:t>
                  </w:r>
                  <w:proofErr w:type="spellEnd"/>
                  <w:proofErr w:type="gramEnd"/>
                  <w:r>
                    <w:t xml:space="preserve">. </w:t>
                  </w:r>
                  <w:r w:rsidRPr="008C398B">
                    <w:rPr>
                      <w:highlight w:val="yellow"/>
                    </w:rPr>
                    <w:t xml:space="preserve">[When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8C398B">
                    <w:rPr>
                      <w:highlight w:val="yellow"/>
                    </w:rPr>
                    <w:t>CSSF</w:t>
                  </w:r>
                  <w:r w:rsidRPr="008C398B">
                    <w:rPr>
                      <w:highlight w:val="yellow"/>
                      <w:vertAlign w:val="subscript"/>
                    </w:rPr>
                    <w:t>intra</w:t>
                  </w:r>
                  <w:proofErr w:type="spellEnd"/>
                  <w:r w:rsidRPr="008C398B">
                    <w:rPr>
                      <w:highlight w:val="yellow"/>
                    </w:rPr>
                    <w:t>.]</w:t>
                  </w:r>
                </w:p>
                <w:p w:rsidR="008C398B" w:rsidRDefault="008C398B" w:rsidP="008C398B">
                  <w:pPr>
                    <w:pStyle w:val="TAN"/>
                  </w:pPr>
                  <w:r>
                    <w:rPr>
                      <w:lang w:eastAsia="ko-KR"/>
                    </w:rPr>
                    <w:t>NOTE 3:</w:t>
                  </w:r>
                  <w:r>
                    <w:rPr>
                      <w:lang w:eastAsia="ko-KR"/>
                    </w:rPr>
                    <w:tab/>
                    <w:t>L</w:t>
                  </w:r>
                  <w:r>
                    <w:rPr>
                      <w:vertAlign w:val="subscript"/>
                      <w:lang w:eastAsia="ko-KR"/>
                    </w:rPr>
                    <w:t>PSS/</w:t>
                  </w:r>
                  <w:proofErr w:type="spellStart"/>
                  <w:r>
                    <w:rPr>
                      <w:vertAlign w:val="subscript"/>
                      <w:lang w:eastAsia="ko-KR"/>
                    </w:rPr>
                    <w:t>SSS,max</w:t>
                  </w:r>
                  <w:proofErr w:type="spellEnd"/>
                  <w:r>
                    <w:t xml:space="preserve"> =7 for Max(DRX </w:t>
                  </w:r>
                  <w:proofErr w:type="spellStart"/>
                  <w:r>
                    <w:t>cycle,SMTC</w:t>
                  </w:r>
                  <w:proofErr w:type="spellEnd"/>
                  <w:r>
                    <w:t xml:space="preserve"> period)≤40ms where DRX cycle is 0 for non-DRX, </w:t>
                  </w:r>
                  <w:r>
                    <w:rPr>
                      <w:lang w:eastAsia="ko-KR"/>
                    </w:rPr>
                    <w:t>L</w:t>
                  </w:r>
                  <w:r>
                    <w:rPr>
                      <w:vertAlign w:val="subscript"/>
                      <w:lang w:eastAsia="ko-KR"/>
                    </w:rPr>
                    <w:t>PSS/</w:t>
                  </w:r>
                  <w:proofErr w:type="spellStart"/>
                  <w:r>
                    <w:rPr>
                      <w:vertAlign w:val="subscript"/>
                      <w:lang w:eastAsia="ko-KR"/>
                    </w:rPr>
                    <w:t>SSS,max</w:t>
                  </w:r>
                  <w:proofErr w:type="spellEnd"/>
                  <w:r>
                    <w:t xml:space="preserve"> =5 for 40ms&lt;Max(DRX </w:t>
                  </w:r>
                  <w:proofErr w:type="spellStart"/>
                  <w:r>
                    <w:t>cycle,SMTC</w:t>
                  </w:r>
                  <w:proofErr w:type="spellEnd"/>
                  <w:r>
                    <w:t xml:space="preserve"> period)≤320ms, </w:t>
                  </w:r>
                  <w:r>
                    <w:rPr>
                      <w:lang w:eastAsia="ko-KR"/>
                    </w:rPr>
                    <w:t>L</w:t>
                  </w:r>
                  <w:r>
                    <w:rPr>
                      <w:vertAlign w:val="subscript"/>
                      <w:lang w:eastAsia="ko-KR"/>
                    </w:rPr>
                    <w:t>PSS/</w:t>
                  </w:r>
                  <w:proofErr w:type="spellStart"/>
                  <w:r>
                    <w:rPr>
                      <w:vertAlign w:val="subscript"/>
                      <w:lang w:eastAsia="ko-KR"/>
                    </w:rPr>
                    <w:t>SSS,max</w:t>
                  </w:r>
                  <w:proofErr w:type="spellEnd"/>
                  <w:r>
                    <w:t xml:space="preserve"> = 3 for DRX cycle&gt;320ms.</w:t>
                  </w:r>
                </w:p>
                <w:p w:rsidR="008C398B" w:rsidRDefault="008C398B" w:rsidP="008C398B">
                  <w:pPr>
                    <w:pStyle w:val="TAN"/>
                  </w:pPr>
                  <w:r>
                    <w:t>NOTE 4:</w:t>
                  </w:r>
                  <w:r>
                    <w:rPr>
                      <w:lang w:eastAsia="ko-KR"/>
                    </w:rPr>
                    <w:tab/>
                  </w:r>
                  <w:r>
                    <w:rPr>
                      <w:lang w:val="x-none"/>
                    </w:rPr>
                    <w:t xml:space="preserve">Upon </w:t>
                  </w:r>
                  <w:r>
                    <w:t>exceeding</w:t>
                  </w:r>
                  <w:r>
                    <w:rPr>
                      <w:lang w:eastAsia="ko-KR"/>
                    </w:rPr>
                    <w:t xml:space="preserve"> L</w:t>
                  </w:r>
                  <w:r>
                    <w:rPr>
                      <w:vertAlign w:val="subscript"/>
                      <w:lang w:eastAsia="ko-KR"/>
                    </w:rPr>
                    <w:t>PSS/</w:t>
                  </w:r>
                  <w:proofErr w:type="spellStart"/>
                  <w:r>
                    <w:rPr>
                      <w:vertAlign w:val="subscript"/>
                      <w:lang w:eastAsia="ko-KR"/>
                    </w:rPr>
                    <w:t>SSS</w:t>
                  </w:r>
                  <w:proofErr w:type="gramStart"/>
                  <w:r>
                    <w:rPr>
                      <w:vertAlign w:val="subscript"/>
                      <w:lang w:eastAsia="ko-KR"/>
                    </w:rPr>
                    <w:t>,max</w:t>
                  </w:r>
                  <w:proofErr w:type="spellEnd"/>
                  <w:proofErr w:type="gramEnd"/>
                  <w:r>
                    <w:rPr>
                      <w:lang w:val="x-none"/>
                    </w:rPr>
                    <w:t xml:space="preserve">, the </w:t>
                  </w:r>
                  <w:r>
                    <w:t>UE is not required to meet the requirements for PSS/SSS detection.</w:t>
                  </w:r>
                </w:p>
              </w:tc>
            </w:tr>
          </w:tbl>
          <w:p w:rsidR="008C398B" w:rsidRDefault="008C398B" w:rsidP="00A26AB0">
            <w:pPr>
              <w:rPr>
                <w:rFonts w:eastAsiaTheme="minorEastAsia"/>
                <w:lang w:val="en-US" w:eastAsia="zh-CN"/>
              </w:rPr>
            </w:pPr>
          </w:p>
        </w:tc>
      </w:tr>
    </w:tbl>
    <w:p w:rsidR="008C398B" w:rsidRDefault="008C398B" w:rsidP="00A26AB0">
      <w:pPr>
        <w:rPr>
          <w:rFonts w:eastAsiaTheme="minorEastAsia"/>
          <w:lang w:val="en-US" w:eastAsia="zh-CN"/>
        </w:rPr>
      </w:pPr>
    </w:p>
    <w:p w:rsidR="008C398B" w:rsidRDefault="0027365E" w:rsidP="00A26AB0">
      <w:pPr>
        <w:rPr>
          <w:rFonts w:eastAsiaTheme="minorEastAsia"/>
          <w:lang w:val="en-US" w:eastAsia="zh-CN"/>
        </w:rPr>
      </w:pPr>
      <w:r>
        <w:rPr>
          <w:rFonts w:eastAsiaTheme="minorEastAsia"/>
          <w:lang w:val="en-US" w:eastAsia="zh-CN"/>
        </w:rPr>
        <w:t xml:space="preserve">We can understand the motivation </w:t>
      </w:r>
      <w:r w:rsidR="008B4A2C">
        <w:rPr>
          <w:rFonts w:eastAsiaTheme="minorEastAsia"/>
          <w:lang w:val="en-US" w:eastAsia="zh-CN"/>
        </w:rPr>
        <w:t xml:space="preserve">of </w:t>
      </w:r>
      <w:r>
        <w:rPr>
          <w:rFonts w:eastAsiaTheme="minorEastAsia"/>
          <w:lang w:val="en-US" w:eastAsia="zh-CN"/>
        </w:rPr>
        <w:t xml:space="preserve">the changes to simplify the cases and capture some general and unified descriptions in the spec. However, the current wording is not clear and also lead to some additional ambiguities. For example, it is defined that UE </w:t>
      </w:r>
      <w:r w:rsidRPr="0027365E">
        <w:rPr>
          <w:rFonts w:eastAsiaTheme="minorEastAsia"/>
          <w:lang w:val="en-US" w:eastAsia="zh-CN"/>
        </w:rPr>
        <w:t>is not required to determine the availability of SMTC occasions more frequent than once per DRX cycle</w:t>
      </w:r>
      <w:r>
        <w:rPr>
          <w:rFonts w:eastAsiaTheme="minorEastAsia"/>
          <w:lang w:val="en-US" w:eastAsia="zh-CN"/>
        </w:rPr>
        <w:t xml:space="preserve">, but if the DRX cycle is short than the SMTC periodicity, UE is not need to perform the detection and determine whether the SMTC is available or not once </w:t>
      </w:r>
      <w:r w:rsidR="008B4A2C">
        <w:rPr>
          <w:rFonts w:eastAsiaTheme="minorEastAsia"/>
          <w:lang w:val="en-US" w:eastAsia="zh-CN"/>
        </w:rPr>
        <w:t xml:space="preserve">per </w:t>
      </w:r>
      <w:r>
        <w:rPr>
          <w:rFonts w:eastAsiaTheme="minorEastAsia"/>
          <w:lang w:val="en-US" w:eastAsia="zh-CN"/>
        </w:rPr>
        <w:t xml:space="preserve">DRX. Also, for the case when DRX is configured and is smaller than 320 </w:t>
      </w:r>
      <w:proofErr w:type="spellStart"/>
      <w:r>
        <w:rPr>
          <w:rFonts w:eastAsiaTheme="minorEastAsia"/>
          <w:lang w:val="en-US" w:eastAsia="zh-CN"/>
        </w:rPr>
        <w:t>ms</w:t>
      </w:r>
      <w:proofErr w:type="spellEnd"/>
      <w:r>
        <w:rPr>
          <w:rFonts w:eastAsiaTheme="minorEastAsia"/>
          <w:lang w:val="en-US" w:eastAsia="zh-CN"/>
        </w:rPr>
        <w:t xml:space="preserve">, the scaler of 1.5 is added in the requirements which means UE is also not need to do the detection every DRX cycle. Also there is </w:t>
      </w:r>
      <w:proofErr w:type="spellStart"/>
      <w:proofErr w:type="gramStart"/>
      <w:r>
        <w:rPr>
          <w:rFonts w:eastAsiaTheme="minorEastAsia"/>
          <w:lang w:val="en-US" w:eastAsia="zh-CN"/>
        </w:rPr>
        <w:t>Kp</w:t>
      </w:r>
      <w:proofErr w:type="spellEnd"/>
      <w:proofErr w:type="gramEnd"/>
      <w:r>
        <w:rPr>
          <w:rFonts w:eastAsiaTheme="minorEastAsia"/>
          <w:lang w:val="en-US" w:eastAsia="zh-CN"/>
        </w:rPr>
        <w:t xml:space="preserve"> for the case when SMTC is partially overlapped with the measurement gap, </w:t>
      </w:r>
      <w:r w:rsidR="009D1A47">
        <w:rPr>
          <w:rFonts w:eastAsiaTheme="minorEastAsia"/>
          <w:lang w:val="en-US" w:eastAsia="zh-CN"/>
        </w:rPr>
        <w:t>which may also need to be considered. What</w:t>
      </w:r>
      <w:r w:rsidR="008B4A2C">
        <w:rPr>
          <w:rFonts w:eastAsiaTheme="minorEastAsia"/>
          <w:lang w:val="en-US" w:eastAsia="zh-CN"/>
        </w:rPr>
        <w:t>’s</w:t>
      </w:r>
      <w:r w:rsidR="009D1A47">
        <w:rPr>
          <w:rFonts w:eastAsiaTheme="minorEastAsia"/>
          <w:lang w:val="en-US" w:eastAsia="zh-CN"/>
        </w:rPr>
        <w:t xml:space="preserve"> more, the requirements are defined based on the number of samples to fulfill the accuracy requirements, but it doesn’t necessarily mean UE has to follow same measurement behavior. For example, 5 samples are assumed to derive the time period for detection, but it doesn’t mean UE has to use the exact number of samples and perform the detection once every DRX cycles. The current wording puts extra limits on UE implementation and behavior. Based on the analysis above, it is suggested to capture more general and unified the descriptions. Taking the above requirements as example, it is suggested to update the terminology as follows:</w:t>
      </w:r>
    </w:p>
    <w:p w:rsidR="009D1A47" w:rsidRDefault="009D1A47" w:rsidP="00A26AB0">
      <w:pPr>
        <w:rPr>
          <w:rFonts w:eastAsiaTheme="minorEastAsia"/>
          <w:lang w:val="en-US" w:eastAsia="zh-CN"/>
        </w:rPr>
      </w:pPr>
      <w:r>
        <w:rPr>
          <w:rFonts w:eastAsiaTheme="minorEastAsia"/>
          <w:lang w:val="en-US" w:eastAsia="zh-CN"/>
        </w:rPr>
        <w:t>“</w:t>
      </w:r>
      <w:r>
        <w:rPr>
          <w:lang w:eastAsia="ko-KR"/>
        </w:rPr>
        <w:t>L</w:t>
      </w:r>
      <w:r>
        <w:rPr>
          <w:vertAlign w:val="subscript"/>
          <w:lang w:eastAsia="ko-KR"/>
        </w:rPr>
        <w:t>PSS/SSS</w:t>
      </w:r>
      <w:r>
        <w:t xml:space="preserve"> is the number of SMTC occasions not available at the UE during T</w:t>
      </w:r>
      <w:r>
        <w:rPr>
          <w:vertAlign w:val="subscript"/>
        </w:rPr>
        <w:t>PSS/</w:t>
      </w:r>
      <w:proofErr w:type="spellStart"/>
      <w:r>
        <w:rPr>
          <w:vertAlign w:val="subscript"/>
        </w:rPr>
        <w:t>SSS_sync_intra_CCA</w:t>
      </w:r>
      <w:proofErr w:type="spellEnd"/>
      <w:r>
        <w:t xml:space="preserve"> for PSS/SSS detection, where</w:t>
      </w:r>
      <w:r>
        <w:rPr>
          <w:lang w:eastAsia="ko-KR"/>
        </w:rPr>
        <w:t xml:space="preserve"> L</w:t>
      </w:r>
      <w:r>
        <w:rPr>
          <w:vertAlign w:val="subscript"/>
          <w:lang w:eastAsia="ko-KR"/>
        </w:rPr>
        <w:t>PSS/SSS</w:t>
      </w:r>
      <w:r>
        <w:rPr>
          <w:lang w:eastAsia="ko-KR"/>
        </w:rPr>
        <w:t>&lt; L</w:t>
      </w:r>
      <w:r>
        <w:rPr>
          <w:vertAlign w:val="subscript"/>
          <w:lang w:eastAsia="ko-KR"/>
        </w:rPr>
        <w:t>PSS/</w:t>
      </w:r>
      <w:proofErr w:type="spellStart"/>
      <w:r>
        <w:rPr>
          <w:vertAlign w:val="subscript"/>
          <w:lang w:eastAsia="ko-KR"/>
        </w:rPr>
        <w:t>SSS</w:t>
      </w:r>
      <w:proofErr w:type="gramStart"/>
      <w:r>
        <w:rPr>
          <w:vertAlign w:val="subscript"/>
          <w:lang w:eastAsia="ko-KR"/>
        </w:rPr>
        <w:t>,max</w:t>
      </w:r>
      <w:proofErr w:type="spellEnd"/>
      <w:proofErr w:type="gramEnd"/>
      <w:r>
        <w:t>, and the SMTC occasions are</w:t>
      </w:r>
      <w:r w:rsidR="00D463A3">
        <w:t xml:space="preserve"> those </w:t>
      </w:r>
      <w:r>
        <w:t>that are actively used by UE during T</w:t>
      </w:r>
      <w:r>
        <w:rPr>
          <w:vertAlign w:val="subscript"/>
        </w:rPr>
        <w:t>PSS/</w:t>
      </w:r>
      <w:proofErr w:type="spellStart"/>
      <w:r>
        <w:rPr>
          <w:vertAlign w:val="subscript"/>
        </w:rPr>
        <w:t>SSS_sync_intra_CCA</w:t>
      </w:r>
      <w:proofErr w:type="spellEnd"/>
      <w:r>
        <w:rPr>
          <w:vertAlign w:val="subscript"/>
        </w:rPr>
        <w:t xml:space="preserve"> </w:t>
      </w:r>
      <w:r w:rsidR="00D463A3" w:rsidRPr="00D463A3">
        <w:softHyphen/>
      </w:r>
      <w:r w:rsidR="00D463A3">
        <w:t xml:space="preserve">for PSS/SS detection </w:t>
      </w:r>
      <w:r w:rsidR="00D463A3" w:rsidRPr="00D463A3">
        <w:t>c</w:t>
      </w:r>
      <w:r w:rsidRPr="00D463A3">
        <w:t>onsidering</w:t>
      </w:r>
      <w:r w:rsidR="005763DF">
        <w:t xml:space="preserve"> factors</w:t>
      </w:r>
      <w:r>
        <w:t xml:space="preserve">, e.g. DRX, </w:t>
      </w:r>
      <w:proofErr w:type="spellStart"/>
      <w:r>
        <w:t>CSSF</w:t>
      </w:r>
      <w:r w:rsidRPr="009D1A47">
        <w:rPr>
          <w:vertAlign w:val="subscript"/>
        </w:rPr>
        <w:t>intra</w:t>
      </w:r>
      <w:proofErr w:type="spellEnd"/>
      <w:r>
        <w:rPr>
          <w:rFonts w:eastAsiaTheme="minorEastAsia"/>
          <w:lang w:val="en-US" w:eastAsia="zh-CN"/>
        </w:rPr>
        <w:t>”</w:t>
      </w:r>
    </w:p>
    <w:p w:rsidR="009D1A47" w:rsidRPr="003E7C96" w:rsidRDefault="008B4A2C" w:rsidP="00A26AB0">
      <w:pPr>
        <w:rPr>
          <w:rFonts w:eastAsiaTheme="minorEastAsia"/>
          <w:b/>
          <w:lang w:val="en-US" w:eastAsia="zh-CN"/>
        </w:rPr>
      </w:pPr>
      <w:r w:rsidRPr="003E7C96">
        <w:rPr>
          <w:rFonts w:eastAsiaTheme="minorEastAsia"/>
          <w:b/>
          <w:lang w:val="en-US" w:eastAsia="zh-CN"/>
        </w:rPr>
        <w:t xml:space="preserve">Proposal 1: L* is the number of SSB/SMTC occasions not available at the UE during the corresponding period, where the occasions are those that are actively used by the UE during the period considering the </w:t>
      </w:r>
      <w:r w:rsidR="003E7C96" w:rsidRPr="003E7C96">
        <w:rPr>
          <w:rFonts w:eastAsiaTheme="minorEastAsia"/>
          <w:b/>
          <w:lang w:val="en-US" w:eastAsia="zh-CN"/>
        </w:rPr>
        <w:t>factors, e.g. DRX, MGRP, CSSF.</w:t>
      </w:r>
    </w:p>
    <w:p w:rsidR="00DF0231" w:rsidRPr="002D2977" w:rsidRDefault="00DF0231" w:rsidP="00DF0231">
      <w:pPr>
        <w:pStyle w:val="1"/>
        <w:numPr>
          <w:ilvl w:val="0"/>
          <w:numId w:val="1"/>
        </w:numPr>
        <w:rPr>
          <w:lang w:val="en-US"/>
        </w:rPr>
      </w:pPr>
      <w:r w:rsidRPr="002D2977">
        <w:rPr>
          <w:lang w:val="en-US"/>
        </w:rPr>
        <w:t>Conclusions</w:t>
      </w:r>
    </w:p>
    <w:p w:rsidR="00F34526" w:rsidRPr="00EE1CF7" w:rsidRDefault="003E7C96" w:rsidP="008F67CF">
      <w:pPr>
        <w:rPr>
          <w:rFonts w:eastAsiaTheme="minorEastAsia" w:cs="v4.2.0"/>
          <w:b/>
          <w:lang w:val="en-US" w:eastAsia="zh-CN"/>
        </w:rPr>
      </w:pPr>
      <w:r w:rsidRPr="003E7C96">
        <w:rPr>
          <w:rFonts w:eastAsiaTheme="minorEastAsia" w:cs="v4.2.0"/>
          <w:b/>
          <w:lang w:val="en-US" w:eastAsia="zh-CN"/>
        </w:rPr>
        <w:t>Proposal 1: L* is the number of SSB/SMTC occasions not available at the UE during the corresponding period, where the occasions are those that are actively used by the UE during the period considering the factors, e.g. DRX, MGRP, CSSF.</w:t>
      </w:r>
    </w:p>
    <w:p w:rsidR="00DF0231" w:rsidRPr="002D2977" w:rsidRDefault="00DF0231" w:rsidP="00DF0231">
      <w:pPr>
        <w:pStyle w:val="1"/>
        <w:tabs>
          <w:tab w:val="clear" w:pos="432"/>
        </w:tabs>
        <w:ind w:left="0" w:firstLine="0"/>
        <w:rPr>
          <w:lang w:val="en-US"/>
        </w:rPr>
      </w:pPr>
      <w:r w:rsidRPr="002D2977">
        <w:rPr>
          <w:lang w:val="en-US"/>
        </w:rPr>
        <w:t>References</w:t>
      </w:r>
    </w:p>
    <w:p w:rsidR="00A7739E" w:rsidRPr="00F34526" w:rsidRDefault="00A7739E" w:rsidP="000C2147">
      <w:pPr>
        <w:rPr>
          <w:lang w:val="en-US"/>
        </w:rPr>
      </w:pPr>
      <w:r>
        <w:rPr>
          <w:lang w:val="en-US"/>
        </w:rPr>
        <w:t>[</w:t>
      </w:r>
      <w:r w:rsidR="00067A48">
        <w:rPr>
          <w:lang w:val="en-US"/>
        </w:rPr>
        <w:t>1</w:t>
      </w:r>
      <w:r>
        <w:rPr>
          <w:lang w:val="en-US"/>
        </w:rPr>
        <w:t xml:space="preserve">] </w:t>
      </w:r>
      <w:r w:rsidR="00F34526" w:rsidRPr="00F34526">
        <w:t>R4-2103025 WF on NR-U RRM Core Requirements</w:t>
      </w:r>
      <w:r w:rsidR="00F34526">
        <w:t xml:space="preserve">, </w:t>
      </w:r>
      <w:r w:rsidR="00F34526" w:rsidRPr="00F34526">
        <w:rPr>
          <w:lang w:val="en-US"/>
        </w:rPr>
        <w:t>Ericsson</w:t>
      </w:r>
    </w:p>
    <w:p w:rsidR="00067A48" w:rsidRDefault="00067A48" w:rsidP="000C2147">
      <w:r>
        <w:t xml:space="preserve">[2] </w:t>
      </w:r>
      <w:r w:rsidR="008C398B" w:rsidRPr="008C398B">
        <w:t xml:space="preserve">R4-2103514 </w:t>
      </w:r>
      <w:r w:rsidR="008C398B">
        <w:t>Terminology updates for NR-U in 38.133, Ericsson</w:t>
      </w: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48B5" w:rsidRDefault="00F148B5">
      <w:pPr>
        <w:spacing w:after="0"/>
      </w:pPr>
      <w:r>
        <w:separator/>
      </w:r>
    </w:p>
  </w:endnote>
  <w:endnote w:type="continuationSeparator" w:id="0">
    <w:p w:rsidR="00F148B5" w:rsidRDefault="00F148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n-ea">
    <w:panose1 w:val="00000000000000000000"/>
    <w:charset w:val="00"/>
    <w:family w:val="roman"/>
    <w:notTrueType/>
    <w:pitch w:val="default"/>
  </w:font>
  <w:font w:name="+mn-cs">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216" w:rsidRDefault="00CB6216">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CB6216" w:rsidRDefault="00CB621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216" w:rsidRDefault="00CB6216">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04DB5">
      <w:rPr>
        <w:rStyle w:val="a5"/>
      </w:rPr>
      <w:t>2</w:t>
    </w:r>
    <w:r>
      <w:rPr>
        <w:rStyle w:val="a5"/>
      </w:rPr>
      <w:fldChar w:fldCharType="end"/>
    </w:r>
  </w:p>
  <w:p w:rsidR="00CB6216" w:rsidRDefault="00CB621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48B5" w:rsidRDefault="00F148B5">
      <w:pPr>
        <w:spacing w:after="0"/>
      </w:pPr>
      <w:r>
        <w:separator/>
      </w:r>
    </w:p>
  </w:footnote>
  <w:footnote w:type="continuationSeparator" w:id="0">
    <w:p w:rsidR="00F148B5" w:rsidRDefault="00F148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516F57"/>
    <w:multiLevelType w:val="hybridMultilevel"/>
    <w:tmpl w:val="BDBA1CF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CD1231C"/>
    <w:multiLevelType w:val="hybridMultilevel"/>
    <w:tmpl w:val="526C58C4"/>
    <w:lvl w:ilvl="0" w:tplc="9C20070A">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E96DE2"/>
    <w:multiLevelType w:val="hybridMultilevel"/>
    <w:tmpl w:val="7C72A636"/>
    <w:lvl w:ilvl="0" w:tplc="D83C3608">
      <w:start w:val="1"/>
      <w:numFmt w:val="bullet"/>
      <w:lvlText w:val="•"/>
      <w:lvlJc w:val="left"/>
      <w:pPr>
        <w:tabs>
          <w:tab w:val="num" w:pos="720"/>
        </w:tabs>
        <w:ind w:left="720" w:hanging="360"/>
      </w:pPr>
      <w:rPr>
        <w:rFonts w:ascii="Arial" w:hAnsi="Arial" w:hint="default"/>
      </w:rPr>
    </w:lvl>
    <w:lvl w:ilvl="1" w:tplc="59267200" w:tentative="1">
      <w:start w:val="1"/>
      <w:numFmt w:val="bullet"/>
      <w:lvlText w:val="•"/>
      <w:lvlJc w:val="left"/>
      <w:pPr>
        <w:tabs>
          <w:tab w:val="num" w:pos="1440"/>
        </w:tabs>
        <w:ind w:left="1440" w:hanging="360"/>
      </w:pPr>
      <w:rPr>
        <w:rFonts w:ascii="Arial" w:hAnsi="Arial" w:hint="default"/>
      </w:rPr>
    </w:lvl>
    <w:lvl w:ilvl="2" w:tplc="F0EE74B4" w:tentative="1">
      <w:start w:val="1"/>
      <w:numFmt w:val="bullet"/>
      <w:lvlText w:val="•"/>
      <w:lvlJc w:val="left"/>
      <w:pPr>
        <w:tabs>
          <w:tab w:val="num" w:pos="2160"/>
        </w:tabs>
        <w:ind w:left="2160" w:hanging="360"/>
      </w:pPr>
      <w:rPr>
        <w:rFonts w:ascii="Arial" w:hAnsi="Arial" w:hint="default"/>
      </w:rPr>
    </w:lvl>
    <w:lvl w:ilvl="3" w:tplc="8A288C64" w:tentative="1">
      <w:start w:val="1"/>
      <w:numFmt w:val="bullet"/>
      <w:lvlText w:val="•"/>
      <w:lvlJc w:val="left"/>
      <w:pPr>
        <w:tabs>
          <w:tab w:val="num" w:pos="2880"/>
        </w:tabs>
        <w:ind w:left="2880" w:hanging="360"/>
      </w:pPr>
      <w:rPr>
        <w:rFonts w:ascii="Arial" w:hAnsi="Arial" w:hint="default"/>
      </w:rPr>
    </w:lvl>
    <w:lvl w:ilvl="4" w:tplc="3D8ED504" w:tentative="1">
      <w:start w:val="1"/>
      <w:numFmt w:val="bullet"/>
      <w:lvlText w:val="•"/>
      <w:lvlJc w:val="left"/>
      <w:pPr>
        <w:tabs>
          <w:tab w:val="num" w:pos="3600"/>
        </w:tabs>
        <w:ind w:left="3600" w:hanging="360"/>
      </w:pPr>
      <w:rPr>
        <w:rFonts w:ascii="Arial" w:hAnsi="Arial" w:hint="default"/>
      </w:rPr>
    </w:lvl>
    <w:lvl w:ilvl="5" w:tplc="863C2792" w:tentative="1">
      <w:start w:val="1"/>
      <w:numFmt w:val="bullet"/>
      <w:lvlText w:val="•"/>
      <w:lvlJc w:val="left"/>
      <w:pPr>
        <w:tabs>
          <w:tab w:val="num" w:pos="4320"/>
        </w:tabs>
        <w:ind w:left="4320" w:hanging="360"/>
      </w:pPr>
      <w:rPr>
        <w:rFonts w:ascii="Arial" w:hAnsi="Arial" w:hint="default"/>
      </w:rPr>
    </w:lvl>
    <w:lvl w:ilvl="6" w:tplc="6CB4D35E" w:tentative="1">
      <w:start w:val="1"/>
      <w:numFmt w:val="bullet"/>
      <w:lvlText w:val="•"/>
      <w:lvlJc w:val="left"/>
      <w:pPr>
        <w:tabs>
          <w:tab w:val="num" w:pos="5040"/>
        </w:tabs>
        <w:ind w:left="5040" w:hanging="360"/>
      </w:pPr>
      <w:rPr>
        <w:rFonts w:ascii="Arial" w:hAnsi="Arial" w:hint="default"/>
      </w:rPr>
    </w:lvl>
    <w:lvl w:ilvl="7" w:tplc="5742D418" w:tentative="1">
      <w:start w:val="1"/>
      <w:numFmt w:val="bullet"/>
      <w:lvlText w:val="•"/>
      <w:lvlJc w:val="left"/>
      <w:pPr>
        <w:tabs>
          <w:tab w:val="num" w:pos="5760"/>
        </w:tabs>
        <w:ind w:left="5760" w:hanging="360"/>
      </w:pPr>
      <w:rPr>
        <w:rFonts w:ascii="Arial" w:hAnsi="Arial" w:hint="default"/>
      </w:rPr>
    </w:lvl>
    <w:lvl w:ilvl="8" w:tplc="41FCBFB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41"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4"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4"/>
  </w:num>
  <w:num w:numId="2">
    <w:abstractNumId w:val="1"/>
  </w:num>
  <w:num w:numId="3">
    <w:abstractNumId w:val="39"/>
  </w:num>
  <w:num w:numId="4">
    <w:abstractNumId w:val="43"/>
  </w:num>
  <w:num w:numId="5">
    <w:abstractNumId w:val="30"/>
  </w:num>
  <w:num w:numId="6">
    <w:abstractNumId w:val="14"/>
  </w:num>
  <w:num w:numId="7">
    <w:abstractNumId w:val="26"/>
  </w:num>
  <w:num w:numId="8">
    <w:abstractNumId w:val="4"/>
  </w:num>
  <w:num w:numId="9">
    <w:abstractNumId w:val="12"/>
  </w:num>
  <w:num w:numId="10">
    <w:abstractNumId w:val="7"/>
  </w:num>
  <w:num w:numId="11">
    <w:abstractNumId w:val="16"/>
  </w:num>
  <w:num w:numId="12">
    <w:abstractNumId w:val="20"/>
  </w:num>
  <w:num w:numId="13">
    <w:abstractNumId w:val="19"/>
  </w:num>
  <w:num w:numId="14">
    <w:abstractNumId w:val="15"/>
  </w:num>
  <w:num w:numId="15">
    <w:abstractNumId w:val="37"/>
  </w:num>
  <w:num w:numId="16">
    <w:abstractNumId w:val="6"/>
  </w:num>
  <w:num w:numId="17">
    <w:abstractNumId w:val="5"/>
  </w:num>
  <w:num w:numId="18">
    <w:abstractNumId w:val="17"/>
  </w:num>
  <w:num w:numId="19">
    <w:abstractNumId w:val="35"/>
  </w:num>
  <w:num w:numId="20">
    <w:abstractNumId w:val="32"/>
  </w:num>
  <w:num w:numId="21">
    <w:abstractNumId w:val="3"/>
  </w:num>
  <w:num w:numId="22">
    <w:abstractNumId w:val="9"/>
  </w:num>
  <w:num w:numId="23">
    <w:abstractNumId w:val="23"/>
  </w:num>
  <w:num w:numId="24">
    <w:abstractNumId w:val="21"/>
  </w:num>
  <w:num w:numId="25">
    <w:abstractNumId w:val="29"/>
  </w:num>
  <w:num w:numId="26">
    <w:abstractNumId w:val="41"/>
  </w:num>
  <w:num w:numId="27">
    <w:abstractNumId w:val="33"/>
  </w:num>
  <w:num w:numId="28">
    <w:abstractNumId w:val="42"/>
  </w:num>
  <w:num w:numId="29">
    <w:abstractNumId w:val="25"/>
  </w:num>
  <w:num w:numId="30">
    <w:abstractNumId w:val="8"/>
  </w:num>
  <w:num w:numId="31">
    <w:abstractNumId w:val="10"/>
  </w:num>
  <w:num w:numId="32">
    <w:abstractNumId w:val="0"/>
  </w:num>
  <w:num w:numId="33">
    <w:abstractNumId w:val="28"/>
  </w:num>
  <w:num w:numId="34">
    <w:abstractNumId w:val="44"/>
  </w:num>
  <w:num w:numId="35">
    <w:abstractNumId w:val="11"/>
  </w:num>
  <w:num w:numId="36">
    <w:abstractNumId w:val="31"/>
  </w:num>
  <w:num w:numId="37">
    <w:abstractNumId w:val="34"/>
  </w:num>
  <w:num w:numId="38">
    <w:abstractNumId w:val="40"/>
  </w:num>
  <w:num w:numId="39">
    <w:abstractNumId w:val="2"/>
  </w:num>
  <w:num w:numId="40">
    <w:abstractNumId w:val="38"/>
  </w:num>
  <w:num w:numId="41">
    <w:abstractNumId w:val="18"/>
  </w:num>
  <w:num w:numId="42">
    <w:abstractNumId w:val="13"/>
  </w:num>
  <w:num w:numId="43">
    <w:abstractNumId w:val="36"/>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A48"/>
    <w:rsid w:val="00067B89"/>
    <w:rsid w:val="00076C0A"/>
    <w:rsid w:val="000903D2"/>
    <w:rsid w:val="000A1878"/>
    <w:rsid w:val="000A2ED7"/>
    <w:rsid w:val="000A4BCB"/>
    <w:rsid w:val="000A7A19"/>
    <w:rsid w:val="000C2147"/>
    <w:rsid w:val="000D2930"/>
    <w:rsid w:val="000E0A8A"/>
    <w:rsid w:val="000E2C03"/>
    <w:rsid w:val="0010016B"/>
    <w:rsid w:val="00100360"/>
    <w:rsid w:val="0011207E"/>
    <w:rsid w:val="001230FF"/>
    <w:rsid w:val="001365E9"/>
    <w:rsid w:val="0014128A"/>
    <w:rsid w:val="00141870"/>
    <w:rsid w:val="0017747E"/>
    <w:rsid w:val="001A1E7C"/>
    <w:rsid w:val="001D3006"/>
    <w:rsid w:val="001E7174"/>
    <w:rsid w:val="0020033A"/>
    <w:rsid w:val="00216AAB"/>
    <w:rsid w:val="002221AC"/>
    <w:rsid w:val="00222A85"/>
    <w:rsid w:val="00222AF7"/>
    <w:rsid w:val="002328DD"/>
    <w:rsid w:val="00243552"/>
    <w:rsid w:val="00245810"/>
    <w:rsid w:val="00254F38"/>
    <w:rsid w:val="00272F1F"/>
    <w:rsid w:val="0027365E"/>
    <w:rsid w:val="002736F0"/>
    <w:rsid w:val="00282D3C"/>
    <w:rsid w:val="00294B79"/>
    <w:rsid w:val="002A235C"/>
    <w:rsid w:val="002A5E54"/>
    <w:rsid w:val="002B45C3"/>
    <w:rsid w:val="002E668C"/>
    <w:rsid w:val="002F579F"/>
    <w:rsid w:val="00311CF9"/>
    <w:rsid w:val="003158EC"/>
    <w:rsid w:val="00321181"/>
    <w:rsid w:val="00336939"/>
    <w:rsid w:val="00356FB6"/>
    <w:rsid w:val="003622B2"/>
    <w:rsid w:val="003664ED"/>
    <w:rsid w:val="00377D59"/>
    <w:rsid w:val="0038462A"/>
    <w:rsid w:val="003A5CBC"/>
    <w:rsid w:val="003A5E2B"/>
    <w:rsid w:val="003E7C96"/>
    <w:rsid w:val="003F762D"/>
    <w:rsid w:val="00401473"/>
    <w:rsid w:val="00415933"/>
    <w:rsid w:val="00430F24"/>
    <w:rsid w:val="00435EBD"/>
    <w:rsid w:val="00451B80"/>
    <w:rsid w:val="00455FD0"/>
    <w:rsid w:val="00466D02"/>
    <w:rsid w:val="00477263"/>
    <w:rsid w:val="0049501A"/>
    <w:rsid w:val="004A678E"/>
    <w:rsid w:val="004A7CF2"/>
    <w:rsid w:val="004B1ECE"/>
    <w:rsid w:val="004B4633"/>
    <w:rsid w:val="004C4868"/>
    <w:rsid w:val="004D3C97"/>
    <w:rsid w:val="004E3732"/>
    <w:rsid w:val="004F0167"/>
    <w:rsid w:val="005235DB"/>
    <w:rsid w:val="00530EB0"/>
    <w:rsid w:val="005375AA"/>
    <w:rsid w:val="005409B9"/>
    <w:rsid w:val="00545EC2"/>
    <w:rsid w:val="0054734A"/>
    <w:rsid w:val="00557527"/>
    <w:rsid w:val="005763DF"/>
    <w:rsid w:val="005A456B"/>
    <w:rsid w:val="005B0D68"/>
    <w:rsid w:val="005B6053"/>
    <w:rsid w:val="005D231A"/>
    <w:rsid w:val="005D3DC0"/>
    <w:rsid w:val="005E4CCD"/>
    <w:rsid w:val="005F5231"/>
    <w:rsid w:val="00604490"/>
    <w:rsid w:val="0061679F"/>
    <w:rsid w:val="00672FCE"/>
    <w:rsid w:val="006A68E5"/>
    <w:rsid w:val="006C4BDB"/>
    <w:rsid w:val="006D43CD"/>
    <w:rsid w:val="006D7325"/>
    <w:rsid w:val="006F1BAF"/>
    <w:rsid w:val="006F27CD"/>
    <w:rsid w:val="00701598"/>
    <w:rsid w:val="00702FA5"/>
    <w:rsid w:val="00712608"/>
    <w:rsid w:val="00714064"/>
    <w:rsid w:val="007200C7"/>
    <w:rsid w:val="00723883"/>
    <w:rsid w:val="00732D90"/>
    <w:rsid w:val="00736D84"/>
    <w:rsid w:val="00766048"/>
    <w:rsid w:val="0077159B"/>
    <w:rsid w:val="00786C50"/>
    <w:rsid w:val="007902A8"/>
    <w:rsid w:val="007A37DA"/>
    <w:rsid w:val="007A52D1"/>
    <w:rsid w:val="007B3DC0"/>
    <w:rsid w:val="007D0DF7"/>
    <w:rsid w:val="007D3409"/>
    <w:rsid w:val="007E2E8A"/>
    <w:rsid w:val="007E5F97"/>
    <w:rsid w:val="007E67EC"/>
    <w:rsid w:val="007F045C"/>
    <w:rsid w:val="007F2E6A"/>
    <w:rsid w:val="007F7E14"/>
    <w:rsid w:val="00804945"/>
    <w:rsid w:val="008408E7"/>
    <w:rsid w:val="008446CE"/>
    <w:rsid w:val="00852630"/>
    <w:rsid w:val="008708B9"/>
    <w:rsid w:val="0087326D"/>
    <w:rsid w:val="00873C1C"/>
    <w:rsid w:val="00873F55"/>
    <w:rsid w:val="008766C3"/>
    <w:rsid w:val="008921D4"/>
    <w:rsid w:val="00892EAE"/>
    <w:rsid w:val="00893C66"/>
    <w:rsid w:val="008A1C4E"/>
    <w:rsid w:val="008A2B76"/>
    <w:rsid w:val="008B3970"/>
    <w:rsid w:val="008B4A2C"/>
    <w:rsid w:val="008B4F73"/>
    <w:rsid w:val="008C398B"/>
    <w:rsid w:val="008D2D3D"/>
    <w:rsid w:val="008D55C5"/>
    <w:rsid w:val="008E1A3D"/>
    <w:rsid w:val="008E2591"/>
    <w:rsid w:val="008F67CF"/>
    <w:rsid w:val="00914A03"/>
    <w:rsid w:val="00915DEA"/>
    <w:rsid w:val="0092386A"/>
    <w:rsid w:val="00923CC3"/>
    <w:rsid w:val="00931830"/>
    <w:rsid w:val="009450D8"/>
    <w:rsid w:val="00957098"/>
    <w:rsid w:val="009708D0"/>
    <w:rsid w:val="00972D26"/>
    <w:rsid w:val="009814D6"/>
    <w:rsid w:val="0099102E"/>
    <w:rsid w:val="009968CF"/>
    <w:rsid w:val="009A5118"/>
    <w:rsid w:val="009C4E39"/>
    <w:rsid w:val="009C5BBA"/>
    <w:rsid w:val="009C6CB9"/>
    <w:rsid w:val="009C6FD7"/>
    <w:rsid w:val="009C7D5E"/>
    <w:rsid w:val="009D03C6"/>
    <w:rsid w:val="009D1A47"/>
    <w:rsid w:val="009D2942"/>
    <w:rsid w:val="009D4189"/>
    <w:rsid w:val="009D75DF"/>
    <w:rsid w:val="009E6763"/>
    <w:rsid w:val="009E6DC8"/>
    <w:rsid w:val="009F7F10"/>
    <w:rsid w:val="00A1597D"/>
    <w:rsid w:val="00A22790"/>
    <w:rsid w:val="00A26AB0"/>
    <w:rsid w:val="00A34913"/>
    <w:rsid w:val="00A35F07"/>
    <w:rsid w:val="00A42E3A"/>
    <w:rsid w:val="00A7739E"/>
    <w:rsid w:val="00AC2C97"/>
    <w:rsid w:val="00AD65F4"/>
    <w:rsid w:val="00AD69AA"/>
    <w:rsid w:val="00AE6BE0"/>
    <w:rsid w:val="00AF02CB"/>
    <w:rsid w:val="00AF5966"/>
    <w:rsid w:val="00B02A13"/>
    <w:rsid w:val="00B04DB5"/>
    <w:rsid w:val="00B10C6E"/>
    <w:rsid w:val="00B1402B"/>
    <w:rsid w:val="00B22016"/>
    <w:rsid w:val="00B23292"/>
    <w:rsid w:val="00B26D02"/>
    <w:rsid w:val="00B343A3"/>
    <w:rsid w:val="00B41E6D"/>
    <w:rsid w:val="00B450D5"/>
    <w:rsid w:val="00B71C35"/>
    <w:rsid w:val="00B72BEC"/>
    <w:rsid w:val="00B73A82"/>
    <w:rsid w:val="00B76F4D"/>
    <w:rsid w:val="00B77412"/>
    <w:rsid w:val="00B77752"/>
    <w:rsid w:val="00BA4C0A"/>
    <w:rsid w:val="00BB2A32"/>
    <w:rsid w:val="00BB6484"/>
    <w:rsid w:val="00BC3920"/>
    <w:rsid w:val="00BC47AB"/>
    <w:rsid w:val="00BD2AB1"/>
    <w:rsid w:val="00BE09C1"/>
    <w:rsid w:val="00BE1FD4"/>
    <w:rsid w:val="00BE677A"/>
    <w:rsid w:val="00BE6A2E"/>
    <w:rsid w:val="00BF00A7"/>
    <w:rsid w:val="00BF33D9"/>
    <w:rsid w:val="00C11B10"/>
    <w:rsid w:val="00C15E40"/>
    <w:rsid w:val="00C338CA"/>
    <w:rsid w:val="00C50A0A"/>
    <w:rsid w:val="00C60016"/>
    <w:rsid w:val="00C638D8"/>
    <w:rsid w:val="00C63D6B"/>
    <w:rsid w:val="00C83525"/>
    <w:rsid w:val="00CA1729"/>
    <w:rsid w:val="00CA1DAE"/>
    <w:rsid w:val="00CA7429"/>
    <w:rsid w:val="00CB6216"/>
    <w:rsid w:val="00CC4578"/>
    <w:rsid w:val="00CD0284"/>
    <w:rsid w:val="00CD160F"/>
    <w:rsid w:val="00CE0DA0"/>
    <w:rsid w:val="00CF030B"/>
    <w:rsid w:val="00CF2856"/>
    <w:rsid w:val="00CF5CE7"/>
    <w:rsid w:val="00CF5EF5"/>
    <w:rsid w:val="00D13FC8"/>
    <w:rsid w:val="00D3442D"/>
    <w:rsid w:val="00D41D2D"/>
    <w:rsid w:val="00D463A3"/>
    <w:rsid w:val="00D73373"/>
    <w:rsid w:val="00D828E1"/>
    <w:rsid w:val="00D94E39"/>
    <w:rsid w:val="00DB10D2"/>
    <w:rsid w:val="00DB1DD4"/>
    <w:rsid w:val="00DB61B3"/>
    <w:rsid w:val="00DD0915"/>
    <w:rsid w:val="00DD1DFF"/>
    <w:rsid w:val="00DE2E93"/>
    <w:rsid w:val="00DE3896"/>
    <w:rsid w:val="00DF0231"/>
    <w:rsid w:val="00E04C43"/>
    <w:rsid w:val="00E13E91"/>
    <w:rsid w:val="00E16D37"/>
    <w:rsid w:val="00E17E17"/>
    <w:rsid w:val="00E17F78"/>
    <w:rsid w:val="00E21B03"/>
    <w:rsid w:val="00E22D0F"/>
    <w:rsid w:val="00E31284"/>
    <w:rsid w:val="00E406F2"/>
    <w:rsid w:val="00E415BA"/>
    <w:rsid w:val="00E470EC"/>
    <w:rsid w:val="00E5666B"/>
    <w:rsid w:val="00E577DD"/>
    <w:rsid w:val="00E72064"/>
    <w:rsid w:val="00E85BF2"/>
    <w:rsid w:val="00E91110"/>
    <w:rsid w:val="00E9184C"/>
    <w:rsid w:val="00EA4E79"/>
    <w:rsid w:val="00EA5149"/>
    <w:rsid w:val="00EB02DF"/>
    <w:rsid w:val="00EE1CF7"/>
    <w:rsid w:val="00EE6F45"/>
    <w:rsid w:val="00EF66B2"/>
    <w:rsid w:val="00F0497C"/>
    <w:rsid w:val="00F076D1"/>
    <w:rsid w:val="00F0770B"/>
    <w:rsid w:val="00F10653"/>
    <w:rsid w:val="00F14670"/>
    <w:rsid w:val="00F148B5"/>
    <w:rsid w:val="00F1617A"/>
    <w:rsid w:val="00F2033F"/>
    <w:rsid w:val="00F22DF5"/>
    <w:rsid w:val="00F303F4"/>
    <w:rsid w:val="00F34526"/>
    <w:rsid w:val="00F413E7"/>
    <w:rsid w:val="00F5790A"/>
    <w:rsid w:val="00F609CD"/>
    <w:rsid w:val="00F76B81"/>
    <w:rsid w:val="00FA4943"/>
    <w:rsid w:val="00FB6BD9"/>
    <w:rsid w:val="00FC0F9D"/>
    <w:rsid w:val="00FC3492"/>
    <w:rsid w:val="00FD518E"/>
    <w:rsid w:val="00FE1A35"/>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D7F89-EBF5-48A9-8994-F4CC59C55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6577</TotalTime>
  <Pages>2</Pages>
  <Words>897</Words>
  <Characters>5115</Characters>
  <Application>Microsoft Office Word</Application>
  <DocSecurity>0</DocSecurity>
  <Lines>42</Lines>
  <Paragraphs>11</Paragraphs>
  <ScaleCrop>false</ScaleCrop>
  <Company>HUAWEI</Company>
  <LinksUpToDate>false</LinksUpToDate>
  <CharactersWithSpaces>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108</cp:revision>
  <dcterms:created xsi:type="dcterms:W3CDTF">2019-09-18T02:52:00Z</dcterms:created>
  <dcterms:modified xsi:type="dcterms:W3CDTF">2021-04-02T15:18:00Z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