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0" w:name="_Toc21102576"/>
      <w:bookmarkStart w:id="1" w:name="_Toc36635777"/>
      <w:bookmarkStart w:id="2" w:name="MCCQCTEMPBM_00000048"/>
      <w:bookmarkStart w:id="3" w:name="_Toc29810425"/>
      <w:bookmarkStart w:id="4" w:name="_Toc53182907"/>
      <w:bookmarkStart w:id="5" w:name="_Toc45885798"/>
      <w:bookmarkStart w:id="6" w:name="_Toc37272723"/>
      <w:bookmarkStart w:id="7" w:name="_Toc58915574"/>
      <w:r>
        <w:rPr>
          <w:rFonts w:ascii="Arial" w:hAnsi="Arial" w:cs="Arial"/>
          <w:b/>
          <w:sz w:val="24"/>
          <w:szCs w:val="24"/>
        </w:rPr>
        <w:t>3GPP TSG-RAN WG4 Mee</w:t>
      </w:r>
      <w:r>
        <w:rPr>
          <w:rFonts w:hint="eastAsia" w:ascii="Arial" w:hAnsi="Arial" w:cs="Arial"/>
          <w:b/>
          <w:sz w:val="24"/>
          <w:szCs w:val="24"/>
        </w:rPr>
        <w:t xml:space="preserve">ting#98-bis-e                                 </w:t>
      </w:r>
      <w:r>
        <w:rPr>
          <w:rFonts w:hint="eastAsia" w:ascii="Arial" w:hAnsi="Arial" w:eastAsia="宋体" w:cs="Arial"/>
          <w:b/>
          <w:sz w:val="24"/>
          <w:szCs w:val="24"/>
          <w:lang w:val="en-US" w:eastAsia="zh-CN"/>
        </w:rPr>
        <w:t xml:space="preserve">           </w:t>
      </w:r>
      <w:bookmarkStart w:id="60" w:name="_GoBack"/>
      <w:bookmarkEnd w:id="60"/>
      <w:r>
        <w:rPr>
          <w:rFonts w:hint="eastAsia" w:ascii="Arial" w:hAnsi="Arial" w:cs="Arial"/>
          <w:b/>
          <w:sz w:val="24"/>
          <w:szCs w:val="24"/>
        </w:rPr>
        <w:t xml:space="preserve">R4-2106596                        </w:t>
      </w:r>
    </w:p>
    <w:p>
      <w:pPr>
        <w:tabs>
          <w:tab w:val="left" w:pos="1985"/>
        </w:tabs>
        <w:spacing w:after="180"/>
        <w:ind w:left="1980" w:hanging="1980"/>
        <w:rPr>
          <w:rFonts w:ascii="Arial" w:hAnsi="Arial" w:eastAsia="MS Mincho" w:cs="Arial"/>
          <w:b/>
          <w:sz w:val="24"/>
          <w:szCs w:val="24"/>
          <w:lang w:eastAsia="en-US"/>
        </w:rPr>
      </w:pPr>
      <w:r>
        <w:rPr>
          <w:rFonts w:hint="eastAsia" w:ascii="Arial" w:hAnsi="Arial" w:eastAsia="MS Mincho" w:cs="Arial"/>
          <w:b/>
          <w:sz w:val="24"/>
          <w:szCs w:val="24"/>
          <w:lang w:eastAsia="en-US"/>
        </w:rPr>
        <w:t>E-meeting,</w:t>
      </w:r>
      <w:r>
        <w:rPr>
          <w:rFonts w:hint="eastAsia" w:ascii="Arial" w:hAnsi="Arial" w:cs="Arial"/>
          <w:b/>
          <w:sz w:val="24"/>
          <w:szCs w:val="24"/>
          <w:lang w:val="en-US" w:eastAsia="zh-CN"/>
        </w:rPr>
        <w:t>12</w:t>
      </w:r>
      <w:r>
        <w:rPr>
          <w:rFonts w:hint="eastAsia" w:ascii="Arial" w:hAnsi="Arial" w:eastAsia="MS Mincho" w:cs="Arial"/>
          <w:b/>
          <w:sz w:val="24"/>
          <w:szCs w:val="24"/>
          <w:vertAlign w:val="superscript"/>
          <w:lang w:eastAsia="en-US"/>
        </w:rPr>
        <w:t>th</w:t>
      </w:r>
      <w:r>
        <w:rPr>
          <w:rFonts w:hint="eastAsia" w:ascii="Arial" w:hAnsi="Arial" w:eastAsia="MS Mincho" w:cs="Arial"/>
          <w:b/>
          <w:sz w:val="24"/>
          <w:szCs w:val="24"/>
          <w:lang w:eastAsia="en-US"/>
        </w:rPr>
        <w:t xml:space="preserve"> </w:t>
      </w:r>
      <w:r>
        <w:rPr>
          <w:rFonts w:hint="eastAsia" w:ascii="Arial" w:hAnsi="Arial" w:eastAsia="MS Mincho" w:cs="Arial"/>
          <w:b/>
          <w:sz w:val="24"/>
          <w:szCs w:val="24"/>
        </w:rPr>
        <w:t>April</w:t>
      </w:r>
      <w:r>
        <w:rPr>
          <w:rFonts w:ascii="Arial" w:hAnsi="Arial" w:eastAsia="MS Mincho" w:cs="Arial"/>
          <w:b/>
          <w:sz w:val="24"/>
          <w:szCs w:val="24"/>
          <w:lang w:eastAsia="en-US"/>
        </w:rPr>
        <w:t>–</w:t>
      </w:r>
      <w:r>
        <w:rPr>
          <w:rFonts w:hint="eastAsia" w:ascii="Arial" w:hAnsi="Arial" w:eastAsia="MS Mincho" w:cs="Arial"/>
          <w:b/>
          <w:sz w:val="24"/>
          <w:szCs w:val="24"/>
          <w:lang w:eastAsia="en-US"/>
        </w:rPr>
        <w:t xml:space="preserve"> </w:t>
      </w:r>
      <w:r>
        <w:rPr>
          <w:rFonts w:hint="eastAsia" w:ascii="Arial" w:hAnsi="Arial" w:cs="Arial"/>
          <w:b/>
          <w:sz w:val="24"/>
          <w:szCs w:val="24"/>
          <w:lang w:val="en-US" w:eastAsia="zh-CN"/>
        </w:rPr>
        <w:t>20</w:t>
      </w:r>
      <w:r>
        <w:rPr>
          <w:rFonts w:hint="eastAsia" w:ascii="Arial" w:hAnsi="Arial" w:eastAsia="MS Mincho" w:cs="Arial"/>
          <w:b/>
          <w:sz w:val="24"/>
          <w:szCs w:val="24"/>
          <w:vertAlign w:val="superscript"/>
          <w:lang w:eastAsia="en-US"/>
        </w:rPr>
        <w:t>th</w:t>
      </w:r>
      <w:r>
        <w:rPr>
          <w:rFonts w:ascii="Arial" w:hAnsi="Arial" w:eastAsia="MS Mincho" w:cs="Arial"/>
          <w:b/>
          <w:sz w:val="24"/>
          <w:szCs w:val="24"/>
          <w:lang w:eastAsia="en-US"/>
        </w:rPr>
        <w:t xml:space="preserve"> </w:t>
      </w:r>
      <w:r>
        <w:rPr>
          <w:rFonts w:hint="eastAsia" w:ascii="Arial" w:hAnsi="Arial" w:eastAsia="MS Mincho" w:cs="Arial"/>
          <w:b/>
          <w:sz w:val="24"/>
          <w:szCs w:val="24"/>
        </w:rPr>
        <w:t>April</w:t>
      </w:r>
      <w:r>
        <w:rPr>
          <w:rFonts w:hint="eastAsia" w:ascii="Arial" w:hAnsi="Arial" w:eastAsia="MS Mincho" w:cs="Arial"/>
          <w:b/>
          <w:sz w:val="24"/>
          <w:szCs w:val="24"/>
          <w:lang w:eastAsia="en-US"/>
        </w:rPr>
        <w:t xml:space="preserve">, </w:t>
      </w:r>
      <w:r>
        <w:rPr>
          <w:rFonts w:ascii="Arial" w:hAnsi="Arial" w:eastAsia="MS Mincho" w:cs="Arial"/>
          <w:b/>
          <w:sz w:val="24"/>
          <w:szCs w:val="24"/>
          <w:lang w:eastAsia="en-US"/>
        </w:rPr>
        <w:t>20</w:t>
      </w:r>
      <w:r>
        <w:rPr>
          <w:rFonts w:hint="eastAsia" w:ascii="Arial" w:hAnsi="Arial" w:eastAsia="MS Mincho" w:cs="Arial"/>
          <w:b/>
          <w:sz w:val="24"/>
          <w:szCs w:val="24"/>
          <w:lang w:eastAsia="en-US"/>
        </w:rPr>
        <w:t>21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5</w:t>
      </w:r>
      <w:r>
        <w:rPr>
          <w:rFonts w:hint="eastAsia" w:ascii="Arial" w:hAnsi="Arial" w:cs="Arial"/>
          <w:b/>
          <w:sz w:val="24"/>
          <w:szCs w:val="24"/>
        </w:rPr>
        <w:t>.</w:t>
      </w:r>
      <w:r>
        <w:rPr>
          <w:rFonts w:hint="eastAsia" w:ascii="Arial" w:hAnsi="Arial" w:eastAsia="宋体" w:cs="Arial"/>
          <w:b/>
          <w:sz w:val="24"/>
          <w:szCs w:val="24"/>
          <w:lang w:val="en-US" w:eastAsia="zh-CN"/>
        </w:rPr>
        <w:t>3</w:t>
      </w:r>
      <w:r>
        <w:rPr>
          <w:rFonts w:hint="eastAsia" w:ascii="Arial" w:hAnsi="Arial" w:cs="Arial"/>
          <w:b/>
          <w:sz w:val="24"/>
          <w:szCs w:val="24"/>
        </w:rPr>
        <w:t>.</w:t>
      </w:r>
      <w:r>
        <w:rPr>
          <w:rFonts w:hint="eastAsia" w:ascii="Arial" w:hAnsi="Arial" w:eastAsia="宋体" w:cs="Arial"/>
          <w:b/>
          <w:sz w:val="24"/>
          <w:szCs w:val="24"/>
          <w:lang w:val="en-US" w:eastAsia="zh-CN"/>
        </w:rPr>
        <w:t>2.2.3</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TP to TS 38.xxx-2:  Section 4.2~4.5</w:t>
      </w:r>
    </w:p>
    <w:p>
      <w:pPr>
        <w:tabs>
          <w:tab w:val="left" w:pos="1985"/>
        </w:tabs>
        <w:spacing w:after="180"/>
        <w:ind w:left="1980" w:hanging="1980"/>
        <w:rPr>
          <w:rFonts w:hint="eastAsia"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8" w:name="DocumentFor"/>
      <w:bookmarkEnd w:id="8"/>
      <w:r>
        <w:rPr>
          <w:rFonts w:hint="eastAsia" w:ascii="Arial" w:hAnsi="Arial" w:eastAsia="MS Mincho" w:cs="Arial"/>
          <w:b/>
          <w:sz w:val="24"/>
          <w:szCs w:val="24"/>
          <w:lang w:eastAsia="en-US"/>
        </w:rPr>
        <w:t xml:space="preserve">Approval </w:t>
      </w:r>
    </w:p>
    <w:p>
      <w:pPr>
        <w:pStyle w:val="140"/>
        <w:tabs>
          <w:tab w:val="left" w:pos="567"/>
          <w:tab w:val="clear" w:pos="1985"/>
        </w:tabs>
        <w:adjustRightInd w:val="0"/>
        <w:ind w:left="510" w:hanging="510"/>
      </w:pPr>
      <w:r>
        <w:t>Introduction</w:t>
      </w:r>
    </w:p>
    <w:p>
      <w:pPr>
        <w:rPr>
          <w:rFonts w:hint="default" w:eastAsia="宋体"/>
          <w:kern w:val="0"/>
          <w:sz w:val="20"/>
          <w:szCs w:val="20"/>
          <w:lang w:val="en-US" w:eastAsia="zh-CN"/>
        </w:rPr>
      </w:pPr>
      <w:r>
        <w:rPr>
          <w:rFonts w:hint="eastAsia"/>
          <w:kern w:val="0"/>
          <w:sz w:val="20"/>
          <w:szCs w:val="20"/>
        </w:rPr>
        <w:t xml:space="preserve">In the </w:t>
      </w:r>
      <w:bookmarkStart w:id="9" w:name="OLE_LINK2"/>
      <w:r>
        <w:rPr>
          <w:rFonts w:hint="eastAsia"/>
          <w:kern w:val="0"/>
          <w:sz w:val="20"/>
          <w:szCs w:val="20"/>
        </w:rPr>
        <w:t>past RAN4</w:t>
      </w:r>
      <w:r>
        <w:rPr>
          <w:rFonts w:hint="eastAsia" w:eastAsia="宋体"/>
          <w:kern w:val="0"/>
          <w:sz w:val="20"/>
          <w:szCs w:val="20"/>
          <w:lang w:val="en-US" w:eastAsia="zh-CN"/>
        </w:rPr>
        <w:t>#98e</w:t>
      </w:r>
      <w:r>
        <w:rPr>
          <w:rFonts w:hint="eastAsia"/>
          <w:kern w:val="0"/>
          <w:sz w:val="20"/>
          <w:szCs w:val="20"/>
        </w:rPr>
        <w:t xml:space="preserve"> meetings,</w:t>
      </w:r>
      <w:bookmarkEnd w:id="9"/>
      <w:r>
        <w:rPr>
          <w:rFonts w:hint="eastAsia" w:eastAsia="宋体"/>
          <w:kern w:val="0"/>
          <w:sz w:val="20"/>
          <w:szCs w:val="20"/>
          <w:lang w:val="en-US" w:eastAsia="zh-CN"/>
        </w:rPr>
        <w:t xml:space="preserve"> work split has been agreed among companies, therefore in this contribution, we want to share the draft TP for section 4.2~4.5 for further discussion. </w:t>
      </w:r>
    </w:p>
    <w:p>
      <w:pPr>
        <w:pStyle w:val="140"/>
        <w:tabs>
          <w:tab w:val="left" w:pos="567"/>
          <w:tab w:val="clear" w:pos="1985"/>
        </w:tabs>
        <w:adjustRightInd w:val="0"/>
        <w:ind w:left="510" w:hanging="510"/>
      </w:pPr>
      <w:r>
        <w:rPr>
          <w:rFonts w:hint="eastAsia" w:eastAsia="宋体"/>
          <w:lang w:val="en-US" w:eastAsia="zh-CN"/>
        </w:rPr>
        <w:t>Reference</w:t>
      </w:r>
    </w:p>
    <w:p>
      <w:pPr>
        <w:pStyle w:val="3"/>
        <w:numPr>
          <w:ilvl w:val="0"/>
          <w:numId w:val="2"/>
        </w:numPr>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R4-2103856</w:t>
      </w:r>
      <w:r>
        <w:rPr>
          <w:rFonts w:hint="eastAsia" w:ascii="Times New Roman" w:hAnsi="Times New Roman" w:eastAsia="宋体" w:cs="Times New Roman"/>
          <w:kern w:val="0"/>
          <w:sz w:val="20"/>
          <w:szCs w:val="20"/>
          <w:lang w:val="en-US" w:eastAsia="zh-CN" w:bidi="ar-SA"/>
        </w:rPr>
        <w:tab/>
      </w:r>
      <w:r>
        <w:rPr>
          <w:rFonts w:hint="eastAsia" w:ascii="Times New Roman" w:hAnsi="Times New Roman" w:eastAsia="宋体" w:cs="Times New Roman"/>
          <w:kern w:val="0"/>
          <w:sz w:val="20"/>
          <w:szCs w:val="20"/>
          <w:lang w:val="en-US" w:eastAsia="zh-CN" w:bidi="ar-SA"/>
        </w:rPr>
        <w:t>WF on IAB conformance specification work split and drafting guidelines, approved.</w:t>
      </w:r>
    </w:p>
    <w:p>
      <w:pPr>
        <w:pStyle w:val="140"/>
        <w:pBdr>
          <w:top w:val="single" w:color="auto" w:sz="4" w:space="1"/>
        </w:pBdr>
        <w:tabs>
          <w:tab w:val="left" w:pos="567"/>
          <w:tab w:val="clear" w:pos="1985"/>
        </w:tabs>
        <w:adjustRightInd w:val="0"/>
        <w:ind w:left="510" w:hanging="510"/>
        <w:rPr>
          <w:rFonts w:hint="eastAsia" w:eastAsia="宋体"/>
          <w:lang w:val="en-US" w:eastAsia="zh-CN"/>
        </w:rPr>
      </w:pPr>
      <w:r>
        <w:rPr>
          <w:rFonts w:hint="eastAsia" w:eastAsia="宋体"/>
          <w:lang w:val="en-US" w:eastAsia="zh-CN"/>
        </w:rPr>
        <w:t>Annex</w:t>
      </w:r>
    </w:p>
    <w:p>
      <w:pPr>
        <w:pStyle w:val="140"/>
        <w:keepNext/>
        <w:keepLines/>
        <w:pageBreakBefore w:val="0"/>
        <w:widowControl/>
        <w:numPr>
          <w:ilvl w:val="0"/>
          <w:numId w:val="0"/>
        </w:numPr>
        <w:pBdr>
          <w:top w:val="single" w:color="auto" w:sz="4" w:space="1"/>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r>
        <w:rPr>
          <w:rFonts w:hint="eastAsia" w:eastAsia="宋体"/>
          <w:color w:val="FF0000"/>
          <w:sz w:val="24"/>
          <w:szCs w:val="24"/>
          <w:lang w:val="en-US" w:eastAsia="zh-CN"/>
        </w:rPr>
        <w:t xml:space="preserve">&lt;Start of TP&gt; </w:t>
      </w:r>
    </w:p>
    <w:p>
      <w:pPr>
        <w:pStyle w:val="3"/>
        <w:rPr>
          <w:ins w:id="0" w:author="ZTE" w:date="2021-04-02T15:03:23Z"/>
        </w:rPr>
      </w:pPr>
      <w:ins w:id="1" w:author="ZTE" w:date="2021-04-02T15:03:23Z">
        <w:r>
          <w:rPr/>
          <w:t>4.2</w:t>
        </w:r>
      </w:ins>
      <w:ins w:id="2" w:author="ZTE" w:date="2021-04-02T15:03:23Z">
        <w:r>
          <w:rPr/>
          <w:tab/>
        </w:r>
      </w:ins>
      <w:ins w:id="3" w:author="ZTE" w:date="2021-04-02T15:03:23Z">
        <w:r>
          <w:rPr/>
          <w:t>Radiated requirement reference points</w:t>
        </w:r>
      </w:ins>
    </w:p>
    <w:p>
      <w:pPr>
        <w:rPr>
          <w:ins w:id="4" w:author="ZTE" w:date="2021-04-02T15:03:23Z"/>
          <w:lang w:eastAsia="zh-CN"/>
        </w:rPr>
      </w:pPr>
      <w:ins w:id="5" w:author="ZTE" w:date="2021-04-02T15:03:23Z">
        <w:r>
          <w:rPr>
            <w:lang w:eastAsia="zh-CN"/>
          </w:rPr>
          <w:t xml:space="preserve">Radiated characteristics for </w:t>
        </w:r>
      </w:ins>
      <w:ins w:id="6" w:author="ZTE" w:date="2021-04-02T15:03:23Z">
        <w:r>
          <w:rPr>
            <w:rFonts w:hint="eastAsia"/>
            <w:i/>
            <w:lang w:val="en-US" w:eastAsia="zh-CN"/>
          </w:rPr>
          <w:t>IAB</w:t>
        </w:r>
      </w:ins>
      <w:ins w:id="7" w:author="ZTE" w:date="2021-04-02T15:03:23Z">
        <w:r>
          <w:rPr>
            <w:i/>
            <w:lang w:val="en-US" w:eastAsia="zh-CN"/>
          </w:rPr>
          <w:t xml:space="preserve"> type 1-H</w:t>
        </w:r>
      </w:ins>
      <w:ins w:id="8" w:author="ZTE" w:date="2021-04-02T15:03:23Z">
        <w:r>
          <w:rPr>
            <w:lang w:val="en-US" w:eastAsia="zh-CN"/>
          </w:rPr>
          <w:t xml:space="preserve">, </w:t>
        </w:r>
      </w:ins>
      <w:ins w:id="9" w:author="ZTE" w:date="2021-04-02T15:03:23Z">
        <w:r>
          <w:rPr>
            <w:rFonts w:hint="eastAsia"/>
            <w:i/>
            <w:lang w:val="en-US" w:eastAsia="zh-CN"/>
          </w:rPr>
          <w:t>IAB</w:t>
        </w:r>
      </w:ins>
      <w:ins w:id="10" w:author="ZTE" w:date="2021-04-02T15:03:23Z">
        <w:r>
          <w:rPr>
            <w:i/>
            <w:lang w:val="en-US" w:eastAsia="zh-CN"/>
          </w:rPr>
          <w:t xml:space="preserve"> type 1-O </w:t>
        </w:r>
      </w:ins>
      <w:ins w:id="11" w:author="ZTE" w:date="2021-04-02T15:03:23Z">
        <w:r>
          <w:rPr>
            <w:lang w:val="en-US" w:eastAsia="zh-CN"/>
          </w:rPr>
          <w:t xml:space="preserve">and </w:t>
        </w:r>
      </w:ins>
      <w:ins w:id="12" w:author="ZTE" w:date="2021-04-02T15:03:23Z">
        <w:r>
          <w:rPr>
            <w:rFonts w:hint="eastAsia"/>
            <w:i/>
            <w:lang w:val="en-US" w:eastAsia="zh-CN"/>
          </w:rPr>
          <w:t>IAB</w:t>
        </w:r>
      </w:ins>
      <w:ins w:id="13" w:author="ZTE" w:date="2021-04-02T15:03:23Z">
        <w:r>
          <w:rPr>
            <w:i/>
            <w:lang w:val="en-US" w:eastAsia="zh-CN"/>
          </w:rPr>
          <w:t xml:space="preserve"> type 2-O</w:t>
        </w:r>
      </w:ins>
      <w:ins w:id="14" w:author="ZTE" w:date="2021-04-02T15:03:23Z">
        <w:r>
          <w:rPr>
            <w:lang w:val="en-US" w:eastAsia="zh-CN"/>
          </w:rPr>
          <w:t xml:space="preserve"> </w:t>
        </w:r>
      </w:ins>
      <w:ins w:id="15" w:author="ZTE" w:date="2021-04-02T15:03:23Z">
        <w:r>
          <w:rPr>
            <w:lang w:eastAsia="zh-CN"/>
          </w:rPr>
          <w:t xml:space="preserve">are defined over the air (OTA) where the </w:t>
        </w:r>
      </w:ins>
      <w:ins w:id="16" w:author="ZTE" w:date="2021-04-02T15:03:23Z">
        <w:r>
          <w:rPr>
            <w:lang w:eastAsia="sv-SE"/>
          </w:rPr>
          <w:t>operating band specific</w:t>
        </w:r>
      </w:ins>
      <w:ins w:id="17" w:author="ZTE" w:date="2021-04-02T15:03:23Z">
        <w:r>
          <w:rPr>
            <w:lang w:eastAsia="zh-CN"/>
          </w:rPr>
          <w:t xml:space="preserve"> radiated interface is referred to as the </w:t>
        </w:r>
      </w:ins>
      <w:ins w:id="18" w:author="ZTE" w:date="2021-04-02T15:03:23Z">
        <w:r>
          <w:rPr>
            <w:i/>
            <w:lang w:eastAsia="zh-CN"/>
          </w:rPr>
          <w:t>Radiated Interface Boundary</w:t>
        </w:r>
      </w:ins>
      <w:ins w:id="19" w:author="ZTE" w:date="2021-04-02T15:03:23Z">
        <w:r>
          <w:rPr>
            <w:lang w:eastAsia="zh-CN"/>
          </w:rPr>
          <w:t xml:space="preserve"> (RIB). Radiated requirements are also referred to as OTA requirements. The (spatial) characteristics in which the OTA requirements apply are detailed for each requirement. For </w:t>
        </w:r>
      </w:ins>
      <w:ins w:id="20" w:author="ZTE" w:date="2021-04-02T15:03:23Z">
        <w:r>
          <w:rPr>
            <w:rFonts w:hint="eastAsia"/>
            <w:i/>
            <w:lang w:val="en-US" w:eastAsia="zh-CN"/>
          </w:rPr>
          <w:t>IAB</w:t>
        </w:r>
      </w:ins>
      <w:ins w:id="21" w:author="ZTE" w:date="2021-04-02T15:03:23Z">
        <w:r>
          <w:rPr>
            <w:i/>
            <w:lang w:eastAsia="zh-CN"/>
          </w:rPr>
          <w:t xml:space="preserve"> type 1-H</w:t>
        </w:r>
      </w:ins>
      <w:ins w:id="22" w:author="ZTE" w:date="2021-04-02T15:03:23Z">
        <w:r>
          <w:rPr>
            <w:lang w:eastAsia="zh-CN"/>
          </w:rPr>
          <w:t xml:space="preserve"> the requirements are defined for two points of reference, signified by radiated requirements at the RIB and the conducted requirements at </w:t>
        </w:r>
      </w:ins>
      <w:ins w:id="23" w:author="ZTE" w:date="2021-04-02T15:03:23Z">
        <w:r>
          <w:rPr>
            <w:i/>
            <w:lang w:eastAsia="zh-CN"/>
          </w:rPr>
          <w:t>transceiver array boundary</w:t>
        </w:r>
      </w:ins>
      <w:ins w:id="24" w:author="ZTE" w:date="2021-04-02T15:03:23Z">
        <w:r>
          <w:rPr>
            <w:lang w:eastAsia="zh-CN"/>
          </w:rPr>
          <w:t xml:space="preserve"> (TAB). The OTA requirements of </w:t>
        </w:r>
      </w:ins>
      <w:ins w:id="25" w:author="ZTE" w:date="2021-04-02T15:03:23Z">
        <w:r>
          <w:rPr>
            <w:rFonts w:hint="eastAsia"/>
            <w:i/>
            <w:lang w:val="en-US" w:eastAsia="zh-CN"/>
          </w:rPr>
          <w:t>IAB</w:t>
        </w:r>
      </w:ins>
      <w:ins w:id="26" w:author="ZTE" w:date="2021-04-02T15:03:23Z">
        <w:r>
          <w:rPr>
            <w:i/>
            <w:lang w:eastAsia="zh-CN"/>
          </w:rPr>
          <w:t xml:space="preserve"> type 1-H</w:t>
        </w:r>
      </w:ins>
      <w:ins w:id="27" w:author="ZTE" w:date="2021-04-02T15:03:23Z">
        <w:r>
          <w:rPr>
            <w:lang w:eastAsia="zh-CN"/>
          </w:rPr>
          <w:t xml:space="preserve"> are tested in the far field (Fraunhofer) region.</w:t>
        </w:r>
      </w:ins>
    </w:p>
    <w:p>
      <w:pPr>
        <w:rPr>
          <w:ins w:id="28" w:author="ZTE" w:date="2021-04-02T15:03:23Z"/>
          <w:lang w:eastAsia="zh-CN"/>
        </w:rPr>
      </w:pPr>
      <w:ins w:id="29" w:author="ZTE" w:date="2021-04-02T15:03:23Z">
        <w:r>
          <w:rPr>
            <w:lang w:eastAsia="zh-CN"/>
          </w:rPr>
          <w:t xml:space="preserve">General architecture and reference points of </w:t>
        </w:r>
      </w:ins>
      <w:ins w:id="30" w:author="ZTE" w:date="2021-04-02T15:03:23Z">
        <w:r>
          <w:rPr>
            <w:rFonts w:hint="eastAsia"/>
            <w:i/>
            <w:lang w:val="en-US" w:eastAsia="zh-CN"/>
          </w:rPr>
          <w:t>IAB</w:t>
        </w:r>
      </w:ins>
      <w:ins w:id="31" w:author="ZTE" w:date="2021-04-02T15:03:23Z">
        <w:r>
          <w:rPr>
            <w:i/>
            <w:lang w:val="en-US" w:eastAsia="zh-CN"/>
          </w:rPr>
          <w:t xml:space="preserve"> type 1-H</w:t>
        </w:r>
      </w:ins>
      <w:ins w:id="32" w:author="ZTE" w:date="2021-04-02T15:03:23Z">
        <w:r>
          <w:rPr>
            <w:lang w:val="en-US" w:eastAsia="zh-CN"/>
          </w:rPr>
          <w:t xml:space="preserve">, </w:t>
        </w:r>
      </w:ins>
      <w:ins w:id="33" w:author="ZTE" w:date="2021-04-02T15:03:23Z">
        <w:r>
          <w:rPr>
            <w:rFonts w:hint="eastAsia"/>
            <w:i/>
            <w:lang w:val="en-US" w:eastAsia="zh-CN"/>
          </w:rPr>
          <w:t>IAB</w:t>
        </w:r>
      </w:ins>
      <w:ins w:id="34" w:author="ZTE" w:date="2021-04-02T15:03:23Z">
        <w:r>
          <w:rPr>
            <w:i/>
            <w:lang w:val="en-US" w:eastAsia="zh-CN"/>
          </w:rPr>
          <w:t xml:space="preserve"> type 1-O </w:t>
        </w:r>
      </w:ins>
      <w:ins w:id="35" w:author="ZTE" w:date="2021-04-02T15:03:23Z">
        <w:r>
          <w:rPr>
            <w:lang w:val="en-US" w:eastAsia="zh-CN"/>
          </w:rPr>
          <w:t xml:space="preserve">and </w:t>
        </w:r>
      </w:ins>
      <w:ins w:id="36" w:author="ZTE" w:date="2021-04-02T15:03:23Z">
        <w:r>
          <w:rPr>
            <w:rFonts w:hint="eastAsia"/>
            <w:i/>
            <w:lang w:val="en-US" w:eastAsia="zh-CN"/>
          </w:rPr>
          <w:t>IAB</w:t>
        </w:r>
      </w:ins>
      <w:ins w:id="37" w:author="ZTE" w:date="2021-04-02T15:03:23Z">
        <w:r>
          <w:rPr>
            <w:i/>
            <w:lang w:val="en-US" w:eastAsia="zh-CN"/>
          </w:rPr>
          <w:t xml:space="preserve"> type 2-O</w:t>
        </w:r>
      </w:ins>
      <w:ins w:id="38" w:author="ZTE" w:date="2021-04-02T15:03:23Z">
        <w:r>
          <w:rPr>
            <w:lang w:eastAsia="zh-CN"/>
          </w:rPr>
          <w:t xml:space="preserve"> are presented on the following figures 4.2-1 – 4.2-2.</w:t>
        </w:r>
      </w:ins>
    </w:p>
    <w:p>
      <w:pPr>
        <w:pStyle w:val="88"/>
        <w:rPr>
          <w:ins w:id="39" w:author="ZTE" w:date="2021-04-02T15:03:23Z"/>
        </w:rPr>
      </w:pPr>
      <w:ins w:id="40" w:author="ZTE" w:date="2021-04-02T15:03:23Z">
        <w:r>
          <w:rPr>
            <w:lang w:val="en-US" w:eastAsia="zh-CN"/>
          </w:rPr>
          <w:drawing>
            <wp:inline distT="0" distB="0" distL="0" distR="0">
              <wp:extent cx="6122670" cy="2496820"/>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122670" cy="2496820"/>
                      </a:xfrm>
                      <a:prstGeom prst="rect">
                        <a:avLst/>
                      </a:prstGeom>
                      <a:noFill/>
                      <a:ln>
                        <a:noFill/>
                      </a:ln>
                    </pic:spPr>
                  </pic:pic>
                </a:graphicData>
              </a:graphic>
            </wp:inline>
          </w:drawing>
        </w:r>
      </w:ins>
    </w:p>
    <w:p>
      <w:pPr>
        <w:pStyle w:val="98"/>
        <w:rPr>
          <w:ins w:id="42" w:author="ZTE" w:date="2021-04-02T15:03:23Z"/>
        </w:rPr>
      </w:pPr>
      <w:ins w:id="43" w:author="ZTE" w:date="2021-04-02T15:03:23Z">
        <w:r>
          <w:rPr/>
          <w:t xml:space="preserve">Figure 4.2-1: General architecture of </w:t>
        </w:r>
      </w:ins>
      <w:ins w:id="44" w:author="ZTE" w:date="2021-04-02T15:03:23Z">
        <w:r>
          <w:rPr>
            <w:rFonts w:hint="eastAsia"/>
            <w:i/>
            <w:lang w:val="en-US" w:eastAsia="zh-CN"/>
          </w:rPr>
          <w:t>IAB</w:t>
        </w:r>
      </w:ins>
      <w:ins w:id="45" w:author="ZTE" w:date="2021-04-02T15:03:23Z">
        <w:r>
          <w:rPr>
            <w:i/>
          </w:rPr>
          <w:t xml:space="preserve"> type 1-H</w:t>
        </w:r>
      </w:ins>
    </w:p>
    <w:p>
      <w:pPr>
        <w:rPr>
          <w:ins w:id="46" w:author="ZTE" w:date="2021-04-02T15:03:23Z"/>
          <w:lang w:eastAsia="zh-CN"/>
        </w:rPr>
      </w:pPr>
      <w:ins w:id="47" w:author="ZTE" w:date="2021-04-02T15:03:23Z">
        <w:r>
          <w:rPr>
            <w:lang w:eastAsia="zh-CN"/>
          </w:rPr>
          <w:t>This specification details only radiated test requirements and hence only requires the radiated reference points.</w:t>
        </w:r>
      </w:ins>
    </w:p>
    <w:p>
      <w:pPr>
        <w:pStyle w:val="88"/>
        <w:rPr>
          <w:ins w:id="48" w:author="ZTE" w:date="2021-04-02T15:03:23Z"/>
        </w:rPr>
      </w:pPr>
      <w:ins w:id="49" w:author="ZTE" w:date="2021-04-02T15:03:23Z">
        <w:r>
          <w:rPr>
            <w:lang w:val="en-US" w:eastAsia="zh-CN"/>
          </w:rPr>
          <w:drawing>
            <wp:inline distT="0" distB="0" distL="0" distR="0">
              <wp:extent cx="4810760" cy="2440940"/>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10760" cy="2440940"/>
                      </a:xfrm>
                      <a:prstGeom prst="rect">
                        <a:avLst/>
                      </a:prstGeom>
                      <a:noFill/>
                      <a:ln>
                        <a:noFill/>
                      </a:ln>
                    </pic:spPr>
                  </pic:pic>
                </a:graphicData>
              </a:graphic>
            </wp:inline>
          </w:drawing>
        </w:r>
      </w:ins>
    </w:p>
    <w:p>
      <w:pPr>
        <w:pStyle w:val="98"/>
        <w:rPr>
          <w:ins w:id="51" w:author="ZTE" w:date="2021-04-02T15:03:23Z"/>
        </w:rPr>
      </w:pPr>
      <w:ins w:id="52" w:author="ZTE" w:date="2021-04-02T15:03:23Z">
        <w:r>
          <w:rPr/>
          <w:t xml:space="preserve">Figure 4.2-2: General architecture of </w:t>
        </w:r>
      </w:ins>
      <w:ins w:id="53" w:author="ZTE" w:date="2021-04-02T15:03:23Z">
        <w:r>
          <w:rPr>
            <w:rFonts w:hint="eastAsia" w:eastAsia="宋体"/>
            <w:i/>
            <w:lang w:val="en-US" w:eastAsia="zh-CN"/>
          </w:rPr>
          <w:t>IAB</w:t>
        </w:r>
      </w:ins>
      <w:ins w:id="54" w:author="ZTE" w:date="2021-04-02T15:03:23Z">
        <w:r>
          <w:rPr>
            <w:i/>
          </w:rPr>
          <w:t xml:space="preserve"> type 1-O</w:t>
        </w:r>
      </w:ins>
      <w:ins w:id="55" w:author="ZTE" w:date="2021-04-02T15:03:23Z">
        <w:r>
          <w:rPr/>
          <w:t xml:space="preserve"> and </w:t>
        </w:r>
      </w:ins>
      <w:ins w:id="56" w:author="ZTE" w:date="2021-04-02T15:03:23Z">
        <w:r>
          <w:rPr>
            <w:rFonts w:hint="eastAsia" w:eastAsia="宋体"/>
            <w:i/>
            <w:lang w:val="en-US" w:eastAsia="zh-CN"/>
          </w:rPr>
          <w:t>IAB</w:t>
        </w:r>
      </w:ins>
      <w:ins w:id="57" w:author="ZTE" w:date="2021-04-02T15:03:23Z">
        <w:r>
          <w:rPr>
            <w:i/>
          </w:rPr>
          <w:t xml:space="preserve"> type 2-O</w:t>
        </w:r>
      </w:ins>
    </w:p>
    <w:p>
      <w:pPr>
        <w:rPr>
          <w:ins w:id="58" w:author="ZTE" w:date="2021-04-02T15:03:23Z"/>
        </w:rPr>
      </w:pPr>
      <w:ins w:id="59" w:author="ZTE" w:date="2021-04-02T15:03:23Z">
        <w:r>
          <w:rPr/>
          <w:t>The transceiver unit array is part of the composite transceiver functionality generating modulated transmit signal structures and performing receiver combining and demodulation.</w:t>
        </w:r>
      </w:ins>
    </w:p>
    <w:p>
      <w:pPr>
        <w:rPr>
          <w:ins w:id="60" w:author="ZTE" w:date="2021-04-02T15:03:23Z"/>
          <w:lang w:eastAsia="zh-CN"/>
        </w:rPr>
      </w:pPr>
      <w:ins w:id="61" w:author="ZTE" w:date="2021-04-02T15:03:23Z">
        <w:r>
          <w:rPr>
            <w:lang w:eastAsia="zh-CN"/>
          </w:rPr>
          <w:t>The transceiver unit array contains an implementation specific number of transmitter units and an implementation specific number of receiver units. Transmitter units and receiver units may be combined into transceiver units.</w:t>
        </w:r>
      </w:ins>
      <w:ins w:id="62" w:author="ZTE" w:date="2021-04-02T15:03:23Z">
        <w:r>
          <w:rPr>
            <w:rFonts w:eastAsia="MS Mincho"/>
          </w:rPr>
          <w:t xml:space="preserve"> The transmitter/receiver units have the ability to receive/send </w:t>
        </w:r>
      </w:ins>
      <w:ins w:id="63" w:author="ZTE" w:date="2021-04-02T15:03:23Z">
        <w:r>
          <w:rPr/>
          <w:t>parallel independent modulated symbol streams</w:t>
        </w:r>
      </w:ins>
      <w:ins w:id="64" w:author="ZTE" w:date="2021-04-02T15:03:23Z">
        <w:r>
          <w:rPr>
            <w:rFonts w:eastAsia="MS Mincho"/>
          </w:rPr>
          <w:t>.</w:t>
        </w:r>
      </w:ins>
    </w:p>
    <w:p>
      <w:pPr>
        <w:rPr>
          <w:ins w:id="65" w:author="ZTE" w:date="2021-04-02T15:03:23Z"/>
          <w:lang w:eastAsia="zh-CN"/>
        </w:rPr>
      </w:pPr>
      <w:ins w:id="66" w:author="ZTE" w:date="2021-04-02T15:03:23Z">
        <w:r>
          <w:rPr>
            <w:lang w:eastAsia="zh-CN"/>
          </w:rPr>
          <w:t xml:space="preserve">The composite antenna contains a </w:t>
        </w:r>
      </w:ins>
      <w:ins w:id="67" w:author="ZTE" w:date="2021-04-02T15:03:23Z">
        <w:r>
          <w:rPr>
            <w:i/>
            <w:lang w:eastAsia="zh-CN"/>
          </w:rPr>
          <w:t>radio distribution network</w:t>
        </w:r>
      </w:ins>
      <w:ins w:id="68" w:author="ZTE" w:date="2021-04-02T15:03:23Z">
        <w:r>
          <w:rPr>
            <w:lang w:eastAsia="zh-CN"/>
          </w:rPr>
          <w:t xml:space="preserve"> (RDN) and an antenna array. The RDN is a linear passive network that distributes the RF power between the </w:t>
        </w:r>
      </w:ins>
      <w:ins w:id="69" w:author="ZTE" w:date="2021-04-02T15:03:23Z">
        <w:r>
          <w:rPr>
            <w:i/>
            <w:lang w:eastAsia="zh-CN"/>
          </w:rPr>
          <w:t>transceiver array boundary</w:t>
        </w:r>
      </w:ins>
      <w:ins w:id="70" w:author="ZTE" w:date="2021-04-02T15:03:23Z">
        <w:r>
          <w:rPr>
            <w:lang w:eastAsia="zh-CN"/>
          </w:rPr>
          <w:t xml:space="preserve"> and the antenna array, in an implementation specific way.</w:t>
        </w:r>
      </w:ins>
    </w:p>
    <w:p>
      <w:pPr>
        <w:pStyle w:val="3"/>
        <w:rPr>
          <w:ins w:id="71" w:author="ZTE" w:date="2021-04-02T15:03:23Z"/>
          <w:lang w:eastAsia="zh-CN"/>
        </w:rPr>
      </w:pPr>
      <w:ins w:id="72" w:author="ZTE" w:date="2021-04-02T15:03:23Z">
        <w:bookmarkStart w:id="10" w:name="_Toc37272724"/>
        <w:bookmarkStart w:id="11" w:name="_Toc53182908"/>
        <w:bookmarkStart w:id="12" w:name="_Toc45885799"/>
        <w:bookmarkStart w:id="13" w:name="_Toc21102577"/>
        <w:bookmarkStart w:id="14" w:name="_Toc58915575"/>
        <w:bookmarkStart w:id="15" w:name="_Toc36635778"/>
        <w:bookmarkStart w:id="16" w:name="_Toc29810426"/>
        <w:r>
          <w:rPr>
            <w:snapToGrid w:val="0"/>
          </w:rPr>
          <w:t>4.3</w:t>
        </w:r>
      </w:ins>
      <w:ins w:id="73" w:author="ZTE" w:date="2021-04-02T15:03:23Z">
        <w:r>
          <w:rPr>
            <w:snapToGrid w:val="0"/>
          </w:rPr>
          <w:tab/>
        </w:r>
      </w:ins>
      <w:ins w:id="74" w:author="ZTE" w:date="2021-04-02T15:03:23Z">
        <w:r>
          <w:rPr>
            <w:rFonts w:hint="eastAsia"/>
            <w:lang w:val="en-US" w:eastAsia="zh-CN"/>
          </w:rPr>
          <w:t>IAB</w:t>
        </w:r>
      </w:ins>
      <w:ins w:id="75" w:author="ZTE" w:date="2021-04-02T15:03:23Z">
        <w:r>
          <w:rPr>
            <w:rFonts w:hint="eastAsia"/>
            <w:lang w:eastAsia="zh-CN"/>
          </w:rPr>
          <w:t xml:space="preserve"> classes</w:t>
        </w:r>
        <w:bookmarkEnd w:id="10"/>
        <w:bookmarkEnd w:id="11"/>
        <w:bookmarkEnd w:id="12"/>
        <w:bookmarkEnd w:id="13"/>
        <w:bookmarkEnd w:id="14"/>
        <w:bookmarkEnd w:id="15"/>
        <w:bookmarkEnd w:id="16"/>
      </w:ins>
    </w:p>
    <w:p>
      <w:pPr>
        <w:pStyle w:val="4"/>
        <w:rPr>
          <w:ins w:id="76" w:author="ZTE" w:date="2021-04-02T15:03:23Z"/>
          <w:lang w:val="en-US"/>
        </w:rPr>
      </w:pPr>
      <w:ins w:id="77" w:author="ZTE" w:date="2021-04-02T15:03:23Z">
        <w:r>
          <w:rPr/>
          <w:t>4.</w:t>
        </w:r>
      </w:ins>
      <w:ins w:id="78" w:author="ZTE" w:date="2021-04-02T15:03:23Z">
        <w:r>
          <w:rPr>
            <w:rFonts w:hint="eastAsia" w:eastAsia="宋体"/>
            <w:lang w:val="en-US" w:eastAsia="zh-CN"/>
          </w:rPr>
          <w:t>3</w:t>
        </w:r>
      </w:ins>
      <w:ins w:id="79" w:author="ZTE" w:date="2021-04-02T15:03:23Z">
        <w:r>
          <w:rPr/>
          <w:t>.</w:t>
        </w:r>
      </w:ins>
      <w:ins w:id="80" w:author="ZTE" w:date="2021-04-02T15:03:23Z">
        <w:r>
          <w:rPr>
            <w:rFonts w:hint="eastAsia" w:eastAsia="宋体"/>
            <w:lang w:val="en-US" w:eastAsia="zh-CN"/>
          </w:rPr>
          <w:t>1</w:t>
        </w:r>
      </w:ins>
      <w:ins w:id="81" w:author="ZTE" w:date="2021-04-02T15:03:23Z">
        <w:r>
          <w:rPr/>
          <w:tab/>
        </w:r>
      </w:ins>
      <w:ins w:id="82" w:author="ZTE" w:date="2021-04-02T15:03:23Z">
        <w:r>
          <w:rPr>
            <w:rFonts w:hint="eastAsia" w:eastAsia="宋体"/>
            <w:i/>
            <w:lang w:val="en-US" w:eastAsia="zh-CN"/>
          </w:rPr>
          <w:t>IAB-DU clas</w:t>
        </w:r>
      </w:ins>
    </w:p>
    <w:p>
      <w:pPr>
        <w:rPr>
          <w:ins w:id="83" w:author="ZTE" w:date="2021-04-02T15:03:23Z"/>
        </w:rPr>
      </w:pPr>
      <w:ins w:id="84" w:author="ZTE" w:date="2021-04-02T15:03:23Z">
        <w:bookmarkStart w:id="17" w:name="_Hlk487019015"/>
        <w:r>
          <w:rPr/>
          <w:t xml:space="preserve">The requirements in this specification apply to Wide Area IAB-DU, Medium Range IAB-DU and Local Area IAB-DU unless otherwise stated. The associated deployment scenarios for each class are exactly the same for IAB-DU with and without connectors. </w:t>
        </w:r>
      </w:ins>
    </w:p>
    <w:bookmarkEnd w:id="17"/>
    <w:p>
      <w:pPr>
        <w:rPr>
          <w:ins w:id="85" w:author="ZTE" w:date="2021-04-02T15:03:23Z"/>
        </w:rPr>
      </w:pPr>
      <w:ins w:id="86" w:author="ZTE" w:date="2021-04-02T15:03:23Z">
        <w:r>
          <w:rPr/>
          <w:t xml:space="preserve">For IAB </w:t>
        </w:r>
      </w:ins>
      <w:ins w:id="87" w:author="ZTE" w:date="2021-04-02T15:03:23Z">
        <w:r>
          <w:rPr>
            <w:i/>
          </w:rPr>
          <w:t>type 1-O</w:t>
        </w:r>
      </w:ins>
      <w:ins w:id="88" w:author="ZTE" w:date="2021-04-02T15:03:23Z">
        <w:r>
          <w:rPr/>
          <w:t xml:space="preserve"> and 2-O</w:t>
        </w:r>
      </w:ins>
      <w:ins w:id="89" w:author="ZTE" w:date="2021-04-02T15:03:23Z">
        <w:r>
          <w:rPr>
            <w:lang w:eastAsia="zh-CN"/>
          </w:rPr>
          <w:t>, IAB-DU classes</w:t>
        </w:r>
      </w:ins>
      <w:ins w:id="90" w:author="ZTE" w:date="2021-04-02T15:03:23Z">
        <w:r>
          <w:rPr/>
          <w:t xml:space="preserve"> are defined as indicated below:</w:t>
        </w:r>
      </w:ins>
    </w:p>
    <w:p>
      <w:pPr>
        <w:pStyle w:val="84"/>
        <w:rPr>
          <w:ins w:id="91" w:author="ZTE" w:date="2021-04-02T15:03:23Z"/>
        </w:rPr>
      </w:pPr>
      <w:ins w:id="92" w:author="ZTE" w:date="2021-04-02T15:03:23Z">
        <w:r>
          <w:rPr/>
          <w:t>-</w:t>
        </w:r>
      </w:ins>
      <w:ins w:id="93" w:author="ZTE" w:date="2021-04-02T15:03:23Z">
        <w:r>
          <w:rPr/>
          <w:tab/>
        </w:r>
      </w:ins>
      <w:ins w:id="94" w:author="ZTE" w:date="2021-04-02T15:03:23Z">
        <w:r>
          <w:rPr/>
          <w:t>Wide Area IAB-DU are characterised by requirements derived from Macro Cell scenarios with a BS to UE minimum distance along the ground equal to 35 m.</w:t>
        </w:r>
      </w:ins>
    </w:p>
    <w:p>
      <w:pPr>
        <w:pStyle w:val="84"/>
        <w:rPr>
          <w:ins w:id="95" w:author="ZTE" w:date="2021-04-02T15:03:23Z"/>
        </w:rPr>
      </w:pPr>
      <w:ins w:id="96" w:author="ZTE" w:date="2021-04-02T15:03:23Z">
        <w:r>
          <w:rPr/>
          <w:t>-</w:t>
        </w:r>
      </w:ins>
      <w:ins w:id="97" w:author="ZTE" w:date="2021-04-02T15:03:23Z">
        <w:r>
          <w:rPr/>
          <w:tab/>
        </w:r>
      </w:ins>
      <w:ins w:id="98" w:author="ZTE" w:date="2021-04-02T15:03:23Z">
        <w:r>
          <w:rPr/>
          <w:t>Medium Range IAB-DU are characterised by requirements derived from Micro Cell scenarios with a BS to UE minimum distance along the ground equal to 5 m.</w:t>
        </w:r>
      </w:ins>
    </w:p>
    <w:p>
      <w:pPr>
        <w:pStyle w:val="84"/>
        <w:rPr>
          <w:ins w:id="99" w:author="ZTE" w:date="2021-04-02T15:03:23Z"/>
        </w:rPr>
      </w:pPr>
      <w:ins w:id="100" w:author="ZTE" w:date="2021-04-02T15:03:23Z">
        <w:r>
          <w:rPr/>
          <w:t>-</w:t>
        </w:r>
      </w:ins>
      <w:ins w:id="101" w:author="ZTE" w:date="2021-04-02T15:03:23Z">
        <w:r>
          <w:rPr/>
          <w:tab/>
        </w:r>
      </w:ins>
      <w:ins w:id="102" w:author="ZTE" w:date="2021-04-02T15:03:23Z">
        <w:r>
          <w:rPr/>
          <w:t>Local Area IAB-DU are characterised by requirements derived from Pico Cell scenarios with a BS to UE minimum distance along the ground equal to 2 m.</w:t>
        </w:r>
      </w:ins>
    </w:p>
    <w:p>
      <w:pPr>
        <w:rPr>
          <w:ins w:id="103" w:author="ZTE" w:date="2021-04-02T15:03:23Z"/>
        </w:rPr>
      </w:pPr>
      <w:ins w:id="104" w:author="ZTE" w:date="2021-04-02T15:03:23Z">
        <w:r>
          <w:rPr/>
          <w:t xml:space="preserve">The manufacturer shall declare the intended class of the </w:t>
        </w:r>
      </w:ins>
      <w:ins w:id="105" w:author="ZTE" w:date="2021-04-02T15:03:23Z">
        <w:r>
          <w:rPr>
            <w:rFonts w:hint="eastAsia" w:eastAsia="宋体"/>
            <w:lang w:val="en-US" w:eastAsia="zh-CN"/>
          </w:rPr>
          <w:t>IAB</w:t>
        </w:r>
      </w:ins>
      <w:ins w:id="106" w:author="ZTE" w:date="2021-04-02T15:03:23Z">
        <w:r>
          <w:rPr/>
          <w:t xml:space="preserve"> under test.</w:t>
        </w:r>
      </w:ins>
    </w:p>
    <w:p>
      <w:pPr>
        <w:pStyle w:val="4"/>
        <w:rPr>
          <w:ins w:id="107" w:author="ZTE" w:date="2021-04-02T15:03:23Z"/>
          <w:lang w:val="en-US"/>
        </w:rPr>
      </w:pPr>
      <w:ins w:id="108" w:author="ZTE" w:date="2021-04-02T15:03:23Z">
        <w:r>
          <w:rPr/>
          <w:t>4.</w:t>
        </w:r>
      </w:ins>
      <w:ins w:id="109" w:author="ZTE" w:date="2021-04-02T15:03:23Z">
        <w:r>
          <w:rPr>
            <w:rFonts w:hint="eastAsia" w:eastAsia="宋体"/>
            <w:lang w:val="en-US" w:eastAsia="zh-CN"/>
          </w:rPr>
          <w:t>3</w:t>
        </w:r>
      </w:ins>
      <w:ins w:id="110" w:author="ZTE" w:date="2021-04-02T15:03:23Z">
        <w:r>
          <w:rPr/>
          <w:t>.</w:t>
        </w:r>
      </w:ins>
      <w:ins w:id="111" w:author="ZTE" w:date="2021-04-02T15:03:23Z">
        <w:r>
          <w:rPr>
            <w:rFonts w:hint="eastAsia" w:eastAsia="宋体"/>
            <w:lang w:val="en-US" w:eastAsia="zh-CN"/>
          </w:rPr>
          <w:t>2</w:t>
        </w:r>
      </w:ins>
      <w:ins w:id="112" w:author="ZTE" w:date="2021-04-02T15:03:23Z">
        <w:r>
          <w:rPr/>
          <w:tab/>
        </w:r>
      </w:ins>
      <w:ins w:id="113" w:author="ZTE" w:date="2021-04-02T15:03:23Z">
        <w:r>
          <w:rPr>
            <w:rFonts w:hint="eastAsia" w:eastAsia="宋体"/>
            <w:i/>
            <w:lang w:val="en-US" w:eastAsia="zh-CN"/>
          </w:rPr>
          <w:t>IAB-MT clas</w:t>
        </w:r>
      </w:ins>
    </w:p>
    <w:p>
      <w:pPr>
        <w:rPr>
          <w:ins w:id="114" w:author="ZTE" w:date="2021-04-02T15:03:23Z"/>
          <w:iCs/>
        </w:rPr>
      </w:pPr>
      <w:ins w:id="115" w:author="ZTE" w:date="2021-04-02T15:03:23Z">
        <w:r>
          <w:rPr>
            <w:iCs/>
          </w:rPr>
          <w:t xml:space="preserve">The requirements in this specification apply to Wide Area IAB-MT and Local Area IAB-MT classes unless otherwise stated. </w:t>
        </w:r>
      </w:ins>
    </w:p>
    <w:p>
      <w:pPr>
        <w:rPr>
          <w:ins w:id="116" w:author="ZTE" w:date="2021-04-02T15:03:23Z"/>
          <w:iCs/>
        </w:rPr>
      </w:pPr>
      <w:ins w:id="117" w:author="ZTE" w:date="2021-04-02T15:03:23Z">
        <w:r>
          <w:rPr>
            <w:iCs/>
          </w:rPr>
          <w:t>For IAB type 1-O, and 2-O</w:t>
        </w:r>
      </w:ins>
      <w:ins w:id="118" w:author="ZTE" w:date="2021-04-02T15:03:23Z">
        <w:r>
          <w:rPr>
            <w:iCs/>
            <w:lang w:eastAsia="zh-CN"/>
          </w:rPr>
          <w:t>, IAB-MT classes</w:t>
        </w:r>
      </w:ins>
      <w:ins w:id="119" w:author="ZTE" w:date="2021-04-02T15:03:23Z">
        <w:r>
          <w:rPr>
            <w:iCs/>
          </w:rPr>
          <w:t xml:space="preserve"> are defined as indicated below:</w:t>
        </w:r>
      </w:ins>
    </w:p>
    <w:p>
      <w:pPr>
        <w:pStyle w:val="84"/>
        <w:rPr>
          <w:ins w:id="120" w:author="ZTE" w:date="2021-04-02T15:03:23Z"/>
        </w:rPr>
      </w:pPr>
      <w:ins w:id="121" w:author="ZTE" w:date="2021-04-02T15:03:23Z">
        <w:r>
          <w:rPr/>
          <w:t>-</w:t>
        </w:r>
      </w:ins>
      <w:ins w:id="122" w:author="ZTE" w:date="2021-04-02T15:03:23Z">
        <w:r>
          <w:rPr/>
          <w:tab/>
        </w:r>
      </w:ins>
      <w:ins w:id="123" w:author="ZTE" w:date="2021-04-02T15:03:23Z">
        <w:r>
          <w:rPr/>
          <w:t>Wide Area IAB-MT are characterised by requirements derived from Macro Cell and</w:t>
        </w:r>
      </w:ins>
      <w:ins w:id="124" w:author="ZTE" w:date="2021-04-02T15:03:23Z">
        <w:r>
          <w:rPr>
            <w:lang w:eastAsia="zh-CN"/>
          </w:rPr>
          <w:t>/or</w:t>
        </w:r>
      </w:ins>
      <w:ins w:id="125" w:author="ZTE" w:date="2021-04-02T15:03:23Z">
        <w:r>
          <w:rPr/>
          <w:t xml:space="preserve"> Micro Cell scenarios.</w:t>
        </w:r>
      </w:ins>
    </w:p>
    <w:p>
      <w:pPr>
        <w:pStyle w:val="84"/>
        <w:rPr>
          <w:ins w:id="126" w:author="ZTE" w:date="2021-04-02T15:03:23Z"/>
          <w:lang w:eastAsia="zh-CN"/>
        </w:rPr>
      </w:pPr>
      <w:ins w:id="127" w:author="ZTE" w:date="2021-04-02T15:03:23Z">
        <w:r>
          <w:rPr/>
          <w:t>-</w:t>
        </w:r>
      </w:ins>
      <w:ins w:id="128" w:author="ZTE" w:date="2021-04-02T15:03:23Z">
        <w:r>
          <w:rPr/>
          <w:tab/>
        </w:r>
      </w:ins>
      <w:ins w:id="129" w:author="ZTE" w:date="2021-04-02T15:03:23Z">
        <w:r>
          <w:rPr/>
          <w:t xml:space="preserve">Local Area IAB-MT are characterised by requirements derived from Pico Cell and </w:t>
        </w:r>
      </w:ins>
      <w:ins w:id="130" w:author="ZTE" w:date="2021-04-02T15:03:23Z">
        <w:r>
          <w:rPr>
            <w:lang w:eastAsia="zh-CN"/>
          </w:rPr>
          <w:t xml:space="preserve">/or </w:t>
        </w:r>
      </w:ins>
      <w:ins w:id="131" w:author="ZTE" w:date="2021-04-02T15:03:23Z">
        <w:r>
          <w:rPr/>
          <w:t>Micro Cell scenarios.</w:t>
        </w:r>
      </w:ins>
    </w:p>
    <w:p>
      <w:pPr>
        <w:pStyle w:val="3"/>
        <w:rPr>
          <w:ins w:id="132" w:author="ZTE" w:date="2021-04-02T15:03:23Z"/>
          <w:lang w:eastAsia="zh-CN"/>
        </w:rPr>
      </w:pPr>
      <w:ins w:id="133" w:author="ZTE" w:date="2021-04-02T15:03:23Z">
        <w:bookmarkStart w:id="18" w:name="_Toc58915576"/>
        <w:bookmarkStart w:id="19" w:name="_Toc53182909"/>
        <w:bookmarkStart w:id="20" w:name="_Toc36635779"/>
        <w:bookmarkStart w:id="21" w:name="_Toc29810427"/>
        <w:bookmarkStart w:id="22" w:name="_Toc45885800"/>
        <w:bookmarkStart w:id="23" w:name="_Toc37272725"/>
        <w:bookmarkStart w:id="24" w:name="_Toc21102578"/>
        <w:r>
          <w:rPr>
            <w:lang w:eastAsia="zh-CN"/>
          </w:rPr>
          <w:t>4.4</w:t>
        </w:r>
      </w:ins>
      <w:ins w:id="134" w:author="ZTE" w:date="2021-04-02T15:03:23Z">
        <w:r>
          <w:rPr>
            <w:lang w:eastAsia="zh-CN"/>
          </w:rPr>
          <w:tab/>
        </w:r>
      </w:ins>
      <w:ins w:id="135" w:author="ZTE" w:date="2021-04-02T15:03:23Z">
        <w:r>
          <w:rPr>
            <w:lang w:eastAsia="zh-CN"/>
          </w:rPr>
          <w:t>Regional requirements</w:t>
        </w:r>
        <w:bookmarkEnd w:id="18"/>
        <w:bookmarkEnd w:id="19"/>
        <w:bookmarkEnd w:id="20"/>
        <w:bookmarkEnd w:id="21"/>
        <w:bookmarkEnd w:id="22"/>
        <w:bookmarkEnd w:id="23"/>
        <w:bookmarkEnd w:id="24"/>
      </w:ins>
    </w:p>
    <w:p>
      <w:pPr>
        <w:rPr>
          <w:ins w:id="136" w:author="ZTE" w:date="2021-04-02T15:03:23Z"/>
        </w:rPr>
      </w:pPr>
      <w:ins w:id="137" w:author="ZTE" w:date="2021-04-02T15:03:23Z">
        <w:r>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ins>
    </w:p>
    <w:p>
      <w:pPr>
        <w:rPr>
          <w:ins w:id="138" w:author="ZTE" w:date="2021-04-02T15:03:23Z"/>
        </w:rPr>
      </w:pPr>
      <w:ins w:id="139" w:author="ZTE" w:date="2021-04-02T15:03:23Z">
        <w:r>
          <w:rPr/>
          <w:t>Table 4.4-1 lists all requirements in the present specification that may be applied differently in different regions.</w:t>
        </w:r>
      </w:ins>
    </w:p>
    <w:p>
      <w:pPr>
        <w:pStyle w:val="88"/>
        <w:rPr>
          <w:ins w:id="140" w:author="ZTE" w:date="2021-04-02T15:03:23Z"/>
          <w:rFonts w:cs="v5.0.0"/>
        </w:rPr>
      </w:pPr>
      <w:ins w:id="141" w:author="ZTE" w:date="2021-04-02T15:03:23Z">
        <w:r>
          <w:rPr/>
          <w:t>Table 4.4-1: List of regional requirements</w:t>
        </w:r>
      </w:ins>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9"/>
        <w:gridCol w:w="2005"/>
        <w:gridCol w:w="6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ZTE" w:date="2021-04-02T15:03:23Z"/>
        </w:trPr>
        <w:tc>
          <w:tcPr>
            <w:tcW w:w="1439" w:type="dxa"/>
            <w:tcBorders>
              <w:top w:val="single" w:color="auto" w:sz="4" w:space="0"/>
              <w:left w:val="single" w:color="auto" w:sz="4" w:space="0"/>
              <w:bottom w:val="single" w:color="auto" w:sz="4" w:space="0"/>
              <w:right w:val="single" w:color="auto" w:sz="4" w:space="0"/>
            </w:tcBorders>
            <w:shd w:val="clear" w:color="auto" w:fill="D9D9D9"/>
          </w:tcPr>
          <w:p>
            <w:pPr>
              <w:pStyle w:val="74"/>
              <w:rPr>
                <w:ins w:id="143" w:author="ZTE" w:date="2021-04-02T15:03:23Z"/>
              </w:rPr>
            </w:pPr>
            <w:ins w:id="144" w:author="ZTE" w:date="2021-04-02T15:03:23Z">
              <w:r>
                <w:rPr/>
                <w:t>Clause </w:t>
              </w:r>
            </w:ins>
          </w:p>
        </w:tc>
        <w:tc>
          <w:tcPr>
            <w:tcW w:w="2005" w:type="dxa"/>
            <w:tcBorders>
              <w:top w:val="single" w:color="auto" w:sz="4" w:space="0"/>
              <w:left w:val="single" w:color="auto" w:sz="4" w:space="0"/>
              <w:bottom w:val="single" w:color="auto" w:sz="4" w:space="0"/>
              <w:right w:val="single" w:color="auto" w:sz="4" w:space="0"/>
            </w:tcBorders>
            <w:shd w:val="clear" w:color="auto" w:fill="D9D9D9"/>
          </w:tcPr>
          <w:p>
            <w:pPr>
              <w:pStyle w:val="74"/>
              <w:rPr>
                <w:ins w:id="145" w:author="ZTE" w:date="2021-04-02T15:03:23Z"/>
              </w:rPr>
            </w:pPr>
            <w:ins w:id="146" w:author="ZTE" w:date="2021-04-02T15:03:23Z">
              <w:r>
                <w:rPr/>
                <w:t>Requirement</w:t>
              </w:r>
            </w:ins>
          </w:p>
        </w:tc>
        <w:tc>
          <w:tcPr>
            <w:tcW w:w="6187" w:type="dxa"/>
            <w:tcBorders>
              <w:top w:val="single" w:color="auto" w:sz="4" w:space="0"/>
              <w:left w:val="single" w:color="auto" w:sz="4" w:space="0"/>
              <w:bottom w:val="single" w:color="auto" w:sz="4" w:space="0"/>
              <w:right w:val="single" w:color="auto" w:sz="4" w:space="0"/>
            </w:tcBorders>
            <w:shd w:val="clear" w:color="auto" w:fill="D9D9D9"/>
          </w:tcPr>
          <w:p>
            <w:pPr>
              <w:pStyle w:val="74"/>
              <w:rPr>
                <w:ins w:id="147" w:author="ZTE" w:date="2021-04-02T15:03:23Z"/>
              </w:rPr>
            </w:pPr>
            <w:ins w:id="148" w:author="ZTE" w:date="2021-04-02T15:03:23Z">
              <w:r>
                <w:rPr/>
                <w:t>Comments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50" w:author="ZTE" w:date="2021-04-02T15:03:23Z"/>
                <w:rFonts w:cs="Arial"/>
              </w:rPr>
            </w:pPr>
            <w:ins w:id="151" w:author="ZTE" w:date="2021-04-02T15:03:23Z">
              <w:r>
                <w:rPr/>
                <w:t>5.2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52" w:author="ZTE" w:date="2021-04-02T15:03:23Z"/>
              </w:rPr>
            </w:pPr>
            <w:ins w:id="153" w:author="ZTE" w:date="2021-04-02T15:03:23Z">
              <w:r>
                <w:rPr>
                  <w:rFonts w:cs="Arial"/>
                  <w:i/>
                </w:rPr>
                <w:t>Operating bands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54" w:author="ZTE" w:date="2021-04-02T15:03:23Z"/>
                <w:rFonts w:cs="Arial"/>
              </w:rPr>
            </w:pPr>
            <w:ins w:id="155" w:author="ZTE" w:date="2021-04-02T15:03:23Z">
              <w:r>
                <w:rPr/>
                <w:t xml:space="preserve">Some NR </w:t>
              </w:r>
            </w:ins>
            <w:ins w:id="156" w:author="ZTE" w:date="2021-04-02T15:03:23Z">
              <w:r>
                <w:rPr>
                  <w:i/>
                </w:rPr>
                <w:t>operating bands</w:t>
              </w:r>
            </w:ins>
            <w:ins w:id="157" w:author="ZTE" w:date="2021-04-02T15:03:23Z">
              <w:r>
                <w:rPr/>
                <w:t xml:space="preserve"> may be 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59" w:author="ZTE" w:date="2021-04-02T15:03:23Z"/>
              </w:rPr>
            </w:pPr>
            <w:ins w:id="160" w:author="ZTE" w:date="2021-04-02T15:03:23Z">
              <w:r>
                <w:rPr/>
                <w:t>6.2.3</w:t>
              </w:r>
            </w:ins>
          </w:p>
        </w:tc>
        <w:tc>
          <w:tcPr>
            <w:tcW w:w="2005" w:type="dxa"/>
            <w:tcBorders>
              <w:top w:val="single" w:color="auto" w:sz="4" w:space="0"/>
              <w:left w:val="single" w:color="auto" w:sz="4" w:space="0"/>
              <w:bottom w:val="single" w:color="auto" w:sz="4" w:space="0"/>
              <w:right w:val="single" w:color="auto" w:sz="4" w:space="0"/>
            </w:tcBorders>
          </w:tcPr>
          <w:p>
            <w:pPr>
              <w:pStyle w:val="75"/>
              <w:ind w:left="284" w:hanging="284"/>
              <w:rPr>
                <w:ins w:id="161" w:author="ZTE" w:date="2021-04-02T15:03:23Z"/>
                <w:rFonts w:cs="Arial"/>
              </w:rPr>
            </w:pPr>
            <w:ins w:id="162" w:author="ZTE" w:date="2021-04-02T15:03:23Z">
              <w:r>
                <w:rPr>
                  <w:rFonts w:cs="Arial"/>
                </w:rPr>
                <w:t>IAB output power:</w:t>
              </w:r>
            </w:ins>
          </w:p>
          <w:p>
            <w:pPr>
              <w:pStyle w:val="75"/>
              <w:rPr>
                <w:ins w:id="163" w:author="ZTE" w:date="2021-04-02T15:03:23Z"/>
              </w:rPr>
            </w:pPr>
            <w:ins w:id="164" w:author="ZTE" w:date="2021-04-02T15:03:23Z">
              <w:r>
                <w:rPr>
                  <w:rFonts w:cs="Arial"/>
                </w:rPr>
                <w:t>Additional requirements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65" w:author="ZTE" w:date="2021-04-02T15:03:23Z"/>
              </w:rPr>
            </w:pPr>
            <w:ins w:id="166" w:author="ZTE" w:date="2021-04-02T15:03:23Z">
              <w:r>
                <w:rPr>
                  <w:rFonts w:cs="Arial"/>
                </w:rPr>
                <w:t xml:space="preserve">These requirements </w:t>
              </w:r>
            </w:ins>
            <w:ins w:id="167" w:author="ZTE" w:date="2021-04-02T15:03:23Z">
              <w:r>
                <w:rPr/>
                <w:t>may be applied regionally</w:t>
              </w:r>
            </w:ins>
            <w:ins w:id="168" w:author="ZTE" w:date="2021-04-02T15:03:23Z">
              <w:r>
                <w:rPr>
                  <w:rFonts w:cs="Arial"/>
                </w:rPr>
                <w:t xml:space="preserve"> as additional IAB output power requirements.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9"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70" w:author="ZTE" w:date="2021-04-02T15:03:23Z"/>
              </w:rPr>
            </w:pPr>
            <w:ins w:id="171" w:author="ZTE" w:date="2021-04-02T15:03:23Z">
              <w:r>
                <w:rPr/>
                <w:t>9.7.2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72" w:author="ZTE" w:date="2021-04-02T15:03:23Z"/>
                <w:rFonts w:cs="Arial"/>
              </w:rPr>
            </w:pPr>
          </w:p>
          <w:p>
            <w:pPr>
              <w:pStyle w:val="75"/>
              <w:rPr>
                <w:ins w:id="173" w:author="ZTE" w:date="2021-04-02T15:03:23Z"/>
                <w:rFonts w:cs="Arial"/>
              </w:rPr>
            </w:pPr>
            <w:ins w:id="174" w:author="ZTE" w:date="2021-04-02T15:03:23Z">
              <w:r>
                <w:rPr>
                  <w:rFonts w:cs="Arial"/>
                </w:rPr>
                <w:t>OTA occupied bandwidth</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75" w:author="ZTE" w:date="2021-04-02T15:03:23Z"/>
              </w:rPr>
            </w:pPr>
            <w:ins w:id="176" w:author="ZTE" w:date="2021-04-02T15:03:23Z">
              <w:r>
                <w:rPr/>
                <w:t>The requirement may be applied regionally. There may also be regional requirements to declare the occupied bandwidth according to the definition in present specification.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78" w:author="ZTE" w:date="2021-04-02T15:03:23Z"/>
              </w:rPr>
            </w:pPr>
            <w:ins w:id="179" w:author="ZTE" w:date="2021-04-02T15:03:23Z">
              <w:r>
                <w:rPr/>
                <w:t>9.7.4.2</w:t>
              </w:r>
            </w:ins>
          </w:p>
          <w:p>
            <w:pPr>
              <w:pStyle w:val="75"/>
              <w:rPr>
                <w:ins w:id="180" w:author="ZTE" w:date="2021-04-02T15:03:23Z"/>
              </w:rPr>
            </w:pPr>
            <w:ins w:id="181" w:author="ZTE" w:date="2021-04-02T15:03:23Z">
              <w:r>
                <w:rPr/>
                <w:t>9.7.4.3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82" w:author="ZTE" w:date="2021-04-02T15:03:23Z"/>
                <w:rFonts w:cs="Arial"/>
              </w:rPr>
            </w:pPr>
            <w:ins w:id="183" w:author="ZTE" w:date="2021-04-02T15:03:23Z">
              <w:r>
                <w:rPr>
                  <w:rFonts w:cs="Arial"/>
                </w:rPr>
                <w:t>OTA operating band unwanted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84" w:author="ZTE" w:date="2021-04-02T15:03:23Z"/>
              </w:rPr>
            </w:pPr>
            <w:ins w:id="185" w:author="ZTE" w:date="2021-04-02T15:03:23Z">
              <w:r>
                <w:rPr>
                  <w:rFonts w:cs="Arial"/>
                </w:rPr>
                <w:t xml:space="preserve">Category A or Category B operating band unwanted emissions limits may </w:t>
              </w:r>
            </w:ins>
            <w:ins w:id="186" w:author="ZTE" w:date="2021-04-02T15:03:23Z">
              <w:r>
                <w:rPr>
                  <w:rFonts w:hint="eastAsia" w:cs="Arial"/>
                </w:rPr>
                <w:t xml:space="preserve">be </w:t>
              </w:r>
            </w:ins>
            <w:ins w:id="187" w:author="ZTE" w:date="2021-04-02T15:03:23Z">
              <w:r>
                <w:rPr>
                  <w:rFonts w:cs="Arial"/>
                </w:rPr>
                <w:t>applied regionally.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89" w:author="ZTE" w:date="2021-04-02T15:03:23Z"/>
              </w:rPr>
            </w:pPr>
            <w:ins w:id="190" w:author="ZTE" w:date="2021-04-02T15:03:23Z">
              <w:r>
                <w:rPr/>
                <w:t>9.7.4.4.1</w:t>
              </w:r>
            </w:ins>
          </w:p>
        </w:tc>
        <w:tc>
          <w:tcPr>
            <w:tcW w:w="2005" w:type="dxa"/>
            <w:tcBorders>
              <w:top w:val="single" w:color="auto" w:sz="4" w:space="0"/>
              <w:left w:val="single" w:color="auto" w:sz="4" w:space="0"/>
              <w:bottom w:val="single" w:color="auto" w:sz="4" w:space="0"/>
              <w:right w:val="single" w:color="auto" w:sz="4" w:space="0"/>
            </w:tcBorders>
          </w:tcPr>
          <w:p>
            <w:pPr>
              <w:pStyle w:val="75"/>
              <w:rPr>
                <w:ins w:id="191" w:author="ZTE" w:date="2021-04-02T15:03:23Z"/>
                <w:rFonts w:cs="Arial"/>
              </w:rPr>
            </w:pPr>
            <w:ins w:id="192" w:author="ZTE" w:date="2021-04-02T15:03:23Z">
              <w:r>
                <w:rPr>
                  <w:rFonts w:cs="Arial"/>
                </w:rPr>
                <w:t>OTA operating band unwanted emissions:</w:t>
              </w:r>
            </w:ins>
          </w:p>
          <w:p>
            <w:pPr>
              <w:pStyle w:val="75"/>
              <w:rPr>
                <w:ins w:id="193" w:author="ZTE" w:date="2021-04-02T15:03:23Z"/>
              </w:rPr>
            </w:pPr>
            <w:ins w:id="194" w:author="ZTE" w:date="2021-04-02T15:03:23Z">
              <w:r>
                <w:rPr/>
                <w:t>Limits in FCC Title 47</w:t>
              </w:r>
            </w:ins>
          </w:p>
        </w:tc>
        <w:tc>
          <w:tcPr>
            <w:tcW w:w="6187" w:type="dxa"/>
            <w:tcBorders>
              <w:top w:val="single" w:color="auto" w:sz="4" w:space="0"/>
              <w:left w:val="single" w:color="auto" w:sz="4" w:space="0"/>
              <w:bottom w:val="single" w:color="auto" w:sz="4" w:space="0"/>
              <w:right w:val="single" w:color="auto" w:sz="4" w:space="0"/>
            </w:tcBorders>
          </w:tcPr>
          <w:p>
            <w:pPr>
              <w:pStyle w:val="72"/>
              <w:rPr>
                <w:ins w:id="195" w:author="ZTE" w:date="2021-04-02T15:03:23Z"/>
              </w:rPr>
            </w:pPr>
            <w:ins w:id="196" w:author="ZTE" w:date="2021-04-02T15:03:23Z">
              <w:r>
                <w:rPr>
                  <w:rFonts w:cs="Arial"/>
                </w:rPr>
                <w:t>The IAB may have to comply with the additional requirements, when deployed in regions where those limits are applied,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198" w:author="ZTE" w:date="2021-04-02T15:03:23Z"/>
              </w:rPr>
            </w:pPr>
            <w:ins w:id="199" w:author="ZTE" w:date="2021-04-02T15:03:23Z">
              <w:r>
                <w:rPr/>
                <w:t>9.7.5.2.2</w:t>
              </w:r>
            </w:ins>
          </w:p>
          <w:p>
            <w:pPr>
              <w:pStyle w:val="75"/>
              <w:rPr>
                <w:ins w:id="200" w:author="ZTE" w:date="2021-04-02T15:03:23Z"/>
              </w:rPr>
            </w:pPr>
            <w:ins w:id="201" w:author="ZTE" w:date="2021-04-02T15:03:23Z">
              <w:r>
                <w:rPr>
                  <w:rFonts w:cs="Arial"/>
                </w:rPr>
                <w:t>9.7.5.3.2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02" w:author="ZTE" w:date="2021-04-02T15:03:23Z"/>
                <w:rFonts w:cs="Arial"/>
              </w:rPr>
            </w:pPr>
            <w:ins w:id="203" w:author="ZTE" w:date="2021-04-02T15:03:23Z">
              <w:r>
                <w:rPr/>
                <w:t>OTA Tx spurious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04" w:author="ZTE" w:date="2021-04-02T15:03:23Z"/>
                <w:rFonts w:cs="Arial"/>
              </w:rPr>
            </w:pPr>
            <w:ins w:id="205" w:author="ZTE" w:date="2021-04-02T15:03:23Z">
              <w:r>
                <w:rPr>
                  <w:rFonts w:cs="Arial"/>
                </w:rPr>
                <w:t>Category A or Category B spurious emission limits, as defined in ITU-R Recommendation SM.329 [2], may apply regionally.</w:t>
              </w:r>
            </w:ins>
          </w:p>
          <w:p>
            <w:pPr>
              <w:pStyle w:val="72"/>
              <w:rPr>
                <w:ins w:id="206" w:author="ZTE" w:date="2021-04-02T15:03:23Z"/>
              </w:rPr>
            </w:pPr>
            <w:ins w:id="207" w:author="ZTE" w:date="2021-04-02T15:03:23Z">
              <w:r>
                <w:rPr/>
                <w:t xml:space="preserve">The emission limits for </w:t>
              </w:r>
            </w:ins>
            <w:ins w:id="208" w:author="ZTE" w:date="2021-04-02T15:03:23Z">
              <w:r>
                <w:rPr>
                  <w:i/>
                </w:rPr>
                <w:t>IAB type 1-O</w:t>
              </w:r>
            </w:ins>
            <w:ins w:id="209" w:author="ZTE" w:date="2021-04-02T15:03:23Z">
              <w:r>
                <w:rPr/>
                <w:t xml:space="preserve"> specified as the </w:t>
              </w:r>
            </w:ins>
            <w:ins w:id="210" w:author="ZTE" w:date="2021-04-02T15:03:23Z">
              <w:r>
                <w:rPr>
                  <w:i/>
                </w:rPr>
                <w:t>basic limit</w:t>
              </w:r>
            </w:ins>
            <w:ins w:id="211" w:author="ZTE" w:date="2021-04-02T15:03:23Z">
              <w:r>
                <w:rPr/>
                <w:t xml:space="preserve"> + X (dB) are applicable, unless stated differently in regional regulation.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213" w:author="ZTE" w:date="2021-04-02T15:03:23Z"/>
              </w:rPr>
            </w:pPr>
            <w:ins w:id="214" w:author="ZTE" w:date="2021-04-02T15:03:23Z">
              <w:r>
                <w:rPr/>
                <w:t>9.7.5.2.3</w:t>
              </w:r>
            </w:ins>
          </w:p>
          <w:p>
            <w:pPr>
              <w:pStyle w:val="75"/>
              <w:rPr>
                <w:ins w:id="215" w:author="ZTE" w:date="2021-04-02T15:03:23Z"/>
              </w:rPr>
            </w:pPr>
            <w:ins w:id="216" w:author="ZTE" w:date="2021-04-02T15:03:23Z">
              <w:r>
                <w:rPr/>
                <w:t>9.7.5.3.3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17" w:author="ZTE" w:date="2021-04-02T15:03:23Z"/>
              </w:rPr>
            </w:pPr>
            <w:ins w:id="218" w:author="ZTE" w:date="2021-04-02T15:03:23Z">
              <w:r>
                <w:rPr>
                  <w:rFonts w:cs="Arial"/>
                </w:rPr>
                <w:t>OTA Tx spurious emissions: additional requirements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19" w:author="ZTE" w:date="2021-04-02T15:03:23Z"/>
                <w:rFonts w:cs="Arial"/>
              </w:rPr>
            </w:pPr>
            <w:ins w:id="220" w:author="ZTE" w:date="2021-04-02T15:03:23Z">
              <w:r>
                <w:rPr/>
                <w:t xml:space="preserve">These requirements may be applied for the protection of system operating in frequency ranges other than the IAB </w:t>
              </w:r>
            </w:ins>
            <w:ins w:id="221" w:author="ZTE" w:date="2021-04-02T15:03:23Z">
              <w:r>
                <w:rPr>
                  <w:i/>
                </w:rPr>
                <w:t>operating band</w:t>
              </w:r>
            </w:ins>
            <w:ins w:id="222" w:author="ZTE" w:date="2021-04-02T15:03:23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224" w:author="ZTE" w:date="2021-04-02T15:03:23Z"/>
              </w:rPr>
            </w:pPr>
            <w:ins w:id="225" w:author="ZTE" w:date="2021-04-02T15:03:23Z">
              <w:r>
                <w:rPr/>
                <w:t>9.8.2</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26" w:author="ZTE" w:date="2021-04-02T15:03:23Z"/>
              </w:rPr>
            </w:pPr>
            <w:ins w:id="227" w:author="ZTE" w:date="2021-04-02T15:03:23Z">
              <w:r>
                <w:rPr>
                  <w:rFonts w:hint="eastAsia"/>
                  <w:lang w:val="sv-FI"/>
                </w:rPr>
                <w:t>OT</w:t>
              </w:r>
            </w:ins>
            <w:ins w:id="228" w:author="ZTE" w:date="2021-04-02T15:03:23Z">
              <w:r>
                <w:rPr>
                  <w:lang w:val="sv-FI"/>
                </w:rPr>
                <w:t>A transmitter intermodulation</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29" w:author="ZTE" w:date="2021-04-02T15:03:23Z"/>
              </w:rPr>
            </w:pPr>
            <w:ins w:id="230" w:author="ZTE" w:date="2021-04-02T15:03:23Z">
              <w:r>
                <w:rPr>
                  <w:rFonts w:hint="eastAsia"/>
                </w:rPr>
                <w:t xml:space="preserve">Interfering signal positions that are partially or completely outside of any downlink </w:t>
              </w:r>
            </w:ins>
            <w:ins w:id="231" w:author="ZTE" w:date="2021-04-02T15:03:23Z">
              <w:r>
                <w:rPr>
                  <w:rFonts w:hint="eastAsia"/>
                  <w:i/>
                </w:rPr>
                <w:t>operating band</w:t>
              </w:r>
            </w:ins>
            <w:ins w:id="232" w:author="ZTE" w:date="2021-04-02T15:03:23Z">
              <w:r>
                <w:rPr>
                  <w:rFonts w:hint="eastAsia"/>
                </w:rPr>
                <w:t xml:space="preserve"> of the </w:t>
              </w:r>
            </w:ins>
            <w:ins w:id="233" w:author="ZTE" w:date="2021-04-02T15:03:23Z">
              <w:r>
                <w:rPr/>
                <w:t>IAB</w:t>
              </w:r>
            </w:ins>
            <w:ins w:id="234" w:author="ZTE" w:date="2021-04-02T15:03:23Z">
              <w:r>
                <w:rPr>
                  <w:rFonts w:hint="eastAsia"/>
                </w:rPr>
                <w:t xml:space="preserve"> are not excluded from the requirement in Japan in Band n77, n78, 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 w:author="ZTE" w:date="2021-04-02T15:03:23Z"/>
        </w:trPr>
        <w:tc>
          <w:tcPr>
            <w:tcW w:w="1439" w:type="dxa"/>
            <w:tcBorders>
              <w:top w:val="single" w:color="auto" w:sz="4" w:space="0"/>
              <w:left w:val="single" w:color="auto" w:sz="4" w:space="0"/>
              <w:bottom w:val="single" w:color="auto" w:sz="4" w:space="0"/>
              <w:right w:val="single" w:color="auto" w:sz="4" w:space="0"/>
            </w:tcBorders>
          </w:tcPr>
          <w:p>
            <w:pPr>
              <w:pStyle w:val="75"/>
              <w:rPr>
                <w:ins w:id="236" w:author="ZTE" w:date="2021-04-02T15:03:23Z"/>
              </w:rPr>
            </w:pPr>
            <w:ins w:id="237" w:author="ZTE" w:date="2021-04-02T15:03:23Z">
              <w:r>
                <w:rPr/>
                <w:t>10.7.2</w:t>
              </w:r>
            </w:ins>
          </w:p>
          <w:p>
            <w:pPr>
              <w:pStyle w:val="75"/>
              <w:rPr>
                <w:ins w:id="238" w:author="ZTE" w:date="2021-04-02T15:03:23Z"/>
              </w:rPr>
            </w:pPr>
            <w:ins w:id="239" w:author="ZTE" w:date="2021-04-02T15:03:23Z">
              <w:r>
                <w:rPr/>
                <w:t>10.7.3</w:t>
              </w:r>
            </w:ins>
          </w:p>
        </w:tc>
        <w:tc>
          <w:tcPr>
            <w:tcW w:w="2005" w:type="dxa"/>
            <w:tcBorders>
              <w:top w:val="single" w:color="auto" w:sz="4" w:space="0"/>
              <w:left w:val="single" w:color="auto" w:sz="4" w:space="0"/>
              <w:bottom w:val="single" w:color="auto" w:sz="4" w:space="0"/>
              <w:right w:val="single" w:color="auto" w:sz="4" w:space="0"/>
            </w:tcBorders>
          </w:tcPr>
          <w:p>
            <w:pPr>
              <w:pStyle w:val="75"/>
              <w:rPr>
                <w:ins w:id="240" w:author="ZTE" w:date="2021-04-02T15:03:23Z"/>
                <w:rFonts w:cs="Arial"/>
              </w:rPr>
            </w:pPr>
            <w:ins w:id="241" w:author="ZTE" w:date="2021-04-02T15:03:23Z">
              <w:r>
                <w:rPr/>
                <w:t>OTA Rx spurious emissions</w:t>
              </w:r>
            </w:ins>
          </w:p>
        </w:tc>
        <w:tc>
          <w:tcPr>
            <w:tcW w:w="6187" w:type="dxa"/>
            <w:tcBorders>
              <w:top w:val="single" w:color="auto" w:sz="4" w:space="0"/>
              <w:left w:val="single" w:color="auto" w:sz="4" w:space="0"/>
              <w:bottom w:val="single" w:color="auto" w:sz="4" w:space="0"/>
              <w:right w:val="single" w:color="auto" w:sz="4" w:space="0"/>
            </w:tcBorders>
          </w:tcPr>
          <w:p>
            <w:pPr>
              <w:pStyle w:val="72"/>
              <w:rPr>
                <w:ins w:id="242" w:author="ZTE" w:date="2021-04-02T15:03:23Z"/>
              </w:rPr>
            </w:pPr>
            <w:ins w:id="243" w:author="ZTE" w:date="2021-04-02T15:03:23Z">
              <w:r>
                <w:rPr/>
                <w:t xml:space="preserve">The emission limits for </w:t>
              </w:r>
            </w:ins>
            <w:ins w:id="244" w:author="ZTE" w:date="2021-04-02T15:03:23Z">
              <w:r>
                <w:rPr>
                  <w:i/>
                </w:rPr>
                <w:t>IAB type 1-O</w:t>
              </w:r>
            </w:ins>
            <w:ins w:id="245" w:author="ZTE" w:date="2021-04-02T15:03:23Z">
              <w:r>
                <w:rPr/>
                <w:t xml:space="preserve"> specified as the </w:t>
              </w:r>
            </w:ins>
            <w:ins w:id="246" w:author="ZTE" w:date="2021-04-02T15:03:23Z">
              <w:r>
                <w:rPr>
                  <w:i/>
                </w:rPr>
                <w:t>basic limit</w:t>
              </w:r>
            </w:ins>
            <w:ins w:id="247" w:author="ZTE" w:date="2021-04-02T15:03:23Z">
              <w:r>
                <w:rPr/>
                <w:t xml:space="preserve"> + X (dB) are applicable, unless stated differently in regional regulation.</w:t>
              </w:r>
            </w:ins>
          </w:p>
        </w:tc>
      </w:tr>
    </w:tbl>
    <w:p>
      <w:pPr>
        <w:rPr>
          <w:ins w:id="248" w:author="ZTE" w:date="2021-04-02T15:03:23Z"/>
          <w:lang w:eastAsia="zh-CN"/>
        </w:rPr>
      </w:pPr>
    </w:p>
    <w:p>
      <w:pPr>
        <w:pStyle w:val="3"/>
        <w:rPr>
          <w:ins w:id="249" w:author="ZTE" w:date="2021-04-02T15:03:23Z"/>
          <w:rFonts w:cs="v4.2.0"/>
        </w:rPr>
      </w:pPr>
      <w:ins w:id="250" w:author="ZTE" w:date="2021-04-02T15:03:23Z">
        <w:bookmarkStart w:id="25" w:name="_Toc21102579"/>
        <w:bookmarkStart w:id="26" w:name="_Toc53182910"/>
        <w:bookmarkStart w:id="27" w:name="_Toc37272726"/>
        <w:bookmarkStart w:id="28" w:name="_Toc29810428"/>
        <w:bookmarkStart w:id="29" w:name="_Toc58915577"/>
        <w:bookmarkStart w:id="30" w:name="_Toc36635780"/>
        <w:bookmarkStart w:id="31" w:name="_Toc45885801"/>
        <w:r>
          <w:rPr>
            <w:rFonts w:cs="v4.2.0"/>
          </w:rPr>
          <w:t>4.5</w:t>
        </w:r>
      </w:ins>
      <w:ins w:id="251" w:author="ZTE" w:date="2021-04-02T15:03:23Z">
        <w:r>
          <w:rPr>
            <w:rFonts w:cs="v4.2.0"/>
          </w:rPr>
          <w:tab/>
        </w:r>
      </w:ins>
      <w:ins w:id="252" w:author="ZTE" w:date="2021-04-02T15:03:23Z">
        <w:r>
          <w:rPr>
            <w:rFonts w:hint="eastAsia" w:eastAsia="宋体" w:cs="v4.2.0"/>
            <w:lang w:val="en-US" w:eastAsia="zh-CN"/>
          </w:rPr>
          <w:t>IAB</w:t>
        </w:r>
      </w:ins>
      <w:ins w:id="253" w:author="ZTE" w:date="2021-04-02T15:03:23Z">
        <w:r>
          <w:rPr>
            <w:rFonts w:cs="v4.2.0"/>
          </w:rPr>
          <w:t xml:space="preserve"> configurations</w:t>
        </w:r>
        <w:bookmarkEnd w:id="25"/>
        <w:bookmarkEnd w:id="26"/>
        <w:bookmarkEnd w:id="27"/>
        <w:bookmarkEnd w:id="28"/>
        <w:bookmarkEnd w:id="29"/>
        <w:bookmarkEnd w:id="30"/>
        <w:bookmarkEnd w:id="31"/>
      </w:ins>
    </w:p>
    <w:p>
      <w:pPr>
        <w:pStyle w:val="4"/>
        <w:rPr>
          <w:ins w:id="254" w:author="ZTE" w:date="2021-04-02T15:03:23Z"/>
        </w:rPr>
      </w:pPr>
      <w:ins w:id="255" w:author="ZTE" w:date="2021-04-02T15:03:23Z">
        <w:bookmarkStart w:id="32" w:name="_Toc53182911"/>
        <w:bookmarkStart w:id="33" w:name="_Toc36635781"/>
        <w:bookmarkStart w:id="34" w:name="_Toc21102580"/>
        <w:bookmarkStart w:id="35" w:name="_Toc37272727"/>
        <w:bookmarkStart w:id="36" w:name="_Toc45885802"/>
        <w:bookmarkStart w:id="37" w:name="_Toc29810429"/>
        <w:bookmarkStart w:id="38" w:name="_Toc58915578"/>
        <w:r>
          <w:rPr/>
          <w:t>4.5.1</w:t>
        </w:r>
      </w:ins>
      <w:ins w:id="256" w:author="ZTE" w:date="2021-04-02T15:03:23Z">
        <w:r>
          <w:rPr/>
          <w:tab/>
        </w:r>
      </w:ins>
      <w:ins w:id="257" w:author="ZTE" w:date="2021-04-02T15:03:23Z">
        <w:r>
          <w:rPr/>
          <w:t>Transmit configurations</w:t>
        </w:r>
        <w:bookmarkEnd w:id="32"/>
        <w:bookmarkEnd w:id="33"/>
        <w:bookmarkEnd w:id="34"/>
        <w:bookmarkEnd w:id="35"/>
        <w:bookmarkEnd w:id="36"/>
        <w:bookmarkEnd w:id="37"/>
        <w:bookmarkEnd w:id="38"/>
      </w:ins>
    </w:p>
    <w:p>
      <w:pPr>
        <w:rPr>
          <w:ins w:id="258" w:author="ZTE" w:date="2021-04-02T15:03:23Z"/>
        </w:rPr>
      </w:pPr>
      <w:ins w:id="259" w:author="ZTE" w:date="2021-04-02T15:03:23Z">
        <w:r>
          <w:rPr/>
          <w:t>Unless otherwise stated, the radiated transmitter characteristics in clause 6 are specified at RIB, with a full complement of transceiver units for the configuration in normal operating conditions.</w:t>
        </w:r>
      </w:ins>
    </w:p>
    <w:p>
      <w:pPr>
        <w:rPr>
          <w:ins w:id="260" w:author="ZTE" w:date="2021-04-02T15:03:23Z"/>
        </w:rPr>
      </w:pPr>
      <w:ins w:id="261" w:author="ZTE" w:date="2021-04-02T15:03:23Z">
        <w:r>
          <w:rPr/>
          <w:t>Editor</w:t>
        </w:r>
      </w:ins>
      <w:ins w:id="262" w:author="ZTE" w:date="2021-04-02T15:03:23Z">
        <w:r>
          <w:rPr>
            <w:lang w:eastAsia="zh-CN"/>
          </w:rPr>
          <w:t>'</w:t>
        </w:r>
      </w:ins>
      <w:ins w:id="263" w:author="ZTE" w:date="2021-04-02T15:03:23Z">
        <w:r>
          <w:rPr/>
          <w:t>s NOTE:</w:t>
        </w:r>
      </w:ins>
      <w:ins w:id="264" w:author="ZTE" w:date="2021-04-02T15:03:23Z">
        <w:r>
          <w:rPr/>
          <w:tab/>
        </w:r>
      </w:ins>
      <w:ins w:id="265" w:author="ZTE" w:date="2021-04-02T15:03:23Z">
        <w:r>
          <w:rPr/>
          <w:t>to be aligned with the figures for the RIB interfaces and co-location concept.</w:t>
        </w:r>
      </w:ins>
    </w:p>
    <w:p>
      <w:pPr>
        <w:pStyle w:val="88"/>
        <w:rPr>
          <w:ins w:id="266" w:author="ZTE" w:date="2021-04-02T15:03:23Z"/>
        </w:rPr>
      </w:pPr>
      <w:ins w:id="267" w:author="ZTE" w:date="2021-04-02T15:03:23Z">
        <w:r>
          <w:rPr>
            <w:lang w:val="en-US" w:eastAsia="zh-CN"/>
          </w:rPr>
          <w:drawing>
            <wp:inline distT="0" distB="0" distL="0" distR="0">
              <wp:extent cx="6122670" cy="2584450"/>
              <wp:effectExtent l="0" t="0" r="12065" b="0"/>
              <wp:docPr id="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2670" cy="2584450"/>
                      </a:xfrm>
                      <a:prstGeom prst="rect">
                        <a:avLst/>
                      </a:prstGeom>
                      <a:noFill/>
                      <a:ln>
                        <a:noFill/>
                      </a:ln>
                    </pic:spPr>
                  </pic:pic>
                </a:graphicData>
              </a:graphic>
            </wp:inline>
          </w:drawing>
        </w:r>
      </w:ins>
    </w:p>
    <w:p>
      <w:pPr>
        <w:pStyle w:val="98"/>
        <w:rPr>
          <w:ins w:id="269" w:author="ZTE" w:date="2021-04-02T15:03:23Z"/>
        </w:rPr>
      </w:pPr>
      <w:ins w:id="270" w:author="ZTE" w:date="2021-04-02T15:03:23Z">
        <w:r>
          <w:rPr/>
          <w:t>Figure 4.5.1-1: Transmitter test interfaces</w:t>
        </w:r>
      </w:ins>
    </w:p>
    <w:p>
      <w:pPr>
        <w:pStyle w:val="88"/>
        <w:rPr>
          <w:ins w:id="271" w:author="ZTE" w:date="2021-04-02T15:03:23Z"/>
        </w:rPr>
      </w:pPr>
      <w:ins w:id="272" w:author="ZTE" w:date="2021-04-02T15:03:23Z">
        <w:r>
          <w:rPr>
            <w:lang w:val="en-US" w:eastAsia="zh-CN"/>
          </w:rPr>
          <w:drawing>
            <wp:inline distT="0" distB="0" distL="0" distR="0">
              <wp:extent cx="5677535" cy="4516120"/>
              <wp:effectExtent l="0" t="0" r="18415"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677535" cy="4516120"/>
                      </a:xfrm>
                      <a:prstGeom prst="rect">
                        <a:avLst/>
                      </a:prstGeom>
                      <a:noFill/>
                      <a:ln>
                        <a:noFill/>
                      </a:ln>
                    </pic:spPr>
                  </pic:pic>
                </a:graphicData>
              </a:graphic>
            </wp:inline>
          </w:drawing>
        </w:r>
      </w:ins>
    </w:p>
    <w:p>
      <w:pPr>
        <w:pStyle w:val="98"/>
        <w:rPr>
          <w:ins w:id="274" w:author="ZTE" w:date="2021-04-02T15:03:23Z"/>
        </w:rPr>
      </w:pPr>
      <w:ins w:id="275" w:author="ZTE" w:date="2021-04-02T15:03:23Z">
        <w:r>
          <w:rPr/>
          <w:t>Figure 4.5.1-2: Transmitter test interfaces for co-location concept</w:t>
        </w:r>
      </w:ins>
    </w:p>
    <w:p>
      <w:pPr>
        <w:pStyle w:val="4"/>
        <w:rPr>
          <w:ins w:id="276" w:author="ZTE" w:date="2021-04-02T15:03:23Z"/>
        </w:rPr>
      </w:pPr>
      <w:ins w:id="277" w:author="ZTE" w:date="2021-04-02T15:03:23Z">
        <w:bookmarkStart w:id="39" w:name="_Toc45885803"/>
        <w:bookmarkStart w:id="40" w:name="_Toc37272728"/>
        <w:bookmarkStart w:id="41" w:name="_Toc58915579"/>
        <w:bookmarkStart w:id="42" w:name="_Toc53182912"/>
        <w:bookmarkStart w:id="43" w:name="_Toc29810430"/>
        <w:bookmarkStart w:id="44" w:name="_Toc21102581"/>
        <w:bookmarkStart w:id="45" w:name="_Toc36635782"/>
        <w:r>
          <w:rPr/>
          <w:t>4.5.2</w:t>
        </w:r>
      </w:ins>
      <w:ins w:id="278" w:author="ZTE" w:date="2021-04-02T15:03:23Z">
        <w:r>
          <w:rPr/>
          <w:tab/>
        </w:r>
      </w:ins>
      <w:ins w:id="279" w:author="ZTE" w:date="2021-04-02T15:03:23Z">
        <w:r>
          <w:rPr/>
          <w:t>Receive configurations</w:t>
        </w:r>
        <w:bookmarkEnd w:id="39"/>
        <w:bookmarkEnd w:id="40"/>
        <w:bookmarkEnd w:id="41"/>
        <w:bookmarkEnd w:id="42"/>
        <w:bookmarkEnd w:id="43"/>
        <w:bookmarkEnd w:id="44"/>
        <w:bookmarkEnd w:id="45"/>
      </w:ins>
    </w:p>
    <w:p>
      <w:pPr>
        <w:rPr>
          <w:ins w:id="280" w:author="ZTE" w:date="2021-04-02T15:03:23Z"/>
        </w:rPr>
      </w:pPr>
      <w:ins w:id="281" w:author="ZTE" w:date="2021-04-02T15:03:23Z">
        <w:r>
          <w:rPr/>
          <w:t>Unless otherwise stated, the radiated receiver characteristics in clause 7 are specified at RIB, with a full complement of transceiver units for the configuration in normal operating conditions.</w:t>
        </w:r>
      </w:ins>
    </w:p>
    <w:p>
      <w:pPr>
        <w:rPr>
          <w:ins w:id="282" w:author="ZTE" w:date="2021-04-02T15:03:23Z"/>
        </w:rPr>
      </w:pPr>
      <w:ins w:id="283" w:author="ZTE" w:date="2021-04-02T15:03:23Z">
        <w:r>
          <w:rPr/>
          <w:t>Editor</w:t>
        </w:r>
      </w:ins>
      <w:ins w:id="284" w:author="ZTE" w:date="2021-04-02T15:03:23Z">
        <w:r>
          <w:rPr>
            <w:lang w:eastAsia="zh-CN"/>
          </w:rPr>
          <w:t>'</w:t>
        </w:r>
      </w:ins>
      <w:ins w:id="285" w:author="ZTE" w:date="2021-04-02T15:03:23Z">
        <w:r>
          <w:rPr/>
          <w:t>s NOTE:</w:t>
        </w:r>
      </w:ins>
      <w:ins w:id="286" w:author="ZTE" w:date="2021-04-02T15:03:23Z">
        <w:r>
          <w:rPr/>
          <w:tab/>
        </w:r>
      </w:ins>
      <w:ins w:id="287" w:author="ZTE" w:date="2021-04-02T15:03:23Z">
        <w:r>
          <w:rPr/>
          <w:t>to be aligned with the figures for the RIB interfaces and co-location concept.</w:t>
        </w:r>
      </w:ins>
    </w:p>
    <w:p>
      <w:pPr>
        <w:pStyle w:val="88"/>
        <w:rPr>
          <w:rFonts w:eastAsia="Times New Roman" w:cs="Times New Roman"/>
          <w:lang w:val="en-US" w:eastAsia="zh-CN"/>
        </w:rPr>
      </w:pPr>
      <w:r>
        <w:rPr>
          <w:rFonts w:eastAsia="Times New Roman" w:cs="Times New Roman"/>
          <w:lang w:val="en-US" w:eastAsia="zh-CN"/>
        </w:rPr>
        <w:drawing>
          <wp:inline distT="0" distB="0" distL="0" distR="0">
            <wp:extent cx="6114415" cy="2385695"/>
            <wp:effectExtent l="0" t="0" r="635" b="0"/>
            <wp:docPr id="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14415" cy="2385695"/>
                    </a:xfrm>
                    <a:prstGeom prst="rect">
                      <a:avLst/>
                    </a:prstGeom>
                    <a:noFill/>
                    <a:ln>
                      <a:noFill/>
                    </a:ln>
                  </pic:spPr>
                </pic:pic>
              </a:graphicData>
            </a:graphic>
          </wp:inline>
        </w:drawing>
      </w:r>
    </w:p>
    <w:p>
      <w:pPr>
        <w:pStyle w:val="88"/>
        <w:rPr>
          <w:rFonts w:eastAsia="Times New Roman" w:cs="Times New Roman"/>
          <w:lang w:val="en-US" w:eastAsia="zh-CN"/>
        </w:rPr>
      </w:pPr>
      <w:r>
        <w:rPr>
          <w:rFonts w:eastAsia="Times New Roman" w:cs="Times New Roman"/>
          <w:lang w:val="en-US" w:eastAsia="zh-CN"/>
        </w:rPr>
        <w:t>Figure 4.5.2-1: Receiver test interfaces</w:t>
      </w:r>
    </w:p>
    <w:p>
      <w:pPr>
        <w:pStyle w:val="88"/>
        <w:rPr>
          <w:rFonts w:eastAsia="Times New Roman" w:cs="Times New Roman"/>
          <w:lang w:val="en-US" w:eastAsia="zh-CN"/>
        </w:rPr>
      </w:pPr>
      <w:r>
        <w:rPr>
          <w:rFonts w:eastAsia="Times New Roman" w:cs="Times New Roman"/>
          <w:lang w:val="en-US" w:eastAsia="zh-CN"/>
        </w:rPr>
        <w:drawing>
          <wp:inline distT="0" distB="0" distL="0" distR="0">
            <wp:extent cx="5621655" cy="4389120"/>
            <wp:effectExtent l="0" t="0" r="17145"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621655" cy="4389120"/>
                    </a:xfrm>
                    <a:prstGeom prst="rect">
                      <a:avLst/>
                    </a:prstGeom>
                    <a:noFill/>
                    <a:ln>
                      <a:noFill/>
                    </a:ln>
                  </pic:spPr>
                </pic:pic>
              </a:graphicData>
            </a:graphic>
          </wp:inline>
        </w:drawing>
      </w:r>
    </w:p>
    <w:p>
      <w:pPr>
        <w:pStyle w:val="98"/>
      </w:pPr>
      <w:r>
        <w:t>Figure 4.5.2-2: Receiver test interfaces for co-location concept</w:t>
      </w:r>
    </w:p>
    <w:p>
      <w:pPr>
        <w:pStyle w:val="4"/>
        <w:rPr>
          <w:ins w:id="288" w:author="ZTE" w:date="2021-04-02T15:03:23Z"/>
        </w:rPr>
      </w:pPr>
      <w:ins w:id="289" w:author="ZTE" w:date="2021-04-02T15:03:23Z">
        <w:bookmarkStart w:id="46" w:name="_Toc53182913"/>
        <w:bookmarkStart w:id="47" w:name="_Toc45885804"/>
        <w:bookmarkStart w:id="48" w:name="_Toc36635783"/>
        <w:bookmarkStart w:id="49" w:name="_Toc58915580"/>
        <w:bookmarkStart w:id="50" w:name="_Toc21102582"/>
        <w:bookmarkStart w:id="51" w:name="_Toc29810431"/>
        <w:bookmarkStart w:id="52" w:name="_Toc37272729"/>
        <w:r>
          <w:rPr/>
          <w:t>4.5.3</w:t>
        </w:r>
      </w:ins>
      <w:ins w:id="290" w:author="ZTE" w:date="2021-04-02T15:03:23Z">
        <w:r>
          <w:rPr/>
          <w:tab/>
        </w:r>
      </w:ins>
      <w:ins w:id="291" w:author="ZTE" w:date="2021-04-02T15:03:23Z">
        <w:r>
          <w:rPr/>
          <w:t>Power supply options</w:t>
        </w:r>
        <w:bookmarkEnd w:id="46"/>
        <w:bookmarkEnd w:id="47"/>
        <w:bookmarkEnd w:id="48"/>
        <w:bookmarkEnd w:id="49"/>
        <w:bookmarkEnd w:id="50"/>
        <w:bookmarkEnd w:id="51"/>
        <w:bookmarkEnd w:id="52"/>
      </w:ins>
    </w:p>
    <w:p>
      <w:pPr>
        <w:rPr>
          <w:ins w:id="292" w:author="ZTE" w:date="2021-04-02T15:03:23Z"/>
        </w:rPr>
      </w:pPr>
      <w:ins w:id="293" w:author="ZTE" w:date="2021-04-02T15:03:23Z">
        <w:r>
          <w:rPr/>
          <w:t xml:space="preserve">If the </w:t>
        </w:r>
      </w:ins>
      <w:ins w:id="294" w:author="ZTE" w:date="2021-04-02T15:03:23Z">
        <w:r>
          <w:rPr>
            <w:rFonts w:hint="eastAsia" w:eastAsia="宋体"/>
            <w:lang w:val="en-US" w:eastAsia="zh-CN"/>
          </w:rPr>
          <w:t>IAB</w:t>
        </w:r>
      </w:ins>
      <w:ins w:id="295" w:author="ZTE" w:date="2021-04-02T15:03:23Z">
        <w:r>
          <w:rPr/>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ins>
    </w:p>
    <w:p>
      <w:pPr>
        <w:pStyle w:val="4"/>
        <w:rPr>
          <w:ins w:id="296" w:author="ZTE" w:date="2021-04-02T15:03:23Z"/>
        </w:rPr>
      </w:pPr>
      <w:ins w:id="297" w:author="ZTE" w:date="2021-04-02T15:03:23Z">
        <w:bookmarkStart w:id="53" w:name="_Toc45885805"/>
        <w:bookmarkStart w:id="54" w:name="_Toc53182914"/>
        <w:bookmarkStart w:id="55" w:name="_Toc21102583"/>
        <w:bookmarkStart w:id="56" w:name="_Toc36635784"/>
        <w:bookmarkStart w:id="57" w:name="_Toc37272730"/>
        <w:bookmarkStart w:id="58" w:name="_Toc58915581"/>
        <w:bookmarkStart w:id="59" w:name="_Toc29810432"/>
        <w:r>
          <w:rPr/>
          <w:t>4.5.4</w:t>
        </w:r>
      </w:ins>
      <w:ins w:id="298" w:author="ZTE" w:date="2021-04-02T15:03:23Z">
        <w:r>
          <w:rPr/>
          <w:tab/>
        </w:r>
      </w:ins>
      <w:ins w:id="299" w:author="ZTE" w:date="2021-04-02T15:03:23Z">
        <w:r>
          <w:rPr>
            <w:rFonts w:hint="eastAsia" w:eastAsia="宋体"/>
            <w:lang w:val="en-US" w:eastAsia="zh-CN"/>
          </w:rPr>
          <w:t>IAB</w:t>
        </w:r>
      </w:ins>
      <w:ins w:id="300" w:author="ZTE" w:date="2021-04-02T15:03:23Z">
        <w:r>
          <w:rPr/>
          <w:t xml:space="preserve"> with integrated Iuant BS modem</w:t>
        </w:r>
        <w:bookmarkEnd w:id="53"/>
        <w:bookmarkEnd w:id="54"/>
        <w:bookmarkEnd w:id="55"/>
        <w:bookmarkEnd w:id="56"/>
        <w:bookmarkEnd w:id="57"/>
        <w:bookmarkEnd w:id="58"/>
        <w:bookmarkEnd w:id="59"/>
      </w:ins>
    </w:p>
    <w:p>
      <w:pPr>
        <w:rPr>
          <w:ins w:id="301" w:author="ZTE" w:date="2021-04-02T15:03:23Z"/>
        </w:rPr>
      </w:pPr>
      <w:ins w:id="302" w:author="ZTE" w:date="2021-04-02T15:03:23Z">
        <w:r>
          <w:rPr/>
          <w:t>Unless otherwise stated, for the tests in the present document, the integrated Iuant BS modem shall be switched OFF.</w:t>
        </w:r>
      </w:ins>
      <w:ins w:id="303" w:author="ZTE" w:date="2021-04-02T15:03:23Z">
        <w:r>
          <w:rPr>
            <w:rFonts w:cs="v4.2.0"/>
          </w:rPr>
          <w:t xml:space="preserve">Spurious emissions according to clauses 6.6.5 and 7.6 shall be measured only for frequencies above </w:t>
        </w:r>
      </w:ins>
      <w:ins w:id="304" w:author="ZTE" w:date="2021-04-02T15:03:23Z">
        <w:r>
          <w:rPr>
            <w:rFonts w:hint="eastAsia" w:eastAsia="宋体" w:cs="v4.2.0"/>
            <w:lang w:val="en-US" w:eastAsia="zh-CN"/>
          </w:rPr>
          <w:t>3</w:t>
        </w:r>
      </w:ins>
      <w:ins w:id="305" w:author="ZTE" w:date="2021-04-02T15:03:23Z">
        <w:r>
          <w:rPr>
            <w:rFonts w:cs="v4.2.0"/>
          </w:rPr>
          <w:t>0 MHz with the integrated Iuant BS modem switched ON.</w:t>
        </w:r>
      </w:ins>
    </w:p>
    <w:p>
      <w:pPr>
        <w:pStyle w:val="140"/>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rPr>
          <w:rFonts w:hint="eastAsia" w:eastAsia="宋体"/>
          <w:color w:val="FF0000"/>
          <w:sz w:val="24"/>
          <w:szCs w:val="24"/>
          <w:lang w:val="en-US" w:eastAsia="zh-CN"/>
        </w:rPr>
      </w:pPr>
    </w:p>
    <w:bookmarkEnd w:id="0"/>
    <w:bookmarkEnd w:id="1"/>
    <w:bookmarkEnd w:id="2"/>
    <w:bookmarkEnd w:id="3"/>
    <w:bookmarkEnd w:id="4"/>
    <w:bookmarkEnd w:id="5"/>
    <w:bookmarkEnd w:id="6"/>
    <w:bookmarkEnd w:id="7"/>
    <w:p>
      <w:pPr>
        <w:pStyle w:val="140"/>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ind w:leftChars="0"/>
        <w:textAlignment w:val="auto"/>
        <w:outlineLvl w:val="9"/>
        <w:rPr>
          <w:rFonts w:hint="default" w:eastAsia="宋体"/>
          <w:color w:val="FF0000"/>
          <w:sz w:val="24"/>
          <w:szCs w:val="24"/>
          <w:lang w:val="en-US" w:eastAsia="zh-CN"/>
        </w:rPr>
      </w:pPr>
      <w:r>
        <w:rPr>
          <w:rFonts w:hint="eastAsia" w:eastAsia="宋体"/>
          <w:color w:val="FF0000"/>
          <w:sz w:val="24"/>
          <w:szCs w:val="24"/>
          <w:lang w:val="en-US" w:eastAsia="zh-CN"/>
        </w:rPr>
        <w:t xml:space="preserve">&lt;End of TP&gt; </w:t>
      </w:r>
    </w:p>
    <w:p>
      <w:pPr>
        <w:pStyle w:val="84"/>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PMingLiU">
    <w:panose1 w:val="02020500000000000000"/>
    <w:charset w:val="88"/>
    <w:family w:val="auto"/>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fldChar w:fldCharType="begin"/>
    </w:r>
    <w:r>
      <w:instrText xml:space="preserve"> STYLEREF ZA </w:instrText>
    </w:r>
    <w:r>
      <w:fldChar w:fldCharType="separate"/>
    </w:r>
    <w:r>
      <w:rPr>
        <w:b/>
      </w:rPr>
      <w:t>错误！文档中没有指定样式的文字。</w:t>
    </w:r>
    <w:r>
      <w:fldChar w:fldCharType="end"/>
    </w:r>
  </w:p>
  <w:p>
    <w:r>
      <w:fldChar w:fldCharType="begin"/>
    </w:r>
    <w:r>
      <w:instrText xml:space="preserve"> PAGE </w:instrText>
    </w:r>
    <w:r>
      <w:fldChar w:fldCharType="separate"/>
    </w:r>
    <w:r>
      <w:t>1</w:t>
    </w:r>
    <w:r>
      <w:fldChar w:fldCharType="end"/>
    </w:r>
  </w:p>
  <w:p>
    <w:r>
      <w:fldChar w:fldCharType="begin"/>
    </w:r>
    <w:r>
      <w:instrText xml:space="preserve"> STYLEREF ZGSM </w:instrText>
    </w:r>
    <w:r>
      <w:fldChar w:fldCharType="separate"/>
    </w:r>
    <w:r>
      <w:rPr>
        <w:b/>
      </w:rPr>
      <w:t>错误！文档中没有指定样式的文字。</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14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
    <w:nsid w:val="709155FA"/>
    <w:multiLevelType w:val="singleLevel"/>
    <w:tmpl w:val="709155F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EC"/>
    <w:rsid w:val="000112D5"/>
    <w:rsid w:val="000147C3"/>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1491"/>
    <w:rsid w:val="00062023"/>
    <w:rsid w:val="00063EAF"/>
    <w:rsid w:val="000655A6"/>
    <w:rsid w:val="0006664D"/>
    <w:rsid w:val="000671AC"/>
    <w:rsid w:val="00080512"/>
    <w:rsid w:val="00081572"/>
    <w:rsid w:val="0008405B"/>
    <w:rsid w:val="000876C3"/>
    <w:rsid w:val="000A147A"/>
    <w:rsid w:val="000A4E4B"/>
    <w:rsid w:val="000C47C3"/>
    <w:rsid w:val="000C572E"/>
    <w:rsid w:val="000D24C3"/>
    <w:rsid w:val="000D4F50"/>
    <w:rsid w:val="000D55D2"/>
    <w:rsid w:val="000D58AB"/>
    <w:rsid w:val="000E0422"/>
    <w:rsid w:val="000E0E61"/>
    <w:rsid w:val="000E2F6E"/>
    <w:rsid w:val="000F3455"/>
    <w:rsid w:val="000F5CC9"/>
    <w:rsid w:val="0010672C"/>
    <w:rsid w:val="00133525"/>
    <w:rsid w:val="00133A54"/>
    <w:rsid w:val="001360FC"/>
    <w:rsid w:val="00136C94"/>
    <w:rsid w:val="00147E50"/>
    <w:rsid w:val="00154160"/>
    <w:rsid w:val="00160DD3"/>
    <w:rsid w:val="00166487"/>
    <w:rsid w:val="0017614F"/>
    <w:rsid w:val="001A4C42"/>
    <w:rsid w:val="001A6D89"/>
    <w:rsid w:val="001A7420"/>
    <w:rsid w:val="001B1636"/>
    <w:rsid w:val="001B6637"/>
    <w:rsid w:val="001C21C3"/>
    <w:rsid w:val="001C3A72"/>
    <w:rsid w:val="001D02C2"/>
    <w:rsid w:val="001D6DF8"/>
    <w:rsid w:val="001E007B"/>
    <w:rsid w:val="001E3401"/>
    <w:rsid w:val="001F0C1D"/>
    <w:rsid w:val="001F1132"/>
    <w:rsid w:val="001F168B"/>
    <w:rsid w:val="00201806"/>
    <w:rsid w:val="002042D9"/>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C5320"/>
    <w:rsid w:val="002D1F5F"/>
    <w:rsid w:val="002D21CB"/>
    <w:rsid w:val="002D47CB"/>
    <w:rsid w:val="002E00EE"/>
    <w:rsid w:val="002F1C84"/>
    <w:rsid w:val="00311046"/>
    <w:rsid w:val="0031725B"/>
    <w:rsid w:val="003172DC"/>
    <w:rsid w:val="00320A95"/>
    <w:rsid w:val="003274C2"/>
    <w:rsid w:val="00331564"/>
    <w:rsid w:val="00332B26"/>
    <w:rsid w:val="003376D3"/>
    <w:rsid w:val="0034261D"/>
    <w:rsid w:val="0034471E"/>
    <w:rsid w:val="00345EA3"/>
    <w:rsid w:val="00347AD1"/>
    <w:rsid w:val="00350431"/>
    <w:rsid w:val="00352535"/>
    <w:rsid w:val="00352E7E"/>
    <w:rsid w:val="0035462D"/>
    <w:rsid w:val="003765B8"/>
    <w:rsid w:val="00380FCC"/>
    <w:rsid w:val="00394B9C"/>
    <w:rsid w:val="003B06AC"/>
    <w:rsid w:val="003B2087"/>
    <w:rsid w:val="003C3971"/>
    <w:rsid w:val="003C75FB"/>
    <w:rsid w:val="003D7565"/>
    <w:rsid w:val="003E2836"/>
    <w:rsid w:val="003E6082"/>
    <w:rsid w:val="003E69D4"/>
    <w:rsid w:val="003F0955"/>
    <w:rsid w:val="00402A5F"/>
    <w:rsid w:val="00423334"/>
    <w:rsid w:val="004312FA"/>
    <w:rsid w:val="004345EC"/>
    <w:rsid w:val="00435568"/>
    <w:rsid w:val="0044191A"/>
    <w:rsid w:val="00445ED7"/>
    <w:rsid w:val="004540A8"/>
    <w:rsid w:val="004565D4"/>
    <w:rsid w:val="00460864"/>
    <w:rsid w:val="00463521"/>
    <w:rsid w:val="00465515"/>
    <w:rsid w:val="00475407"/>
    <w:rsid w:val="00481912"/>
    <w:rsid w:val="00486C7B"/>
    <w:rsid w:val="0049615D"/>
    <w:rsid w:val="004C2EA2"/>
    <w:rsid w:val="004D3563"/>
    <w:rsid w:val="004D3578"/>
    <w:rsid w:val="004E213A"/>
    <w:rsid w:val="004E6165"/>
    <w:rsid w:val="004F0988"/>
    <w:rsid w:val="004F0BC8"/>
    <w:rsid w:val="004F3340"/>
    <w:rsid w:val="004F3543"/>
    <w:rsid w:val="00501103"/>
    <w:rsid w:val="00522E5F"/>
    <w:rsid w:val="0052552E"/>
    <w:rsid w:val="00532500"/>
    <w:rsid w:val="0053388B"/>
    <w:rsid w:val="00535773"/>
    <w:rsid w:val="00543E6C"/>
    <w:rsid w:val="00547530"/>
    <w:rsid w:val="005624C7"/>
    <w:rsid w:val="005631DC"/>
    <w:rsid w:val="005633B8"/>
    <w:rsid w:val="00563F1A"/>
    <w:rsid w:val="00565087"/>
    <w:rsid w:val="0057195B"/>
    <w:rsid w:val="00573C25"/>
    <w:rsid w:val="005744DA"/>
    <w:rsid w:val="00576041"/>
    <w:rsid w:val="00583202"/>
    <w:rsid w:val="005879C8"/>
    <w:rsid w:val="00591ED5"/>
    <w:rsid w:val="0059402D"/>
    <w:rsid w:val="00597B11"/>
    <w:rsid w:val="005A38B4"/>
    <w:rsid w:val="005B3469"/>
    <w:rsid w:val="005B5DA1"/>
    <w:rsid w:val="005C1240"/>
    <w:rsid w:val="005D2E01"/>
    <w:rsid w:val="005D626A"/>
    <w:rsid w:val="005D7526"/>
    <w:rsid w:val="005E2A33"/>
    <w:rsid w:val="005E4BB2"/>
    <w:rsid w:val="005E53D9"/>
    <w:rsid w:val="005E5C08"/>
    <w:rsid w:val="005F0AD6"/>
    <w:rsid w:val="005F7778"/>
    <w:rsid w:val="00600C59"/>
    <w:rsid w:val="00602AEA"/>
    <w:rsid w:val="00611DAB"/>
    <w:rsid w:val="00614FDF"/>
    <w:rsid w:val="00621D8C"/>
    <w:rsid w:val="006220E7"/>
    <w:rsid w:val="00625275"/>
    <w:rsid w:val="006307A0"/>
    <w:rsid w:val="00632532"/>
    <w:rsid w:val="0063543D"/>
    <w:rsid w:val="00635720"/>
    <w:rsid w:val="00647114"/>
    <w:rsid w:val="00655DD0"/>
    <w:rsid w:val="006707A1"/>
    <w:rsid w:val="00670AFA"/>
    <w:rsid w:val="00671831"/>
    <w:rsid w:val="00673207"/>
    <w:rsid w:val="006776BB"/>
    <w:rsid w:val="00687E32"/>
    <w:rsid w:val="006A323F"/>
    <w:rsid w:val="006B105E"/>
    <w:rsid w:val="006B30D0"/>
    <w:rsid w:val="006B3328"/>
    <w:rsid w:val="006B37F6"/>
    <w:rsid w:val="006C3D95"/>
    <w:rsid w:val="006C6623"/>
    <w:rsid w:val="006D18FA"/>
    <w:rsid w:val="006D4434"/>
    <w:rsid w:val="006D6307"/>
    <w:rsid w:val="006E24A1"/>
    <w:rsid w:val="006E5C86"/>
    <w:rsid w:val="006F2D4E"/>
    <w:rsid w:val="00700C1B"/>
    <w:rsid w:val="00701116"/>
    <w:rsid w:val="00711392"/>
    <w:rsid w:val="00713C44"/>
    <w:rsid w:val="00723396"/>
    <w:rsid w:val="00730ED2"/>
    <w:rsid w:val="00731555"/>
    <w:rsid w:val="00734A5B"/>
    <w:rsid w:val="0074026F"/>
    <w:rsid w:val="007429F6"/>
    <w:rsid w:val="00744E76"/>
    <w:rsid w:val="0074783C"/>
    <w:rsid w:val="0075661D"/>
    <w:rsid w:val="00757CDB"/>
    <w:rsid w:val="00773E90"/>
    <w:rsid w:val="00774DA4"/>
    <w:rsid w:val="00781F0F"/>
    <w:rsid w:val="007939E9"/>
    <w:rsid w:val="00795969"/>
    <w:rsid w:val="007A1AB8"/>
    <w:rsid w:val="007B600E"/>
    <w:rsid w:val="007B7F0F"/>
    <w:rsid w:val="007E5354"/>
    <w:rsid w:val="007F0F4A"/>
    <w:rsid w:val="007F4304"/>
    <w:rsid w:val="007F5CD7"/>
    <w:rsid w:val="008028A4"/>
    <w:rsid w:val="00805C39"/>
    <w:rsid w:val="00811164"/>
    <w:rsid w:val="00816BE6"/>
    <w:rsid w:val="00822DDC"/>
    <w:rsid w:val="00822FB0"/>
    <w:rsid w:val="00824F29"/>
    <w:rsid w:val="0082707E"/>
    <w:rsid w:val="00830747"/>
    <w:rsid w:val="008312AB"/>
    <w:rsid w:val="008456DD"/>
    <w:rsid w:val="00860FB8"/>
    <w:rsid w:val="00867AF3"/>
    <w:rsid w:val="008768CA"/>
    <w:rsid w:val="0089017E"/>
    <w:rsid w:val="00895D1F"/>
    <w:rsid w:val="008A4997"/>
    <w:rsid w:val="008B2EE7"/>
    <w:rsid w:val="008B6B53"/>
    <w:rsid w:val="008C384C"/>
    <w:rsid w:val="008D66B5"/>
    <w:rsid w:val="008E119B"/>
    <w:rsid w:val="008E5B01"/>
    <w:rsid w:val="008E6F26"/>
    <w:rsid w:val="00900C89"/>
    <w:rsid w:val="0090271F"/>
    <w:rsid w:val="00902E23"/>
    <w:rsid w:val="009114D7"/>
    <w:rsid w:val="0091348E"/>
    <w:rsid w:val="00916147"/>
    <w:rsid w:val="00917CCB"/>
    <w:rsid w:val="00930E45"/>
    <w:rsid w:val="00931575"/>
    <w:rsid w:val="00942EC2"/>
    <w:rsid w:val="00945F3D"/>
    <w:rsid w:val="00954A58"/>
    <w:rsid w:val="00955ACA"/>
    <w:rsid w:val="0096131C"/>
    <w:rsid w:val="009639AD"/>
    <w:rsid w:val="00975519"/>
    <w:rsid w:val="00980991"/>
    <w:rsid w:val="00981C90"/>
    <w:rsid w:val="00985853"/>
    <w:rsid w:val="009905C5"/>
    <w:rsid w:val="009A79C0"/>
    <w:rsid w:val="009B00C1"/>
    <w:rsid w:val="009C0F66"/>
    <w:rsid w:val="009D0ED3"/>
    <w:rsid w:val="009D194F"/>
    <w:rsid w:val="009D631F"/>
    <w:rsid w:val="009E21BD"/>
    <w:rsid w:val="009E63ED"/>
    <w:rsid w:val="009F3346"/>
    <w:rsid w:val="009F37B7"/>
    <w:rsid w:val="00A00A51"/>
    <w:rsid w:val="00A10F02"/>
    <w:rsid w:val="00A11D39"/>
    <w:rsid w:val="00A155EB"/>
    <w:rsid w:val="00A164B4"/>
    <w:rsid w:val="00A259C3"/>
    <w:rsid w:val="00A26956"/>
    <w:rsid w:val="00A27486"/>
    <w:rsid w:val="00A40B28"/>
    <w:rsid w:val="00A516DC"/>
    <w:rsid w:val="00A51F27"/>
    <w:rsid w:val="00A53724"/>
    <w:rsid w:val="00A56066"/>
    <w:rsid w:val="00A571CF"/>
    <w:rsid w:val="00A71C17"/>
    <w:rsid w:val="00A73129"/>
    <w:rsid w:val="00A73B8C"/>
    <w:rsid w:val="00A7683B"/>
    <w:rsid w:val="00A77608"/>
    <w:rsid w:val="00A81026"/>
    <w:rsid w:val="00A82346"/>
    <w:rsid w:val="00A87623"/>
    <w:rsid w:val="00A9154E"/>
    <w:rsid w:val="00A92BA1"/>
    <w:rsid w:val="00A92FAB"/>
    <w:rsid w:val="00AA6E21"/>
    <w:rsid w:val="00AB4C79"/>
    <w:rsid w:val="00AB7345"/>
    <w:rsid w:val="00AC6BC6"/>
    <w:rsid w:val="00AC6C70"/>
    <w:rsid w:val="00AD0587"/>
    <w:rsid w:val="00AE1357"/>
    <w:rsid w:val="00AE65E2"/>
    <w:rsid w:val="00AF57BA"/>
    <w:rsid w:val="00AF77B0"/>
    <w:rsid w:val="00B04FEF"/>
    <w:rsid w:val="00B15449"/>
    <w:rsid w:val="00B16BBE"/>
    <w:rsid w:val="00B2189A"/>
    <w:rsid w:val="00B371CA"/>
    <w:rsid w:val="00B37E85"/>
    <w:rsid w:val="00B405DD"/>
    <w:rsid w:val="00B41757"/>
    <w:rsid w:val="00B43062"/>
    <w:rsid w:val="00B46302"/>
    <w:rsid w:val="00B60987"/>
    <w:rsid w:val="00B71CC5"/>
    <w:rsid w:val="00B72DC2"/>
    <w:rsid w:val="00B7552D"/>
    <w:rsid w:val="00B7742F"/>
    <w:rsid w:val="00B82E7F"/>
    <w:rsid w:val="00B90D7C"/>
    <w:rsid w:val="00B920A7"/>
    <w:rsid w:val="00B93086"/>
    <w:rsid w:val="00B93B81"/>
    <w:rsid w:val="00B94F1B"/>
    <w:rsid w:val="00B9516C"/>
    <w:rsid w:val="00BA19ED"/>
    <w:rsid w:val="00BA36CA"/>
    <w:rsid w:val="00BA4B8D"/>
    <w:rsid w:val="00BA5E31"/>
    <w:rsid w:val="00BA6979"/>
    <w:rsid w:val="00BB161A"/>
    <w:rsid w:val="00BB3F9D"/>
    <w:rsid w:val="00BB4012"/>
    <w:rsid w:val="00BC002C"/>
    <w:rsid w:val="00BC0F7D"/>
    <w:rsid w:val="00BC5054"/>
    <w:rsid w:val="00BD1B0D"/>
    <w:rsid w:val="00BD3773"/>
    <w:rsid w:val="00BD7515"/>
    <w:rsid w:val="00BD77A3"/>
    <w:rsid w:val="00BD7D31"/>
    <w:rsid w:val="00BE3255"/>
    <w:rsid w:val="00BE3AD1"/>
    <w:rsid w:val="00BF0223"/>
    <w:rsid w:val="00BF128E"/>
    <w:rsid w:val="00C074DD"/>
    <w:rsid w:val="00C07D17"/>
    <w:rsid w:val="00C1414D"/>
    <w:rsid w:val="00C1496A"/>
    <w:rsid w:val="00C21A05"/>
    <w:rsid w:val="00C2654E"/>
    <w:rsid w:val="00C278CD"/>
    <w:rsid w:val="00C33079"/>
    <w:rsid w:val="00C34BFC"/>
    <w:rsid w:val="00C412BD"/>
    <w:rsid w:val="00C43A1D"/>
    <w:rsid w:val="00C4499B"/>
    <w:rsid w:val="00C45231"/>
    <w:rsid w:val="00C45907"/>
    <w:rsid w:val="00C45C77"/>
    <w:rsid w:val="00C462E5"/>
    <w:rsid w:val="00C50206"/>
    <w:rsid w:val="00C62088"/>
    <w:rsid w:val="00C65C4A"/>
    <w:rsid w:val="00C72295"/>
    <w:rsid w:val="00C72833"/>
    <w:rsid w:val="00C72E89"/>
    <w:rsid w:val="00C73281"/>
    <w:rsid w:val="00C73581"/>
    <w:rsid w:val="00C73C6A"/>
    <w:rsid w:val="00C80F1D"/>
    <w:rsid w:val="00C83519"/>
    <w:rsid w:val="00C83DD4"/>
    <w:rsid w:val="00C8447A"/>
    <w:rsid w:val="00C9330A"/>
    <w:rsid w:val="00C93F40"/>
    <w:rsid w:val="00C95C68"/>
    <w:rsid w:val="00CA3D0C"/>
    <w:rsid w:val="00CB0CA0"/>
    <w:rsid w:val="00CD430A"/>
    <w:rsid w:val="00CD5FBA"/>
    <w:rsid w:val="00CD7180"/>
    <w:rsid w:val="00CD7422"/>
    <w:rsid w:val="00CE3128"/>
    <w:rsid w:val="00CE77BA"/>
    <w:rsid w:val="00D01630"/>
    <w:rsid w:val="00D17C9D"/>
    <w:rsid w:val="00D34B71"/>
    <w:rsid w:val="00D57972"/>
    <w:rsid w:val="00D613C8"/>
    <w:rsid w:val="00D6669D"/>
    <w:rsid w:val="00D675A9"/>
    <w:rsid w:val="00D70DA5"/>
    <w:rsid w:val="00D738D6"/>
    <w:rsid w:val="00D755EB"/>
    <w:rsid w:val="00D76048"/>
    <w:rsid w:val="00D87E00"/>
    <w:rsid w:val="00D9134D"/>
    <w:rsid w:val="00D939C6"/>
    <w:rsid w:val="00D96262"/>
    <w:rsid w:val="00D9674E"/>
    <w:rsid w:val="00DA47BF"/>
    <w:rsid w:val="00DA7A03"/>
    <w:rsid w:val="00DB07F5"/>
    <w:rsid w:val="00DB1818"/>
    <w:rsid w:val="00DB51F3"/>
    <w:rsid w:val="00DC1E41"/>
    <w:rsid w:val="00DC309B"/>
    <w:rsid w:val="00DC4DA2"/>
    <w:rsid w:val="00DD0374"/>
    <w:rsid w:val="00DD4C17"/>
    <w:rsid w:val="00DD74A5"/>
    <w:rsid w:val="00DE22E0"/>
    <w:rsid w:val="00DE3133"/>
    <w:rsid w:val="00DF2854"/>
    <w:rsid w:val="00DF2B1F"/>
    <w:rsid w:val="00DF31A3"/>
    <w:rsid w:val="00DF62CD"/>
    <w:rsid w:val="00E00145"/>
    <w:rsid w:val="00E03DDF"/>
    <w:rsid w:val="00E16509"/>
    <w:rsid w:val="00E179F8"/>
    <w:rsid w:val="00E23C62"/>
    <w:rsid w:val="00E2437E"/>
    <w:rsid w:val="00E25B82"/>
    <w:rsid w:val="00E346C7"/>
    <w:rsid w:val="00E42FA1"/>
    <w:rsid w:val="00E44582"/>
    <w:rsid w:val="00E44746"/>
    <w:rsid w:val="00E67AC6"/>
    <w:rsid w:val="00E67DF2"/>
    <w:rsid w:val="00E73599"/>
    <w:rsid w:val="00E74710"/>
    <w:rsid w:val="00E77645"/>
    <w:rsid w:val="00EA15B0"/>
    <w:rsid w:val="00EA5AC7"/>
    <w:rsid w:val="00EA5EA7"/>
    <w:rsid w:val="00EA6792"/>
    <w:rsid w:val="00EB1C45"/>
    <w:rsid w:val="00EB35A7"/>
    <w:rsid w:val="00EC4A25"/>
    <w:rsid w:val="00EC6DA7"/>
    <w:rsid w:val="00ED1CC3"/>
    <w:rsid w:val="00EE5060"/>
    <w:rsid w:val="00EF1E82"/>
    <w:rsid w:val="00F025A2"/>
    <w:rsid w:val="00F04712"/>
    <w:rsid w:val="00F108CE"/>
    <w:rsid w:val="00F13360"/>
    <w:rsid w:val="00F22EC7"/>
    <w:rsid w:val="00F23A70"/>
    <w:rsid w:val="00F271D9"/>
    <w:rsid w:val="00F325C8"/>
    <w:rsid w:val="00F33E7A"/>
    <w:rsid w:val="00F35793"/>
    <w:rsid w:val="00F50B92"/>
    <w:rsid w:val="00F55173"/>
    <w:rsid w:val="00F561D8"/>
    <w:rsid w:val="00F57EFA"/>
    <w:rsid w:val="00F60987"/>
    <w:rsid w:val="00F653B8"/>
    <w:rsid w:val="00F66508"/>
    <w:rsid w:val="00F66BF1"/>
    <w:rsid w:val="00F76F7D"/>
    <w:rsid w:val="00F9008D"/>
    <w:rsid w:val="00F911B9"/>
    <w:rsid w:val="00FA1266"/>
    <w:rsid w:val="00FA2D5F"/>
    <w:rsid w:val="00FA3CD1"/>
    <w:rsid w:val="00FA5751"/>
    <w:rsid w:val="00FB1B46"/>
    <w:rsid w:val="00FB1BE0"/>
    <w:rsid w:val="00FB57D9"/>
    <w:rsid w:val="00FC1192"/>
    <w:rsid w:val="00FD1D7C"/>
    <w:rsid w:val="00FE23C6"/>
    <w:rsid w:val="079D12C3"/>
    <w:rsid w:val="08587650"/>
    <w:rsid w:val="0A9550FD"/>
    <w:rsid w:val="1093445B"/>
    <w:rsid w:val="145B2618"/>
    <w:rsid w:val="17DF1029"/>
    <w:rsid w:val="18922907"/>
    <w:rsid w:val="1ABC4B2B"/>
    <w:rsid w:val="25CE40D1"/>
    <w:rsid w:val="260F73E8"/>
    <w:rsid w:val="2BFD1DB7"/>
    <w:rsid w:val="2CF72C6E"/>
    <w:rsid w:val="30C976DD"/>
    <w:rsid w:val="31DA75BB"/>
    <w:rsid w:val="32434338"/>
    <w:rsid w:val="36D229C7"/>
    <w:rsid w:val="3E8D14C8"/>
    <w:rsid w:val="445729C1"/>
    <w:rsid w:val="51A419AB"/>
    <w:rsid w:val="51B749EA"/>
    <w:rsid w:val="521F1283"/>
    <w:rsid w:val="561A7D0D"/>
    <w:rsid w:val="57DF5864"/>
    <w:rsid w:val="5AC9059D"/>
    <w:rsid w:val="661C03A2"/>
    <w:rsid w:val="68BF16C9"/>
    <w:rsid w:val="6B351DA4"/>
    <w:rsid w:val="7176122A"/>
    <w:rsid w:val="729073C9"/>
    <w:rsid w:val="7CF61C5A"/>
    <w:rsid w:val="7DDC1B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
    <w:link w:val="21"/>
    <w:qFormat/>
    <w:uiPriority w:val="0"/>
    <w:rPr>
      <w:rFonts w:ascii="Cambria" w:hAnsi="Cambria" w:eastAsia="黑体"/>
      <w:lang w:eastAsia="en-US"/>
    </w:rPr>
  </w:style>
  <w:style w:type="character" w:customStyle="1" w:styleId="122">
    <w:name w:val="Intense Emphasis1"/>
    <w:qFormat/>
    <w:uiPriority w:val="21"/>
    <w:rPr>
      <w:b/>
      <w:bCs/>
      <w:i/>
      <w:iCs/>
      <w:color w:val="4F81BD"/>
    </w:rPr>
  </w:style>
  <w:style w:type="paragraph" w:customStyle="1" w:styleId="123">
    <w:name w:val="Revision1"/>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
    <w:name w:val="Table Grid76"/>
    <w:basedOn w:val="38"/>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0">
    <w:name w:val="Char"/>
    <w:basedOn w:val="11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8E66A9-2DE3-40AD-82A9-F5EB8BE0B75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6</Pages>
  <Words>1101</Words>
  <Characters>6277</Characters>
  <Lines>52</Lines>
  <Paragraphs>14</Paragraphs>
  <TotalTime>2</TotalTime>
  <ScaleCrop>false</ScaleCrop>
  <LinksUpToDate>false</LinksUpToDate>
  <CharactersWithSpaces>7364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2020-12-15T08:00:00Z</dcterms:created>
  <dc:creator>MCC Support</dc:creator>
  <cp:keywords>&lt;keyword[, keyword, ]&gt;</cp:keywords>
  <cp:lastModifiedBy>ZTE</cp:lastModifiedBy>
  <cp:lastPrinted>2019-02-25T14:05:00Z</cp:lastPrinted>
  <dcterms:modified xsi:type="dcterms:W3CDTF">2021-04-02T12:21:09Z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