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8-bis</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R4-2106590</w:t>
      </w:r>
      <w:bookmarkStart w:id="67" w:name="_GoBack"/>
      <w:bookmarkEnd w:id="67"/>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12</w:t>
      </w:r>
      <w:r>
        <w:rPr>
          <w:rFonts w:hint="eastAsia" w:ascii="Arial" w:hAnsi="Arial" w:cs="Arial"/>
          <w:b/>
          <w:sz w:val="24"/>
          <w:szCs w:val="24"/>
          <w:vertAlign w:val="superscript"/>
        </w:rPr>
        <w:t>th</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20</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default" w:ascii="Arial" w:hAnsi="Arial" w:cs="Arial" w:eastAsiaTheme="minorEastAsia"/>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5.2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BS Rx requirements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9"/>
        <w:ind w:left="357" w:hanging="357"/>
      </w:pPr>
      <w:r>
        <w:t>Background</w:t>
      </w:r>
    </w:p>
    <w:p>
      <w:pPr>
        <w:widowControl w:val="0"/>
        <w:jc w:val="both"/>
        <w:rPr>
          <w:rFonts w:hint="default"/>
          <w:lang w:val="en-US" w:eastAsia="zh-CN"/>
        </w:rPr>
      </w:pPr>
      <w:r>
        <w:rPr>
          <w:rFonts w:hint="default"/>
          <w:lang w:val="en-US" w:eastAsia="zh-CN"/>
        </w:rPr>
        <w:t xml:space="preserve">In </w:t>
      </w:r>
      <w:r>
        <w:rPr>
          <w:rFonts w:hint="eastAsia"/>
          <w:lang w:val="en-US" w:eastAsia="zh-CN"/>
        </w:rPr>
        <w:t>the previous 60GHz SID, there were extensive discussions on BS architecture and RF feasibility which were documented in TR 38.808. In this contribution, we want to share some initial understandings on how to define BS RF requirements for 60GHz WID.</w:t>
      </w:r>
    </w:p>
    <w:p>
      <w:pPr>
        <w:pStyle w:val="29"/>
        <w:ind w:left="357" w:hanging="357"/>
      </w:pPr>
      <w:r>
        <w:rPr>
          <w:rFonts w:hint="eastAsia"/>
          <w:lang w:val="en-US" w:eastAsia="zh-CN"/>
        </w:rPr>
        <w:t>Discussion</w:t>
      </w:r>
    </w:p>
    <w:p>
      <w:pPr>
        <w:widowControl w:val="0"/>
        <w:jc w:val="both"/>
        <w:rPr>
          <w:rFonts w:hint="default"/>
          <w:lang w:val="en-US" w:eastAsia="zh-CN"/>
        </w:rPr>
      </w:pPr>
      <w:r>
        <w:rPr>
          <w:rFonts w:hint="eastAsia"/>
          <w:lang w:val="en-US" w:eastAsia="zh-CN"/>
        </w:rPr>
        <w:t xml:space="preserve"> In the following Table 1, we summarized the initial considerations for BS RF requirement at 60GHz. </w:t>
      </w:r>
    </w:p>
    <w:p>
      <w:pPr>
        <w:widowControl w:val="0"/>
        <w:jc w:val="center"/>
        <w:rPr>
          <w:rFonts w:hint="default"/>
          <w:b/>
          <w:bCs/>
          <w:lang w:val="en-US" w:eastAsia="zh-CN"/>
        </w:rPr>
      </w:pPr>
      <w:r>
        <w:rPr>
          <w:rFonts w:hint="eastAsia"/>
          <w:b/>
          <w:bCs/>
          <w:lang w:val="en-US" w:eastAsia="zh-CN"/>
        </w:rPr>
        <w:t>Table 1. Summary of related RF requirement</w:t>
      </w:r>
    </w:p>
    <w:tbl>
      <w:tblPr>
        <w:tblStyle w:val="1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widowControl w:val="0"/>
              <w:jc w:val="left"/>
              <w:rPr>
                <w:rFonts w:hint="default" w:ascii="Times New Roman" w:hAnsi="Times New Roman" w:eastAsia="宋体" w:cs="Times New Roman"/>
                <w:sz w:val="20"/>
                <w:szCs w:val="20"/>
                <w:vertAlign w:val="baseline"/>
                <w:lang w:val="en-US" w:eastAsia="zh-CN"/>
              </w:rPr>
            </w:pPr>
            <w:r>
              <w:rPr>
                <w:rFonts w:hint="default"/>
                <w:b/>
                <w:bCs/>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lang w:val="en-US"/>
              </w:rPr>
            </w:pPr>
            <w:bookmarkStart w:id="4" w:name="_Toc37260383"/>
            <w:bookmarkStart w:id="5" w:name="_Toc45893689"/>
            <w:bookmarkStart w:id="6" w:name="_Toc29811909"/>
            <w:bookmarkStart w:id="7" w:name="_Toc21127700"/>
            <w:bookmarkStart w:id="8" w:name="_Toc37267771"/>
            <w:bookmarkStart w:id="9" w:name="_Toc44712377"/>
            <w:bookmarkStart w:id="10" w:name="_Toc36817461"/>
            <w:r>
              <w:rPr>
                <w:lang w:val="en-US"/>
              </w:rPr>
              <w:t>10.2</w:t>
            </w:r>
            <w:r>
              <w:rPr>
                <w:rFonts w:hint="eastAsia"/>
                <w:lang w:val="en-US" w:eastAsia="zh-CN"/>
              </w:rPr>
              <w:t xml:space="preserve">. </w:t>
            </w:r>
            <w:r>
              <w:rPr>
                <w:lang w:val="en-US"/>
              </w:rPr>
              <w:t>OTA sensitivity</w:t>
            </w:r>
            <w:bookmarkEnd w:id="4"/>
            <w:bookmarkEnd w:id="5"/>
            <w:bookmarkEnd w:id="6"/>
            <w:bookmarkEnd w:id="7"/>
            <w:bookmarkEnd w:id="8"/>
            <w:bookmarkEnd w:id="9"/>
            <w:bookmarkEnd w:id="10"/>
          </w:p>
          <w:p>
            <w:pPr>
              <w:widowControl w:val="0"/>
              <w:jc w:val="both"/>
              <w:rPr>
                <w:rFonts w:hint="default"/>
                <w:lang w:val="en-US" w:eastAsia="zh-CN"/>
              </w:rPr>
            </w:pPr>
          </w:p>
        </w:tc>
        <w:tc>
          <w:tcPr>
            <w:tcW w:w="6457" w:type="dxa"/>
            <w:noWrap w:val="0"/>
            <w:vAlign w:val="top"/>
          </w:tcPr>
          <w:p>
            <w:pPr>
              <w:widowControl w:val="0"/>
              <w:jc w:val="both"/>
              <w:rPr>
                <w:rFonts w:hint="default"/>
                <w:lang w:val="en-US" w:eastAsia="zh-CN"/>
              </w:rPr>
            </w:pPr>
            <w:r>
              <w:rPr>
                <w:lang w:eastAsia="zh-CN"/>
              </w:rPr>
              <w:t xml:space="preserve">There is no OTA sensitivity requirement for FR2, </w:t>
            </w:r>
            <w:r>
              <w:rPr>
                <w:rFonts w:hint="eastAsia"/>
                <w:lang w:val="en-US" w:eastAsia="zh-CN"/>
              </w:rPr>
              <w:t>the same story should be applied for 60GHz.</w:t>
            </w:r>
          </w:p>
          <w:p>
            <w:pPr>
              <w:widowControl w:val="0"/>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11" w:name="_Toc37267776"/>
            <w:bookmarkStart w:id="12" w:name="_Toc21127705"/>
            <w:bookmarkStart w:id="13" w:name="_Toc45893694"/>
            <w:bookmarkStart w:id="14" w:name="_Toc36817466"/>
            <w:bookmarkStart w:id="15" w:name="_Toc37260388"/>
            <w:bookmarkStart w:id="16" w:name="_Toc44712382"/>
            <w:bookmarkStart w:id="17" w:name="_Toc29811914"/>
            <w:r>
              <w:t>10.3</w:t>
            </w:r>
            <w:r>
              <w:rPr>
                <w:rFonts w:hint="eastAsia"/>
                <w:lang w:val="en-US" w:eastAsia="zh-CN"/>
              </w:rPr>
              <w:t>.</w:t>
            </w:r>
            <w:r>
              <w:t>OTA reference sensitivity level</w:t>
            </w:r>
            <w:bookmarkEnd w:id="11"/>
            <w:bookmarkEnd w:id="12"/>
            <w:bookmarkEnd w:id="13"/>
            <w:bookmarkEnd w:id="14"/>
            <w:bookmarkEnd w:id="15"/>
            <w:bookmarkEnd w:id="16"/>
            <w:bookmarkEnd w:id="17"/>
          </w:p>
          <w:p>
            <w:pPr>
              <w:widowControl w:val="0"/>
              <w:jc w:val="both"/>
              <w:rPr>
                <w:rFonts w:hint="default"/>
                <w:lang w:val="en-US" w:eastAsia="zh-CN"/>
              </w:rPr>
            </w:pPr>
          </w:p>
        </w:tc>
        <w:tc>
          <w:tcPr>
            <w:tcW w:w="6457" w:type="dxa"/>
            <w:noWrap w:val="0"/>
            <w:vAlign w:val="top"/>
          </w:tcPr>
          <w:p>
            <w:pPr>
              <w:widowControl w:val="0"/>
              <w:jc w:val="both"/>
              <w:rPr>
                <w:rFonts w:hint="eastAsia"/>
                <w:lang w:val="en-US" w:eastAsia="zh-CN"/>
              </w:rPr>
            </w:pPr>
            <w:r>
              <w:rPr>
                <w:rFonts w:hint="eastAsia"/>
                <w:lang w:val="en-US" w:eastAsia="zh-CN"/>
              </w:rPr>
              <w:t>For OTA reference sensitivity level of 60GHz, at least the following factors needed to be considered:</w:t>
            </w:r>
          </w:p>
          <w:p>
            <w:pPr>
              <w:widowControl w:val="0"/>
              <w:numPr>
                <w:ilvl w:val="0"/>
                <w:numId w:val="3"/>
              </w:numPr>
              <w:jc w:val="both"/>
              <w:rPr>
                <w:rFonts w:hint="default"/>
                <w:lang w:val="en-US" w:eastAsia="zh-CN"/>
              </w:rPr>
            </w:pPr>
            <w:r>
              <w:rPr>
                <w:rFonts w:hint="eastAsia"/>
                <w:lang w:val="en-US" w:eastAsia="zh-CN"/>
              </w:rPr>
              <w:t>FRC, the existing FRC for FR2 is based on 50MHz which is also the minimum channel bandwidth of the existing FR2, however for 60GHz, the minimum channel bandwidth is still under discussion, maybe we could postpone the discussion until there are clear agreement on that;</w:t>
            </w:r>
          </w:p>
          <w:p>
            <w:pPr>
              <w:widowControl w:val="0"/>
              <w:numPr>
                <w:ilvl w:val="0"/>
                <w:numId w:val="3"/>
              </w:numPr>
              <w:jc w:val="both"/>
              <w:rPr>
                <w:rFonts w:hint="default"/>
                <w:lang w:val="en-US" w:eastAsia="zh-CN"/>
              </w:rPr>
            </w:pPr>
            <w:r>
              <w:rPr>
                <w:rFonts w:hint="eastAsia"/>
                <w:lang w:val="en-US" w:eastAsia="zh-CN"/>
              </w:rPr>
              <w:t>NF, as captured in 52.6-71GHz, it should be in the range of 10-13dB;</w:t>
            </w:r>
          </w:p>
          <w:p>
            <w:pPr>
              <w:widowControl w:val="0"/>
              <w:numPr>
                <w:ilvl w:val="0"/>
                <w:numId w:val="3"/>
              </w:numPr>
              <w:jc w:val="both"/>
              <w:rPr>
                <w:rFonts w:hint="default"/>
                <w:lang w:val="en-US" w:eastAsia="zh-CN"/>
              </w:rPr>
            </w:pPr>
            <w:r>
              <w:rPr>
                <w:rFonts w:hint="eastAsia"/>
                <w:lang w:val="en-US" w:eastAsia="zh-CN"/>
              </w:rPr>
              <w:t>Antenna array size, the lower gain case (4x4) and the higher gain case (64x32) defined for the existing FR2 could also been applied for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18" w:name="_Toc21127709"/>
            <w:bookmarkStart w:id="19" w:name="_Toc44712386"/>
            <w:bookmarkStart w:id="20" w:name="_Toc37267780"/>
            <w:bookmarkStart w:id="21" w:name="_Toc29811918"/>
            <w:bookmarkStart w:id="22" w:name="_Toc36817470"/>
            <w:bookmarkStart w:id="23" w:name="_Toc37260392"/>
            <w:bookmarkStart w:id="24" w:name="_Toc45893698"/>
            <w:r>
              <w:t>10.4</w:t>
            </w:r>
            <w:r>
              <w:rPr>
                <w:rFonts w:hint="eastAsia"/>
                <w:lang w:val="en-US" w:eastAsia="zh-CN"/>
              </w:rPr>
              <w:t>.</w:t>
            </w:r>
            <w:r>
              <w:t xml:space="preserve">OTA </w:t>
            </w:r>
            <w:bookmarkEnd w:id="18"/>
            <w:r>
              <w:t>dynamic range</w:t>
            </w:r>
            <w:bookmarkEnd w:id="19"/>
            <w:bookmarkEnd w:id="20"/>
            <w:bookmarkEnd w:id="21"/>
            <w:bookmarkEnd w:id="22"/>
            <w:bookmarkEnd w:id="23"/>
            <w:bookmarkEnd w:id="24"/>
          </w:p>
          <w:p>
            <w:pPr>
              <w:widowControl w:val="0"/>
              <w:jc w:val="both"/>
              <w:rPr>
                <w:rFonts w:hint="eastAsia"/>
                <w:lang w:val="en-US" w:eastAsia="zh-CN"/>
              </w:rPr>
            </w:pPr>
          </w:p>
        </w:tc>
        <w:tc>
          <w:tcPr>
            <w:tcW w:w="6457" w:type="dxa"/>
            <w:noWrap w:val="0"/>
            <w:vAlign w:val="top"/>
          </w:tcPr>
          <w:p>
            <w:pPr>
              <w:widowControl w:val="0"/>
              <w:jc w:val="both"/>
              <w:rPr>
                <w:rFonts w:hint="eastAsia"/>
                <w:lang w:val="en-US" w:eastAsia="zh-CN"/>
              </w:rPr>
            </w:pPr>
            <w:r>
              <w:rPr>
                <w:rFonts w:hint="eastAsia"/>
                <w:lang w:val="en-US" w:eastAsia="zh-CN"/>
              </w:rPr>
              <w:t>This is not applied for the existing FR2 due to the limited noise floor rise based on the co-channel simulation.</w:t>
            </w:r>
          </w:p>
          <w:p>
            <w:pPr>
              <w:widowControl w:val="0"/>
              <w:jc w:val="both"/>
              <w:rPr>
                <w:rFonts w:hint="default"/>
                <w:lang w:val="en-US" w:eastAsia="zh-CN"/>
              </w:rPr>
            </w:pPr>
            <w:r>
              <w:rPr>
                <w:rFonts w:hint="eastAsia"/>
                <w:lang w:val="en-US" w:eastAsia="zh-CN"/>
              </w:rPr>
              <w:t>The same story should be applied for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25" w:name="_Toc37267784"/>
            <w:bookmarkStart w:id="26" w:name="_Toc36817474"/>
            <w:bookmarkStart w:id="27" w:name="_Toc29811922"/>
            <w:bookmarkStart w:id="28" w:name="_Toc45893702"/>
            <w:bookmarkStart w:id="29" w:name="_Toc21127713"/>
            <w:bookmarkStart w:id="30" w:name="_Toc44712390"/>
            <w:bookmarkStart w:id="31" w:name="_Toc37260396"/>
            <w:r>
              <w:t>10.5.1</w:t>
            </w:r>
            <w:r>
              <w:rPr>
                <w:rFonts w:hint="eastAsia"/>
                <w:lang w:val="en-US" w:eastAsia="zh-CN"/>
              </w:rPr>
              <w:t>.</w:t>
            </w:r>
            <w:r>
              <w:t>OTA adjacent channel selectivity</w:t>
            </w:r>
            <w:bookmarkEnd w:id="25"/>
            <w:bookmarkEnd w:id="26"/>
            <w:bookmarkEnd w:id="27"/>
            <w:bookmarkEnd w:id="28"/>
            <w:bookmarkEnd w:id="29"/>
            <w:bookmarkEnd w:id="30"/>
            <w:bookmarkEnd w:id="31"/>
          </w:p>
          <w:p>
            <w:pPr>
              <w:widowControl w:val="0"/>
              <w:jc w:val="both"/>
              <w:rPr>
                <w:rFonts w:hint="eastAsia"/>
                <w:lang w:val="en-US" w:eastAsia="zh-CN"/>
              </w:rPr>
            </w:pPr>
          </w:p>
        </w:tc>
        <w:tc>
          <w:tcPr>
            <w:tcW w:w="6457" w:type="dxa"/>
            <w:noWrap w:val="0"/>
            <w:vAlign w:val="top"/>
          </w:tcPr>
          <w:p>
            <w:pPr>
              <w:widowControl w:val="0"/>
              <w:jc w:val="both"/>
              <w:rPr>
                <w:rFonts w:hint="default"/>
                <w:lang w:val="en-US" w:eastAsia="zh-CN"/>
              </w:rPr>
            </w:pPr>
            <w:r>
              <w:rPr>
                <w:rFonts w:hint="eastAsia"/>
                <w:lang w:val="en-US" w:eastAsia="zh-CN"/>
              </w:rPr>
              <w:t>Similar as BS ACLR requirements, for BS ACS requirements for 60GHz, based on the simulation results in Rel-14 and agreement made as captured in TR 38.803, then BS ACS requirement for 60GHz could be 22dB with upper numbering.</w:t>
            </w:r>
          </w:p>
          <w:p>
            <w:pPr>
              <w:pStyle w:val="35"/>
              <w:widowControl w:val="0"/>
              <w:rPr>
                <w:rFonts w:hint="eastAsia"/>
                <w:lang w:eastAsia="ja-JP"/>
              </w:rPr>
            </w:pPr>
            <w:r>
              <w:rPr>
                <w:rFonts w:hint="eastAsia"/>
                <w:lang w:eastAsia="ja-JP"/>
              </w:rPr>
              <w:t>Table 5.5-6: BS ACS</w:t>
            </w:r>
          </w:p>
          <w:tbl>
            <w:tblPr>
              <w:tblStyle w:val="11"/>
              <w:tblW w:w="4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580"/>
              <w:gridCol w:w="940"/>
              <w:gridCol w:w="78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　</w:t>
                  </w:r>
                </w:p>
              </w:tc>
              <w:tc>
                <w:tcPr>
                  <w:tcW w:w="94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30GHz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45GHz</w:t>
                  </w:r>
                </w:p>
              </w:tc>
              <w:tc>
                <w:tcPr>
                  <w:tcW w:w="7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70GHz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5" w:hRule="atLeast"/>
                <w:jc w:val="center"/>
              </w:trPr>
              <w:tc>
                <w:tcPr>
                  <w:tcW w:w="1580" w:type="dxa"/>
                  <w:shd w:val="clear" w:color="auto" w:fill="auto"/>
                  <w:noWrap w:val="0"/>
                  <w:vAlign w:val="center"/>
                </w:tcPr>
                <w:p>
                  <w:pPr>
                    <w:spacing w:after="0"/>
                    <w:jc w:val="center"/>
                    <w:rPr>
                      <w:rFonts w:ascii="Arial" w:hAnsi="Arial" w:eastAsia="MS PGothic" w:cs="Arial"/>
                      <w:b/>
                      <w:bCs/>
                      <w:sz w:val="18"/>
                      <w:szCs w:val="18"/>
                      <w:lang w:val="en-US" w:eastAsia="ja-JP"/>
                    </w:rPr>
                  </w:pPr>
                  <w:r>
                    <w:rPr>
                      <w:rFonts w:ascii="Arial" w:hAnsi="Arial" w:eastAsia="MS PGothic" w:cs="Arial"/>
                      <w:b/>
                      <w:bCs/>
                      <w:sz w:val="18"/>
                      <w:szCs w:val="18"/>
                      <w:lang w:eastAsia="ja-JP"/>
                    </w:rPr>
                    <w:t>BS ACS value</w:t>
                  </w:r>
                  <w:r>
                    <w:rPr>
                      <w:rFonts w:hint="eastAsia" w:ascii="Arial" w:hAnsi="Arial" w:eastAsia="MS PGothic" w:cs="Arial"/>
                      <w:b/>
                      <w:bCs/>
                      <w:sz w:val="18"/>
                      <w:szCs w:val="18"/>
                      <w:lang w:eastAsia="ja-JP"/>
                    </w:rPr>
                    <w:t xml:space="preserve"> [dB]</w:t>
                  </w:r>
                </w:p>
              </w:tc>
              <w:tc>
                <w:tcPr>
                  <w:tcW w:w="94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23.5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22.5</w:t>
                  </w:r>
                </w:p>
              </w:tc>
              <w:tc>
                <w:tcPr>
                  <w:tcW w:w="780" w:type="dxa"/>
                  <w:shd w:val="clear" w:color="auto" w:fill="auto"/>
                  <w:noWrap w:val="0"/>
                  <w:vAlign w:val="center"/>
                </w:tcPr>
                <w:p>
                  <w:pPr>
                    <w:spacing w:after="0"/>
                    <w:jc w:val="center"/>
                    <w:rPr>
                      <w:rFonts w:ascii="Arial" w:hAnsi="Arial" w:eastAsia="MS PGothic" w:cs="Arial"/>
                      <w:sz w:val="18"/>
                      <w:szCs w:val="18"/>
                      <w:lang w:val="en-US" w:eastAsia="ja-JP"/>
                    </w:rPr>
                  </w:pPr>
                  <w:r>
                    <w:rPr>
                      <w:rFonts w:ascii="Arial" w:hAnsi="Arial" w:eastAsia="MS PGothic" w:cs="Arial"/>
                      <w:sz w:val="18"/>
                      <w:szCs w:val="18"/>
                      <w:lang w:eastAsia="ja-JP"/>
                    </w:rPr>
                    <w:t>21.5</w:t>
                  </w:r>
                </w:p>
              </w:tc>
            </w:tr>
          </w:tbl>
          <w:p>
            <w:pPr>
              <w:widowControl w:val="0"/>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32" w:name="_Toc44712394"/>
            <w:bookmarkStart w:id="33" w:name="_Toc36817478"/>
            <w:bookmarkStart w:id="34" w:name="_Toc29811926"/>
            <w:bookmarkStart w:id="35" w:name="_Toc45893706"/>
            <w:bookmarkStart w:id="36" w:name="_Toc21127717"/>
            <w:bookmarkStart w:id="37" w:name="_Toc37260400"/>
            <w:bookmarkStart w:id="38" w:name="_Toc37267788"/>
            <w:r>
              <w:t>10.5.2</w:t>
            </w:r>
            <w:r>
              <w:rPr>
                <w:rFonts w:hint="eastAsia"/>
                <w:lang w:val="en-US" w:eastAsia="zh-CN"/>
              </w:rPr>
              <w:t xml:space="preserve">. </w:t>
            </w:r>
            <w:r>
              <w:t>OTA in-band blocking</w:t>
            </w:r>
            <w:bookmarkEnd w:id="32"/>
            <w:bookmarkEnd w:id="33"/>
            <w:bookmarkEnd w:id="34"/>
            <w:bookmarkEnd w:id="35"/>
            <w:bookmarkEnd w:id="36"/>
            <w:bookmarkEnd w:id="37"/>
            <w:bookmarkEnd w:id="38"/>
          </w:p>
          <w:p>
            <w:pPr>
              <w:widowControl w:val="0"/>
              <w:jc w:val="both"/>
              <w:rPr>
                <w:rFonts w:hint="eastAsia"/>
                <w:lang w:val="en-US" w:eastAsia="zh-CN"/>
              </w:rPr>
            </w:pPr>
          </w:p>
        </w:tc>
        <w:tc>
          <w:tcPr>
            <w:tcW w:w="6457" w:type="dxa"/>
            <w:noWrap w:val="0"/>
            <w:vAlign w:val="top"/>
          </w:tcPr>
          <w:p>
            <w:pPr>
              <w:widowControl w:val="0"/>
              <w:jc w:val="both"/>
            </w:pPr>
            <w:r>
              <w:rPr>
                <w:rFonts w:hint="eastAsia"/>
                <w:lang w:val="en-US" w:eastAsia="zh-CN"/>
              </w:rPr>
              <w:t>T</w:t>
            </w:r>
            <w:r>
              <w:t>he blocking signal is typically 33dB above the reference sensitivity level.</w:t>
            </w:r>
          </w:p>
          <w:p>
            <w:pPr>
              <w:widowControl w:val="0"/>
              <w:jc w:val="both"/>
              <w:rPr>
                <w:rFonts w:hint="default" w:eastAsiaTheme="minorEastAsia"/>
                <w:lang w:val="en-US" w:eastAsia="zh-CN"/>
              </w:rPr>
            </w:pPr>
            <w:r>
              <w:rPr>
                <w:rFonts w:hint="eastAsia"/>
                <w:lang w:val="en-US" w:eastAsia="zh-CN"/>
              </w:rPr>
              <w:t>In the past, based on t</w:t>
            </w:r>
            <w:r>
              <w:t>he probability of the blocking signal level and also the probability of simultaneous low wanted signal and high blocking signal</w:t>
            </w:r>
            <w:r>
              <w:rPr>
                <w:rFonts w:hint="eastAsia"/>
                <w:lang w:val="en-US" w:eastAsia="zh-CN"/>
              </w:rPr>
              <w:t>,  it was observed that blocking signal is typically 33dB above the reference sensitivity, then we think that it could also been applied for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39" w:name="_Toc45893710"/>
            <w:bookmarkStart w:id="40" w:name="_Toc29811930"/>
            <w:bookmarkStart w:id="41" w:name="_Toc21127721"/>
            <w:bookmarkStart w:id="42" w:name="_Toc37260404"/>
            <w:bookmarkStart w:id="43" w:name="_Toc36817482"/>
            <w:bookmarkStart w:id="44" w:name="_Toc37267792"/>
            <w:bookmarkStart w:id="45" w:name="_Toc44712398"/>
            <w:r>
              <w:t>10.6</w:t>
            </w:r>
            <w:r>
              <w:rPr>
                <w:rFonts w:hint="eastAsia"/>
                <w:lang w:val="en-US" w:eastAsia="zh-CN"/>
              </w:rPr>
              <w:t xml:space="preserve">. </w:t>
            </w:r>
            <w:r>
              <w:t>OTA out-of-band blocking</w:t>
            </w:r>
            <w:bookmarkEnd w:id="39"/>
            <w:bookmarkEnd w:id="40"/>
            <w:bookmarkEnd w:id="41"/>
            <w:bookmarkEnd w:id="42"/>
            <w:bookmarkEnd w:id="43"/>
            <w:bookmarkEnd w:id="44"/>
            <w:bookmarkEnd w:id="45"/>
          </w:p>
          <w:p>
            <w:pPr>
              <w:widowControl w:val="0"/>
              <w:jc w:val="both"/>
              <w:rPr>
                <w:rFonts w:hint="eastAsia"/>
                <w:lang w:val="en-US" w:eastAsia="zh-CN"/>
              </w:rPr>
            </w:pPr>
          </w:p>
        </w:tc>
        <w:tc>
          <w:tcPr>
            <w:tcW w:w="6457" w:type="dxa"/>
            <w:noWrap w:val="0"/>
            <w:vAlign w:val="top"/>
          </w:tcPr>
          <w:p>
            <w:pPr>
              <w:widowControl w:val="0"/>
              <w:jc w:val="both"/>
              <w:rPr>
                <w:rFonts w:hint="eastAsia"/>
                <w:lang w:val="en-US" w:eastAsia="zh-CN"/>
              </w:rPr>
            </w:pPr>
            <w:r>
              <w:rPr>
                <w:rFonts w:hint="eastAsia"/>
                <w:lang w:val="en-US" w:eastAsia="zh-CN"/>
              </w:rPr>
              <w:t xml:space="preserve">For Foobb requirements, this is tightly related with band definition for 60GHz and front-end filter implementation.Therefore we propose to postpone this discussion. </w:t>
            </w:r>
          </w:p>
          <w:p>
            <w:pPr>
              <w:widowControl w:val="0"/>
              <w:jc w:val="both"/>
              <w:rPr>
                <w:rFonts w:hint="default" w:eastAsiaTheme="minorEastAsia"/>
                <w:lang w:val="en-US" w:eastAsia="zh-CN"/>
              </w:rPr>
            </w:pPr>
            <w:r>
              <w:rPr>
                <w:rFonts w:hint="eastAsia"/>
                <w:lang w:val="en-US" w:eastAsia="zh-CN"/>
              </w:rPr>
              <w:t>In addition, i</w:t>
            </w:r>
            <w:r>
              <w:t xml:space="preserve">nterfering signals provided at the RIB </w:t>
            </w:r>
            <w:r>
              <w:rPr>
                <w:rFonts w:hint="eastAsia"/>
                <w:lang w:val="en-US" w:eastAsia="zh-CN"/>
              </w:rPr>
              <w:t>for 60GHz could reuse the values for existing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46" w:name="_Toc44712405"/>
            <w:bookmarkStart w:id="47" w:name="_Toc29811937"/>
            <w:bookmarkStart w:id="48" w:name="_Toc21127728"/>
            <w:bookmarkStart w:id="49" w:name="_Toc45893717"/>
            <w:bookmarkStart w:id="50" w:name="_Toc37260411"/>
            <w:bookmarkStart w:id="51" w:name="_Toc36817489"/>
            <w:bookmarkStart w:id="52" w:name="_Toc37267799"/>
            <w:r>
              <w:t>10.7</w:t>
            </w:r>
            <w:r>
              <w:rPr>
                <w:rFonts w:hint="eastAsia"/>
                <w:lang w:val="en-US" w:eastAsia="zh-CN"/>
              </w:rPr>
              <w:t>.</w:t>
            </w:r>
            <w:r>
              <w:t>OTA</w:t>
            </w:r>
            <w:r>
              <w:rPr>
                <w:rFonts w:hint="eastAsia"/>
                <w:lang w:val="en-US" w:eastAsia="zh-CN"/>
              </w:rPr>
              <w:t>.</w:t>
            </w:r>
            <w:r>
              <w:t>receiver</w:t>
            </w:r>
            <w:r>
              <w:rPr>
                <w:rFonts w:hint="eastAsia"/>
                <w:lang w:val="en-US" w:eastAsia="zh-CN"/>
              </w:rPr>
              <w:t xml:space="preserve"> </w:t>
            </w:r>
            <w:r>
              <w:t>spurious emissions</w:t>
            </w:r>
            <w:bookmarkEnd w:id="46"/>
            <w:bookmarkEnd w:id="47"/>
            <w:bookmarkEnd w:id="48"/>
            <w:bookmarkEnd w:id="49"/>
            <w:bookmarkEnd w:id="50"/>
            <w:bookmarkEnd w:id="51"/>
            <w:bookmarkEnd w:id="52"/>
          </w:p>
          <w:p>
            <w:pPr>
              <w:widowControl w:val="0"/>
              <w:jc w:val="both"/>
              <w:rPr>
                <w:rFonts w:hint="eastAsia"/>
                <w:lang w:val="en-US" w:eastAsia="zh-CN"/>
              </w:rPr>
            </w:pPr>
          </w:p>
        </w:tc>
        <w:tc>
          <w:tcPr>
            <w:tcW w:w="6457" w:type="dxa"/>
            <w:noWrap w:val="0"/>
            <w:vAlign w:val="top"/>
          </w:tcPr>
          <w:p>
            <w:pPr>
              <w:widowControl w:val="0"/>
              <w:jc w:val="both"/>
              <w:rPr>
                <w:rFonts w:hint="eastAsia"/>
                <w:lang w:val="en-US" w:eastAsia="zh-CN"/>
              </w:rPr>
            </w:pPr>
            <w:r>
              <w:rPr>
                <w:rFonts w:hint="eastAsia"/>
                <w:lang w:val="en-US" w:eastAsia="zh-CN"/>
              </w:rPr>
              <w:t>Similar as Tx Cat BS spurious emission requirement, since this is band related requirement which needs clear band definition and some band specific filter evaluation, therefore we propose to postpone the discussion until there is clear band definition agreed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53" w:name="_Toc45893721"/>
            <w:bookmarkStart w:id="54" w:name="_Toc29811941"/>
            <w:bookmarkStart w:id="55" w:name="_Toc21127732"/>
            <w:bookmarkStart w:id="56" w:name="_Toc36817493"/>
            <w:bookmarkStart w:id="57" w:name="_Toc37260415"/>
            <w:bookmarkStart w:id="58" w:name="_Toc44712409"/>
            <w:bookmarkStart w:id="59" w:name="_Toc37267803"/>
            <w:r>
              <w:t>10.8</w:t>
            </w:r>
            <w:r>
              <w:rPr>
                <w:rFonts w:hint="eastAsia"/>
                <w:lang w:val="en-US" w:eastAsia="zh-CN"/>
              </w:rPr>
              <w:t>.</w:t>
            </w:r>
            <w:r>
              <w:t>OTA receiver intermodulation</w:t>
            </w:r>
            <w:bookmarkEnd w:id="53"/>
            <w:bookmarkEnd w:id="54"/>
            <w:bookmarkEnd w:id="55"/>
            <w:bookmarkEnd w:id="56"/>
            <w:bookmarkEnd w:id="57"/>
            <w:bookmarkEnd w:id="58"/>
            <w:bookmarkEnd w:id="59"/>
          </w:p>
          <w:p>
            <w:pPr>
              <w:widowControl w:val="0"/>
              <w:jc w:val="both"/>
              <w:rPr>
                <w:rFonts w:hint="eastAsia"/>
                <w:lang w:val="en-US" w:eastAsia="zh-CN"/>
              </w:rPr>
            </w:pPr>
          </w:p>
        </w:tc>
        <w:tc>
          <w:tcPr>
            <w:tcW w:w="6457" w:type="dxa"/>
            <w:noWrap w:val="0"/>
            <w:vAlign w:val="top"/>
          </w:tcPr>
          <w:p>
            <w:pPr>
              <w:widowControl w:val="0"/>
              <w:jc w:val="both"/>
              <w:rPr>
                <w:rFonts w:hint="default"/>
                <w:lang w:val="en-US" w:eastAsia="zh-CN"/>
              </w:rPr>
            </w:pPr>
            <w:r>
              <w:rPr>
                <w:rFonts w:hint="eastAsia"/>
                <w:lang w:val="en-US" w:eastAsia="zh-CN"/>
              </w:rPr>
              <w:t xml:space="preserve">Since it was observed that interfering signal of RX IM requirement should be similar as that of ACS requirements, therefore the similar approach could be done for 60GHz, the interfering signal frequency offset, this should reply on the minimum channel bandwidth supported in 60GHz.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pPr>
            <w:bookmarkStart w:id="60" w:name="_Toc36817497"/>
            <w:bookmarkStart w:id="61" w:name="_Toc21127736"/>
            <w:bookmarkStart w:id="62" w:name="_Toc44712413"/>
            <w:bookmarkStart w:id="63" w:name="_Toc45893725"/>
            <w:bookmarkStart w:id="64" w:name="_Toc37260419"/>
            <w:bookmarkStart w:id="65" w:name="_Toc29811945"/>
            <w:bookmarkStart w:id="66" w:name="_Toc37267807"/>
            <w:r>
              <w:t>10.9</w:t>
            </w:r>
            <w:r>
              <w:rPr>
                <w:rFonts w:hint="eastAsia"/>
                <w:lang w:val="en-US" w:eastAsia="zh-CN"/>
              </w:rPr>
              <w:t xml:space="preserve">. </w:t>
            </w:r>
            <w:r>
              <w:t>OTA in-channel selectivity</w:t>
            </w:r>
            <w:bookmarkEnd w:id="60"/>
            <w:bookmarkEnd w:id="61"/>
            <w:bookmarkEnd w:id="62"/>
            <w:bookmarkEnd w:id="63"/>
            <w:bookmarkEnd w:id="64"/>
            <w:bookmarkEnd w:id="65"/>
            <w:bookmarkEnd w:id="66"/>
          </w:p>
          <w:p>
            <w:pPr>
              <w:widowControl w:val="0"/>
              <w:jc w:val="both"/>
              <w:rPr>
                <w:rFonts w:hint="eastAsia"/>
                <w:lang w:val="en-US" w:eastAsia="zh-CN"/>
              </w:rPr>
            </w:pPr>
          </w:p>
        </w:tc>
        <w:tc>
          <w:tcPr>
            <w:tcW w:w="6457" w:type="dxa"/>
            <w:noWrap w:val="0"/>
            <w:vAlign w:val="top"/>
          </w:tcPr>
          <w:p>
            <w:pPr>
              <w:widowControl w:val="0"/>
              <w:jc w:val="both"/>
              <w:rPr>
                <w:rFonts w:hint="eastAsia"/>
                <w:lang w:val="en-US" w:eastAsia="zh-CN"/>
              </w:rPr>
            </w:pPr>
            <w:r>
              <w:rPr>
                <w:rFonts w:hint="eastAsia"/>
                <w:lang w:val="en-US" w:eastAsia="zh-CN"/>
              </w:rPr>
              <w:t>Similar as what has been discussed in Rel-15 phase for FR2 NR, ICS 15dB should be still applicable for 60GHz for all BS types.</w:t>
            </w:r>
          </w:p>
          <w:p>
            <w:pPr>
              <w:widowControl w:val="0"/>
              <w:jc w:val="both"/>
              <w:rPr>
                <w:rFonts w:hint="default"/>
                <w:lang w:val="en-US" w:eastAsia="zh-CN"/>
              </w:rPr>
            </w:pPr>
            <w:r>
              <w:rPr>
                <w:rFonts w:hint="eastAsia"/>
                <w:lang w:val="en-US" w:eastAsia="zh-CN"/>
              </w:rPr>
              <w:t>In addition, regarding the FRC for different BWs, this should be postponed until the full set of the supported channel bandwidth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widowControl w:val="0"/>
              <w:jc w:val="both"/>
              <w:rPr>
                <w:rFonts w:hint="eastAsia"/>
                <w:lang w:val="en-US" w:eastAsia="zh-CN"/>
              </w:rPr>
            </w:pPr>
            <w:r>
              <w:rPr>
                <w:rFonts w:hint="eastAsia"/>
                <w:b/>
                <w:bCs/>
                <w:lang w:val="en-US" w:eastAsia="zh-CN"/>
              </w:rPr>
              <w:t xml:space="preserve">Annex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widowControl w:val="0"/>
              <w:jc w:val="both"/>
              <w:rPr>
                <w:rFonts w:hint="eastAsia"/>
                <w:lang w:val="en-US" w:eastAsia="zh-CN"/>
              </w:rPr>
            </w:pPr>
            <w:r>
              <w:rPr>
                <w:rFonts w:hint="eastAsia"/>
                <w:lang w:val="en-US" w:eastAsia="zh-CN"/>
              </w:rPr>
              <w:t>Annex A:</w:t>
            </w:r>
          </w:p>
          <w:p>
            <w:pPr>
              <w:widowControl w:val="0"/>
              <w:jc w:val="both"/>
              <w:rPr>
                <w:rFonts w:hint="default"/>
                <w:lang w:val="en-US" w:eastAsia="zh-CN"/>
              </w:rPr>
            </w:pPr>
            <w:r>
              <w:rPr>
                <w:rFonts w:hint="eastAsia"/>
                <w:lang w:val="en-US" w:eastAsia="zh-CN"/>
              </w:rPr>
              <w:t>FRC related configurations</w:t>
            </w:r>
          </w:p>
          <w:p>
            <w:pPr>
              <w:widowControl w:val="0"/>
              <w:jc w:val="both"/>
              <w:rPr>
                <w:rFonts w:hint="eastAsia"/>
                <w:lang w:val="en-US" w:eastAsia="zh-CN"/>
              </w:rPr>
            </w:pPr>
          </w:p>
          <w:p>
            <w:pPr>
              <w:widowControl w:val="0"/>
              <w:jc w:val="both"/>
              <w:rPr>
                <w:rFonts w:hint="default"/>
                <w:lang w:val="en-US" w:eastAsia="zh-CN"/>
              </w:rPr>
            </w:pPr>
            <w:r>
              <w:rPr>
                <w:rFonts w:hint="eastAsia"/>
                <w:lang w:val="en-US" w:eastAsia="zh-CN"/>
              </w:rPr>
              <w:t>FRC related</w:t>
            </w:r>
          </w:p>
        </w:tc>
        <w:tc>
          <w:tcPr>
            <w:tcW w:w="6457" w:type="dxa"/>
            <w:noWrap w:val="0"/>
            <w:vAlign w:val="top"/>
          </w:tcPr>
          <w:p>
            <w:pPr>
              <w:widowControl w:val="0"/>
              <w:jc w:val="both"/>
              <w:rPr>
                <w:rFonts w:hint="default"/>
                <w:lang w:val="en-US" w:eastAsia="zh-CN"/>
              </w:rPr>
            </w:pPr>
            <w:r>
              <w:rPr>
                <w:rFonts w:hint="eastAsia"/>
                <w:lang w:val="en-US" w:eastAsia="zh-CN"/>
              </w:rPr>
              <w:t>As mentioned a lot in previous, FRC is tightly related with channel bandwidth definition, sometimes especially for the minimum the supported channel bandwidth and how to apply for other larger channel bandwidth.</w:t>
            </w:r>
          </w:p>
        </w:tc>
      </w:tr>
    </w:tbl>
    <w:p>
      <w:pPr>
        <w:rPr>
          <w:rFonts w:hint="default" w:ascii="Times New Roman" w:hAnsi="Times New Roman" w:cs="Times New Roman"/>
          <w:sz w:val="20"/>
          <w:szCs w:val="20"/>
          <w:lang w:val="en-US" w:eastAsia="zh-CN"/>
        </w:rPr>
      </w:pPr>
    </w:p>
    <w:p>
      <w:pPr>
        <w:pStyle w:val="29"/>
        <w:ind w:left="357" w:hanging="357"/>
      </w:pPr>
      <w:r>
        <w:rPr>
          <w:rFonts w:hint="eastAsia"/>
          <w:lang w:val="en-US" w:eastAsia="zh-CN"/>
        </w:rPr>
        <w:t>Conclusion</w:t>
      </w:r>
    </w:p>
    <w:p>
      <w:pPr>
        <w:widowControl w:val="0"/>
        <w:jc w:val="both"/>
        <w:rPr>
          <w:rFonts w:hint="default"/>
          <w:lang w:val="en-US" w:eastAsia="zh-CN"/>
        </w:rPr>
      </w:pPr>
      <w:r>
        <w:rPr>
          <w:rFonts w:hint="eastAsia"/>
          <w:lang w:val="en-US" w:eastAsia="zh-CN"/>
        </w:rPr>
        <w:t>In this contribution, we want to share general overview how to define the BS Rx requirements for 60GHz.</w:t>
      </w:r>
    </w:p>
    <w:p>
      <w:pPr>
        <w:pStyle w:val="29"/>
        <w:ind w:left="357" w:hanging="357"/>
      </w:pPr>
      <w:r>
        <w:rPr>
          <w:rFonts w:hint="eastAsia"/>
          <w:lang w:val="en-US" w:eastAsia="zh-CN"/>
        </w:rPr>
        <w:t>Reference</w:t>
      </w:r>
    </w:p>
    <w:p>
      <w:pPr>
        <w:numPr>
          <w:ilvl w:val="0"/>
          <w:numId w:val="4"/>
        </w:num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38.808.</w:t>
      </w:r>
    </w:p>
    <w:p>
      <w:pPr>
        <w:numPr>
          <w:ilvl w:val="0"/>
          <w:numId w:val="4"/>
        </w:numP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RP-21086, revised WID for 52.6-71GHz, CMCC, approved.</w:t>
      </w:r>
    </w:p>
    <w:p>
      <w:pPr>
        <w:pStyle w:val="9"/>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AA1A1B"/>
    <w:multiLevelType w:val="singleLevel"/>
    <w:tmpl w:val="97AA1A1B"/>
    <w:lvl w:ilvl="0" w:tentative="0">
      <w:start w:val="1"/>
      <w:numFmt w:val="decimal"/>
      <w:suff w:val="space"/>
      <w:lvlText w:val="%1)"/>
      <w:lvlJc w:val="left"/>
    </w:lvl>
  </w:abstractNum>
  <w:abstractNum w:abstractNumId="1">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5F83DE84"/>
    <w:multiLevelType w:val="singleLevel"/>
    <w:tmpl w:val="5F83DE84"/>
    <w:lvl w:ilvl="0" w:tentative="0">
      <w:start w:val="1"/>
      <w:numFmt w:val="decimal"/>
      <w:suff w:val="space"/>
      <w:lvlText w:val="[%1]"/>
      <w:lvlJc w:val="left"/>
    </w:lvl>
  </w:abstractNum>
  <w:abstractNum w:abstractNumId="3">
    <w:nsid w:val="665C217B"/>
    <w:multiLevelType w:val="multilevel"/>
    <w:tmpl w:val="665C217B"/>
    <w:lvl w:ilvl="0" w:tentative="0">
      <w:start w:val="1"/>
      <w:numFmt w:val="decimal"/>
      <w:pStyle w:val="29"/>
      <w:lvlText w:val="%1"/>
      <w:lvlJc w:val="left"/>
      <w:pPr>
        <w:ind w:left="5322" w:hanging="360"/>
      </w:pPr>
      <w:rPr>
        <w:rFonts w:hint="default"/>
      </w:rPr>
    </w:lvl>
    <w:lvl w:ilvl="1" w:tentative="0">
      <w:start w:val="1"/>
      <w:numFmt w:val="decimal"/>
      <w:pStyle w:val="28"/>
      <w:lvlText w:val="%1.%2"/>
      <w:lvlJc w:val="left"/>
      <w:pPr>
        <w:ind w:left="792" w:hanging="432"/>
      </w:pPr>
      <w:rPr>
        <w:rFonts w:hint="default"/>
        <w:lang w:val="en-US"/>
      </w:rPr>
    </w:lvl>
    <w:lvl w:ilvl="2" w:tentative="0">
      <w:start w:val="1"/>
      <w:numFmt w:val="decimal"/>
      <w:pStyle w:val="31"/>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0F73"/>
    <w:rsid w:val="000C2305"/>
    <w:rsid w:val="00122AA1"/>
    <w:rsid w:val="001342E1"/>
    <w:rsid w:val="00175954"/>
    <w:rsid w:val="001A1AB5"/>
    <w:rsid w:val="001D32A0"/>
    <w:rsid w:val="00250E71"/>
    <w:rsid w:val="00287C3E"/>
    <w:rsid w:val="002C1256"/>
    <w:rsid w:val="002E3CF4"/>
    <w:rsid w:val="002F169D"/>
    <w:rsid w:val="00327E6C"/>
    <w:rsid w:val="00346A07"/>
    <w:rsid w:val="00383D11"/>
    <w:rsid w:val="003B04FB"/>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E00F6"/>
    <w:rsid w:val="00AE698B"/>
    <w:rsid w:val="00AF57B8"/>
    <w:rsid w:val="00B6166E"/>
    <w:rsid w:val="00B712F1"/>
    <w:rsid w:val="00BE6601"/>
    <w:rsid w:val="00CA5C5D"/>
    <w:rsid w:val="00CC3291"/>
    <w:rsid w:val="00CD7649"/>
    <w:rsid w:val="00CE0568"/>
    <w:rsid w:val="00D16C2B"/>
    <w:rsid w:val="00DC0577"/>
    <w:rsid w:val="00DE384E"/>
    <w:rsid w:val="00E704F3"/>
    <w:rsid w:val="00EF45A5"/>
    <w:rsid w:val="00F54A4B"/>
    <w:rsid w:val="00F8093B"/>
    <w:rsid w:val="00FD0B27"/>
    <w:rsid w:val="011F2F24"/>
    <w:rsid w:val="0141562E"/>
    <w:rsid w:val="01682FF2"/>
    <w:rsid w:val="01A65967"/>
    <w:rsid w:val="01C04368"/>
    <w:rsid w:val="01C60D99"/>
    <w:rsid w:val="01EC722D"/>
    <w:rsid w:val="021B10D4"/>
    <w:rsid w:val="021F3ED0"/>
    <w:rsid w:val="022B19F1"/>
    <w:rsid w:val="02412FA9"/>
    <w:rsid w:val="0250155B"/>
    <w:rsid w:val="02591441"/>
    <w:rsid w:val="028A04A8"/>
    <w:rsid w:val="02B54368"/>
    <w:rsid w:val="02D115CF"/>
    <w:rsid w:val="02D53AE2"/>
    <w:rsid w:val="02E4064C"/>
    <w:rsid w:val="030D508A"/>
    <w:rsid w:val="03274C7D"/>
    <w:rsid w:val="03425F26"/>
    <w:rsid w:val="03994B2A"/>
    <w:rsid w:val="03A53295"/>
    <w:rsid w:val="03A54D9E"/>
    <w:rsid w:val="03B325A1"/>
    <w:rsid w:val="03BF3B89"/>
    <w:rsid w:val="03D97D89"/>
    <w:rsid w:val="03FB6F19"/>
    <w:rsid w:val="040666FF"/>
    <w:rsid w:val="045E05B4"/>
    <w:rsid w:val="0494734C"/>
    <w:rsid w:val="04B61819"/>
    <w:rsid w:val="04F82E8F"/>
    <w:rsid w:val="04F85A7A"/>
    <w:rsid w:val="05146C45"/>
    <w:rsid w:val="051830A0"/>
    <w:rsid w:val="056878B2"/>
    <w:rsid w:val="05735344"/>
    <w:rsid w:val="058F1907"/>
    <w:rsid w:val="05AA743D"/>
    <w:rsid w:val="05C84DFD"/>
    <w:rsid w:val="05CF5FA2"/>
    <w:rsid w:val="05D607C3"/>
    <w:rsid w:val="060F3FFF"/>
    <w:rsid w:val="0610298E"/>
    <w:rsid w:val="06114D26"/>
    <w:rsid w:val="062B5503"/>
    <w:rsid w:val="06423291"/>
    <w:rsid w:val="0675264F"/>
    <w:rsid w:val="06A378CE"/>
    <w:rsid w:val="06E14A97"/>
    <w:rsid w:val="072B542B"/>
    <w:rsid w:val="0747465C"/>
    <w:rsid w:val="077B55C9"/>
    <w:rsid w:val="07802D7E"/>
    <w:rsid w:val="07AE5383"/>
    <w:rsid w:val="07C84095"/>
    <w:rsid w:val="07EE4F66"/>
    <w:rsid w:val="07F05D66"/>
    <w:rsid w:val="08164C71"/>
    <w:rsid w:val="083F6D06"/>
    <w:rsid w:val="08720720"/>
    <w:rsid w:val="08AF2F1A"/>
    <w:rsid w:val="08BB4ACF"/>
    <w:rsid w:val="08BE52F7"/>
    <w:rsid w:val="08EF47B0"/>
    <w:rsid w:val="08FD3C6C"/>
    <w:rsid w:val="08FE47BF"/>
    <w:rsid w:val="091631F9"/>
    <w:rsid w:val="093B63C7"/>
    <w:rsid w:val="094C2A62"/>
    <w:rsid w:val="09633366"/>
    <w:rsid w:val="09682172"/>
    <w:rsid w:val="096A56B8"/>
    <w:rsid w:val="099F6F22"/>
    <w:rsid w:val="09BB1A76"/>
    <w:rsid w:val="09FA7723"/>
    <w:rsid w:val="0A154DBC"/>
    <w:rsid w:val="0AC36AEE"/>
    <w:rsid w:val="0AE9496A"/>
    <w:rsid w:val="0B0D502B"/>
    <w:rsid w:val="0B3F7230"/>
    <w:rsid w:val="0B911F0C"/>
    <w:rsid w:val="0BBD1AF8"/>
    <w:rsid w:val="0BBD4015"/>
    <w:rsid w:val="0BC059C7"/>
    <w:rsid w:val="0BF312F3"/>
    <w:rsid w:val="0BFD0A30"/>
    <w:rsid w:val="0C1833C0"/>
    <w:rsid w:val="0C4A570C"/>
    <w:rsid w:val="0C9C67DD"/>
    <w:rsid w:val="0CC857CA"/>
    <w:rsid w:val="0CCA6F97"/>
    <w:rsid w:val="0CD95D4C"/>
    <w:rsid w:val="0CF02DB5"/>
    <w:rsid w:val="0D0103DD"/>
    <w:rsid w:val="0D2A6188"/>
    <w:rsid w:val="0D4B3E85"/>
    <w:rsid w:val="0D584E99"/>
    <w:rsid w:val="0D63739B"/>
    <w:rsid w:val="0D8B370A"/>
    <w:rsid w:val="0D902394"/>
    <w:rsid w:val="0DB2287A"/>
    <w:rsid w:val="0DED4F86"/>
    <w:rsid w:val="0DEF6A27"/>
    <w:rsid w:val="0E147F5D"/>
    <w:rsid w:val="0E5B090F"/>
    <w:rsid w:val="0E626A1D"/>
    <w:rsid w:val="0E6A0088"/>
    <w:rsid w:val="0E880463"/>
    <w:rsid w:val="0E987E68"/>
    <w:rsid w:val="0ECA612E"/>
    <w:rsid w:val="0EE503A4"/>
    <w:rsid w:val="0F00462F"/>
    <w:rsid w:val="0F0E2B5E"/>
    <w:rsid w:val="0F392D1A"/>
    <w:rsid w:val="0F4A40B0"/>
    <w:rsid w:val="0F95455A"/>
    <w:rsid w:val="0F964F69"/>
    <w:rsid w:val="0F9B7E21"/>
    <w:rsid w:val="0FA74CB9"/>
    <w:rsid w:val="0FA76D4B"/>
    <w:rsid w:val="0FE922A7"/>
    <w:rsid w:val="0FED1C74"/>
    <w:rsid w:val="0FF42434"/>
    <w:rsid w:val="10076FFF"/>
    <w:rsid w:val="10255A67"/>
    <w:rsid w:val="10261BC8"/>
    <w:rsid w:val="107745CB"/>
    <w:rsid w:val="10933017"/>
    <w:rsid w:val="10AF7122"/>
    <w:rsid w:val="10B1451D"/>
    <w:rsid w:val="10D303E7"/>
    <w:rsid w:val="10D56BFF"/>
    <w:rsid w:val="10E33EAF"/>
    <w:rsid w:val="10ED53A3"/>
    <w:rsid w:val="10F15B46"/>
    <w:rsid w:val="11056777"/>
    <w:rsid w:val="111C56A5"/>
    <w:rsid w:val="114429B1"/>
    <w:rsid w:val="114C0962"/>
    <w:rsid w:val="11571A01"/>
    <w:rsid w:val="116E5C05"/>
    <w:rsid w:val="119975E6"/>
    <w:rsid w:val="11B555E3"/>
    <w:rsid w:val="12413694"/>
    <w:rsid w:val="125B73DA"/>
    <w:rsid w:val="127D4D14"/>
    <w:rsid w:val="12C81F83"/>
    <w:rsid w:val="12E56687"/>
    <w:rsid w:val="12EF1D14"/>
    <w:rsid w:val="134A50F6"/>
    <w:rsid w:val="1355293B"/>
    <w:rsid w:val="13660016"/>
    <w:rsid w:val="14A23E40"/>
    <w:rsid w:val="14AB02BD"/>
    <w:rsid w:val="14DB6530"/>
    <w:rsid w:val="14DD571E"/>
    <w:rsid w:val="14EC230C"/>
    <w:rsid w:val="14FC3D3F"/>
    <w:rsid w:val="15502B44"/>
    <w:rsid w:val="15571F7F"/>
    <w:rsid w:val="15D62E11"/>
    <w:rsid w:val="16B67E2E"/>
    <w:rsid w:val="16C30031"/>
    <w:rsid w:val="16D373E2"/>
    <w:rsid w:val="16D51E73"/>
    <w:rsid w:val="17322AA6"/>
    <w:rsid w:val="17480112"/>
    <w:rsid w:val="174E56B4"/>
    <w:rsid w:val="17751D02"/>
    <w:rsid w:val="177E07C7"/>
    <w:rsid w:val="177F788F"/>
    <w:rsid w:val="17A34E6E"/>
    <w:rsid w:val="17E92B05"/>
    <w:rsid w:val="17FE46F6"/>
    <w:rsid w:val="17FE4A8D"/>
    <w:rsid w:val="180B674F"/>
    <w:rsid w:val="1821505A"/>
    <w:rsid w:val="1835144B"/>
    <w:rsid w:val="184274EC"/>
    <w:rsid w:val="18513FAD"/>
    <w:rsid w:val="1860483D"/>
    <w:rsid w:val="18A2447E"/>
    <w:rsid w:val="18D8528B"/>
    <w:rsid w:val="18E21ABA"/>
    <w:rsid w:val="190004B4"/>
    <w:rsid w:val="1918542A"/>
    <w:rsid w:val="192A7A76"/>
    <w:rsid w:val="193B0232"/>
    <w:rsid w:val="197710DE"/>
    <w:rsid w:val="1993236D"/>
    <w:rsid w:val="19973FAC"/>
    <w:rsid w:val="19C36CEF"/>
    <w:rsid w:val="19DB5CB9"/>
    <w:rsid w:val="19E31671"/>
    <w:rsid w:val="19E54FE8"/>
    <w:rsid w:val="1A0418D8"/>
    <w:rsid w:val="1A061013"/>
    <w:rsid w:val="1A17421A"/>
    <w:rsid w:val="1A17627A"/>
    <w:rsid w:val="1A1F50AD"/>
    <w:rsid w:val="1A2A3ED6"/>
    <w:rsid w:val="1A2B37F9"/>
    <w:rsid w:val="1A4F6F68"/>
    <w:rsid w:val="1A6D0F36"/>
    <w:rsid w:val="1AD45518"/>
    <w:rsid w:val="1AE466E6"/>
    <w:rsid w:val="1B074673"/>
    <w:rsid w:val="1B167875"/>
    <w:rsid w:val="1B284D48"/>
    <w:rsid w:val="1B7539A1"/>
    <w:rsid w:val="1B8B39A2"/>
    <w:rsid w:val="1BE60B0A"/>
    <w:rsid w:val="1BFB0894"/>
    <w:rsid w:val="1C185E3B"/>
    <w:rsid w:val="1C345DA5"/>
    <w:rsid w:val="1C4231C4"/>
    <w:rsid w:val="1CB311C5"/>
    <w:rsid w:val="1CB40473"/>
    <w:rsid w:val="1CCD7219"/>
    <w:rsid w:val="1CE819CE"/>
    <w:rsid w:val="1D1B717A"/>
    <w:rsid w:val="1D3B40F8"/>
    <w:rsid w:val="1D4110F7"/>
    <w:rsid w:val="1D437361"/>
    <w:rsid w:val="1D494927"/>
    <w:rsid w:val="1D7E7319"/>
    <w:rsid w:val="1D8263AC"/>
    <w:rsid w:val="1DC45CEE"/>
    <w:rsid w:val="1DD6364C"/>
    <w:rsid w:val="1DD678F3"/>
    <w:rsid w:val="1DD973E1"/>
    <w:rsid w:val="1DF51C5D"/>
    <w:rsid w:val="1E282992"/>
    <w:rsid w:val="1E5529DB"/>
    <w:rsid w:val="1E9B1753"/>
    <w:rsid w:val="1EB66AF6"/>
    <w:rsid w:val="1ED56E58"/>
    <w:rsid w:val="1ED75EBD"/>
    <w:rsid w:val="1EDC767F"/>
    <w:rsid w:val="1EEA6814"/>
    <w:rsid w:val="1EF93BE8"/>
    <w:rsid w:val="1EFF3E03"/>
    <w:rsid w:val="1F256179"/>
    <w:rsid w:val="1F313F56"/>
    <w:rsid w:val="1F5F429A"/>
    <w:rsid w:val="1F665C58"/>
    <w:rsid w:val="1FA01395"/>
    <w:rsid w:val="1FBF67E0"/>
    <w:rsid w:val="1FF1028F"/>
    <w:rsid w:val="20000873"/>
    <w:rsid w:val="2007051C"/>
    <w:rsid w:val="200A3A04"/>
    <w:rsid w:val="20117455"/>
    <w:rsid w:val="201B6190"/>
    <w:rsid w:val="201B7DE9"/>
    <w:rsid w:val="204B50CB"/>
    <w:rsid w:val="20525BAE"/>
    <w:rsid w:val="20A13DFB"/>
    <w:rsid w:val="20A30239"/>
    <w:rsid w:val="20AA0CBF"/>
    <w:rsid w:val="20BB3A72"/>
    <w:rsid w:val="20C64214"/>
    <w:rsid w:val="20CB3F2D"/>
    <w:rsid w:val="20D03FFA"/>
    <w:rsid w:val="20EA7105"/>
    <w:rsid w:val="215D5844"/>
    <w:rsid w:val="2187092C"/>
    <w:rsid w:val="21913263"/>
    <w:rsid w:val="21937C97"/>
    <w:rsid w:val="21985A16"/>
    <w:rsid w:val="21E91AA5"/>
    <w:rsid w:val="221648FC"/>
    <w:rsid w:val="22305865"/>
    <w:rsid w:val="227E4F7F"/>
    <w:rsid w:val="22856798"/>
    <w:rsid w:val="22EE2DB4"/>
    <w:rsid w:val="23591F6F"/>
    <w:rsid w:val="236C5A40"/>
    <w:rsid w:val="23703FC0"/>
    <w:rsid w:val="237664F5"/>
    <w:rsid w:val="238E7B53"/>
    <w:rsid w:val="23BB3988"/>
    <w:rsid w:val="23D55FD5"/>
    <w:rsid w:val="23E67EEE"/>
    <w:rsid w:val="23F71FB1"/>
    <w:rsid w:val="24161580"/>
    <w:rsid w:val="24392E18"/>
    <w:rsid w:val="2445449D"/>
    <w:rsid w:val="24517AC2"/>
    <w:rsid w:val="2490229D"/>
    <w:rsid w:val="250462F2"/>
    <w:rsid w:val="25495FB2"/>
    <w:rsid w:val="25585AA0"/>
    <w:rsid w:val="256970C4"/>
    <w:rsid w:val="256B543C"/>
    <w:rsid w:val="257148FD"/>
    <w:rsid w:val="25915232"/>
    <w:rsid w:val="25A754BD"/>
    <w:rsid w:val="25AE091B"/>
    <w:rsid w:val="25B005F8"/>
    <w:rsid w:val="25E80191"/>
    <w:rsid w:val="264A0ADC"/>
    <w:rsid w:val="268ECCE7"/>
    <w:rsid w:val="26932690"/>
    <w:rsid w:val="26B03EB3"/>
    <w:rsid w:val="26C4117D"/>
    <w:rsid w:val="26D22FFA"/>
    <w:rsid w:val="274B7C97"/>
    <w:rsid w:val="27775827"/>
    <w:rsid w:val="277B7F45"/>
    <w:rsid w:val="27865308"/>
    <w:rsid w:val="278D33CB"/>
    <w:rsid w:val="278F48FF"/>
    <w:rsid w:val="27961129"/>
    <w:rsid w:val="279F14E1"/>
    <w:rsid w:val="27A40CA4"/>
    <w:rsid w:val="27A46F3F"/>
    <w:rsid w:val="27B3298E"/>
    <w:rsid w:val="27D04DEC"/>
    <w:rsid w:val="282B7341"/>
    <w:rsid w:val="28600B66"/>
    <w:rsid w:val="28A83FC2"/>
    <w:rsid w:val="28AD4226"/>
    <w:rsid w:val="28DD7362"/>
    <w:rsid w:val="28EA6E4D"/>
    <w:rsid w:val="296F2CC4"/>
    <w:rsid w:val="297437D3"/>
    <w:rsid w:val="297E1138"/>
    <w:rsid w:val="299C7C1D"/>
    <w:rsid w:val="29AD51F1"/>
    <w:rsid w:val="29DE78DA"/>
    <w:rsid w:val="29FF6359"/>
    <w:rsid w:val="2A2D2281"/>
    <w:rsid w:val="2A393165"/>
    <w:rsid w:val="2A3E5CE0"/>
    <w:rsid w:val="2A45488F"/>
    <w:rsid w:val="2A564B1A"/>
    <w:rsid w:val="2A59345D"/>
    <w:rsid w:val="2A8F0811"/>
    <w:rsid w:val="2ACD44BB"/>
    <w:rsid w:val="2AED6AB4"/>
    <w:rsid w:val="2B1A7123"/>
    <w:rsid w:val="2B1B6001"/>
    <w:rsid w:val="2B323216"/>
    <w:rsid w:val="2B393D0E"/>
    <w:rsid w:val="2B5070C3"/>
    <w:rsid w:val="2B5615F8"/>
    <w:rsid w:val="2B960E47"/>
    <w:rsid w:val="2B9724D3"/>
    <w:rsid w:val="2B9D7AAF"/>
    <w:rsid w:val="2BAF1DD8"/>
    <w:rsid w:val="2BD21092"/>
    <w:rsid w:val="2BDB31AD"/>
    <w:rsid w:val="2BDF56D0"/>
    <w:rsid w:val="2C2005BC"/>
    <w:rsid w:val="2C390935"/>
    <w:rsid w:val="2C8F03EE"/>
    <w:rsid w:val="2D1335C8"/>
    <w:rsid w:val="2D174A1C"/>
    <w:rsid w:val="2D487BE4"/>
    <w:rsid w:val="2D4C6728"/>
    <w:rsid w:val="2D9F2933"/>
    <w:rsid w:val="2DA33F06"/>
    <w:rsid w:val="2DAC49D4"/>
    <w:rsid w:val="2DDE6AD5"/>
    <w:rsid w:val="2EBF6A97"/>
    <w:rsid w:val="2EC31981"/>
    <w:rsid w:val="2ECE6823"/>
    <w:rsid w:val="2F3A416F"/>
    <w:rsid w:val="2F736200"/>
    <w:rsid w:val="2FA2384D"/>
    <w:rsid w:val="2FAA7D33"/>
    <w:rsid w:val="2FB31D1D"/>
    <w:rsid w:val="2FF559D6"/>
    <w:rsid w:val="30182A3E"/>
    <w:rsid w:val="30233897"/>
    <w:rsid w:val="30461A18"/>
    <w:rsid w:val="3080785C"/>
    <w:rsid w:val="30871691"/>
    <w:rsid w:val="30BD1FF5"/>
    <w:rsid w:val="30C411E1"/>
    <w:rsid w:val="3110494E"/>
    <w:rsid w:val="31274871"/>
    <w:rsid w:val="313679C0"/>
    <w:rsid w:val="317B7F9A"/>
    <w:rsid w:val="3180088C"/>
    <w:rsid w:val="318A7926"/>
    <w:rsid w:val="318C2B0A"/>
    <w:rsid w:val="31A51C61"/>
    <w:rsid w:val="31BA642B"/>
    <w:rsid w:val="320A5BC8"/>
    <w:rsid w:val="320A7B34"/>
    <w:rsid w:val="32173476"/>
    <w:rsid w:val="324F6073"/>
    <w:rsid w:val="32537B6B"/>
    <w:rsid w:val="32B36A31"/>
    <w:rsid w:val="32BE5618"/>
    <w:rsid w:val="32C607CE"/>
    <w:rsid w:val="32EA1BE4"/>
    <w:rsid w:val="33041F2F"/>
    <w:rsid w:val="339815F9"/>
    <w:rsid w:val="33D34422"/>
    <w:rsid w:val="33E50A3D"/>
    <w:rsid w:val="33F33CDC"/>
    <w:rsid w:val="34027FC4"/>
    <w:rsid w:val="342B5A5C"/>
    <w:rsid w:val="34331021"/>
    <w:rsid w:val="344E7CDD"/>
    <w:rsid w:val="347964B1"/>
    <w:rsid w:val="347D314A"/>
    <w:rsid w:val="34F45CFB"/>
    <w:rsid w:val="35086530"/>
    <w:rsid w:val="350C09FB"/>
    <w:rsid w:val="351029CA"/>
    <w:rsid w:val="35BD38CC"/>
    <w:rsid w:val="35C40BE4"/>
    <w:rsid w:val="35E05E43"/>
    <w:rsid w:val="35E73E40"/>
    <w:rsid w:val="35FF72CB"/>
    <w:rsid w:val="36165A8A"/>
    <w:rsid w:val="36630B18"/>
    <w:rsid w:val="367F175C"/>
    <w:rsid w:val="36AE42AB"/>
    <w:rsid w:val="36C85182"/>
    <w:rsid w:val="371A3554"/>
    <w:rsid w:val="378A098B"/>
    <w:rsid w:val="37B423B6"/>
    <w:rsid w:val="37D25535"/>
    <w:rsid w:val="37DD3927"/>
    <w:rsid w:val="37E55200"/>
    <w:rsid w:val="38164B67"/>
    <w:rsid w:val="383F7DE8"/>
    <w:rsid w:val="38672597"/>
    <w:rsid w:val="386A039A"/>
    <w:rsid w:val="38903767"/>
    <w:rsid w:val="38980CA7"/>
    <w:rsid w:val="38A21047"/>
    <w:rsid w:val="38B76B06"/>
    <w:rsid w:val="38D06108"/>
    <w:rsid w:val="391F0361"/>
    <w:rsid w:val="393161D9"/>
    <w:rsid w:val="39B21616"/>
    <w:rsid w:val="39B61448"/>
    <w:rsid w:val="39CC51A7"/>
    <w:rsid w:val="39E4371E"/>
    <w:rsid w:val="3A5430B5"/>
    <w:rsid w:val="3A7030A1"/>
    <w:rsid w:val="3A92459C"/>
    <w:rsid w:val="3AA24AAD"/>
    <w:rsid w:val="3AA813B8"/>
    <w:rsid w:val="3ACD3F03"/>
    <w:rsid w:val="3AD938AF"/>
    <w:rsid w:val="3B306F8A"/>
    <w:rsid w:val="3B462AB3"/>
    <w:rsid w:val="3B4E1513"/>
    <w:rsid w:val="3B5D2578"/>
    <w:rsid w:val="3B937517"/>
    <w:rsid w:val="3BB816AE"/>
    <w:rsid w:val="3BBB0DE7"/>
    <w:rsid w:val="3BFF5464"/>
    <w:rsid w:val="3C30194D"/>
    <w:rsid w:val="3C5F0A2D"/>
    <w:rsid w:val="3C816205"/>
    <w:rsid w:val="3C845AD4"/>
    <w:rsid w:val="3CBD18B6"/>
    <w:rsid w:val="3CC166C6"/>
    <w:rsid w:val="3D0B54D4"/>
    <w:rsid w:val="3D2A4F22"/>
    <w:rsid w:val="3D2F437F"/>
    <w:rsid w:val="3D527C3E"/>
    <w:rsid w:val="3D620AEC"/>
    <w:rsid w:val="3D680BD8"/>
    <w:rsid w:val="3D9A0411"/>
    <w:rsid w:val="3DDA1A96"/>
    <w:rsid w:val="3DF142FD"/>
    <w:rsid w:val="3DF23BD4"/>
    <w:rsid w:val="3DFA1AB2"/>
    <w:rsid w:val="3E144DBF"/>
    <w:rsid w:val="3E1B0A76"/>
    <w:rsid w:val="3E6F7681"/>
    <w:rsid w:val="3ED441DB"/>
    <w:rsid w:val="3EE47B99"/>
    <w:rsid w:val="3F265E8A"/>
    <w:rsid w:val="3F492F75"/>
    <w:rsid w:val="3F564971"/>
    <w:rsid w:val="3F67175B"/>
    <w:rsid w:val="3F78392F"/>
    <w:rsid w:val="3FA946A4"/>
    <w:rsid w:val="3FAF085F"/>
    <w:rsid w:val="3FB87B34"/>
    <w:rsid w:val="3FDF5D8B"/>
    <w:rsid w:val="408F7B93"/>
    <w:rsid w:val="40913547"/>
    <w:rsid w:val="40BA7B33"/>
    <w:rsid w:val="40DA3199"/>
    <w:rsid w:val="40FE32E7"/>
    <w:rsid w:val="411D461A"/>
    <w:rsid w:val="4128635B"/>
    <w:rsid w:val="412C7A19"/>
    <w:rsid w:val="414A614F"/>
    <w:rsid w:val="414B6474"/>
    <w:rsid w:val="41547D67"/>
    <w:rsid w:val="41AD493D"/>
    <w:rsid w:val="42130087"/>
    <w:rsid w:val="42DC18AA"/>
    <w:rsid w:val="43071C1E"/>
    <w:rsid w:val="435306D2"/>
    <w:rsid w:val="43681651"/>
    <w:rsid w:val="438C5904"/>
    <w:rsid w:val="43AF4E51"/>
    <w:rsid w:val="43DD2244"/>
    <w:rsid w:val="43F77139"/>
    <w:rsid w:val="44045D5E"/>
    <w:rsid w:val="440B099A"/>
    <w:rsid w:val="443400E4"/>
    <w:rsid w:val="444724C3"/>
    <w:rsid w:val="44734181"/>
    <w:rsid w:val="44786AF5"/>
    <w:rsid w:val="447D6B8A"/>
    <w:rsid w:val="44803623"/>
    <w:rsid w:val="44B938F4"/>
    <w:rsid w:val="44C656E9"/>
    <w:rsid w:val="44FB2D67"/>
    <w:rsid w:val="451A7D67"/>
    <w:rsid w:val="452712C1"/>
    <w:rsid w:val="452A2D40"/>
    <w:rsid w:val="45484D30"/>
    <w:rsid w:val="459C2230"/>
    <w:rsid w:val="45AB60FB"/>
    <w:rsid w:val="460A18EE"/>
    <w:rsid w:val="46460FDE"/>
    <w:rsid w:val="464D141E"/>
    <w:rsid w:val="4689042A"/>
    <w:rsid w:val="46D802E3"/>
    <w:rsid w:val="46E2130E"/>
    <w:rsid w:val="471374BA"/>
    <w:rsid w:val="471C41DA"/>
    <w:rsid w:val="479079D9"/>
    <w:rsid w:val="47A83601"/>
    <w:rsid w:val="47B44CF5"/>
    <w:rsid w:val="481B4F00"/>
    <w:rsid w:val="481F4627"/>
    <w:rsid w:val="482350FB"/>
    <w:rsid w:val="483A7313"/>
    <w:rsid w:val="48466989"/>
    <w:rsid w:val="48515D74"/>
    <w:rsid w:val="485355B6"/>
    <w:rsid w:val="4897721A"/>
    <w:rsid w:val="48AD28AD"/>
    <w:rsid w:val="48BC044B"/>
    <w:rsid w:val="48BF56D2"/>
    <w:rsid w:val="48E906BB"/>
    <w:rsid w:val="48FD4AF0"/>
    <w:rsid w:val="49651CD2"/>
    <w:rsid w:val="497B59F2"/>
    <w:rsid w:val="49A8578B"/>
    <w:rsid w:val="49B1668E"/>
    <w:rsid w:val="49B660D4"/>
    <w:rsid w:val="49CB1B43"/>
    <w:rsid w:val="4A1A0BF4"/>
    <w:rsid w:val="4A5D2FAF"/>
    <w:rsid w:val="4A5F692B"/>
    <w:rsid w:val="4A9A4319"/>
    <w:rsid w:val="4AAA389B"/>
    <w:rsid w:val="4AD760BD"/>
    <w:rsid w:val="4AEB13D7"/>
    <w:rsid w:val="4B01728D"/>
    <w:rsid w:val="4B137ED7"/>
    <w:rsid w:val="4B692724"/>
    <w:rsid w:val="4B7C201B"/>
    <w:rsid w:val="4BCD2476"/>
    <w:rsid w:val="4BD02C2E"/>
    <w:rsid w:val="4C125D9D"/>
    <w:rsid w:val="4C131E4B"/>
    <w:rsid w:val="4C2037ED"/>
    <w:rsid w:val="4C310C45"/>
    <w:rsid w:val="4C543A0A"/>
    <w:rsid w:val="4C8A4722"/>
    <w:rsid w:val="4CCA000C"/>
    <w:rsid w:val="4CCC391E"/>
    <w:rsid w:val="4CD13C7C"/>
    <w:rsid w:val="4CF87B3F"/>
    <w:rsid w:val="4D162412"/>
    <w:rsid w:val="4D4A09B2"/>
    <w:rsid w:val="4D531C88"/>
    <w:rsid w:val="4D796B65"/>
    <w:rsid w:val="4DC62E17"/>
    <w:rsid w:val="4DD63AF4"/>
    <w:rsid w:val="4DDA341C"/>
    <w:rsid w:val="4E054491"/>
    <w:rsid w:val="4E0F12A9"/>
    <w:rsid w:val="4E3126EA"/>
    <w:rsid w:val="4E706BB1"/>
    <w:rsid w:val="4EB23440"/>
    <w:rsid w:val="4ED013F0"/>
    <w:rsid w:val="4EE30DA5"/>
    <w:rsid w:val="4F414E71"/>
    <w:rsid w:val="4F4C25D8"/>
    <w:rsid w:val="4F5C6825"/>
    <w:rsid w:val="4F616E7F"/>
    <w:rsid w:val="4F6676CA"/>
    <w:rsid w:val="4F710E1B"/>
    <w:rsid w:val="4FBA40FA"/>
    <w:rsid w:val="4FC755C5"/>
    <w:rsid w:val="4FF24C8A"/>
    <w:rsid w:val="4FFC1EE4"/>
    <w:rsid w:val="504668E9"/>
    <w:rsid w:val="50AA414D"/>
    <w:rsid w:val="50CA043D"/>
    <w:rsid w:val="50DA6A42"/>
    <w:rsid w:val="50E66D2E"/>
    <w:rsid w:val="50E75C56"/>
    <w:rsid w:val="50FA2E24"/>
    <w:rsid w:val="514F19C5"/>
    <w:rsid w:val="517B0816"/>
    <w:rsid w:val="51947184"/>
    <w:rsid w:val="51CC6774"/>
    <w:rsid w:val="51D02378"/>
    <w:rsid w:val="51F85F6D"/>
    <w:rsid w:val="52033137"/>
    <w:rsid w:val="524D5F42"/>
    <w:rsid w:val="52A92E95"/>
    <w:rsid w:val="52DA590D"/>
    <w:rsid w:val="52ED7B6D"/>
    <w:rsid w:val="52F03850"/>
    <w:rsid w:val="52F46E7E"/>
    <w:rsid w:val="52F64232"/>
    <w:rsid w:val="52FC3C3D"/>
    <w:rsid w:val="5301582B"/>
    <w:rsid w:val="53034EA0"/>
    <w:rsid w:val="53494120"/>
    <w:rsid w:val="53703B13"/>
    <w:rsid w:val="53711E3B"/>
    <w:rsid w:val="53804AC5"/>
    <w:rsid w:val="53E8135C"/>
    <w:rsid w:val="53F60747"/>
    <w:rsid w:val="53FB57B4"/>
    <w:rsid w:val="54344ED7"/>
    <w:rsid w:val="5458031C"/>
    <w:rsid w:val="545D2C1B"/>
    <w:rsid w:val="546965C7"/>
    <w:rsid w:val="54E412D9"/>
    <w:rsid w:val="54E663D0"/>
    <w:rsid w:val="54E875CB"/>
    <w:rsid w:val="54F17915"/>
    <w:rsid w:val="54F61D3B"/>
    <w:rsid w:val="55387929"/>
    <w:rsid w:val="554267CD"/>
    <w:rsid w:val="55460092"/>
    <w:rsid w:val="55611369"/>
    <w:rsid w:val="55657E06"/>
    <w:rsid w:val="558B40AC"/>
    <w:rsid w:val="55A963BC"/>
    <w:rsid w:val="55B03AA7"/>
    <w:rsid w:val="55D07330"/>
    <w:rsid w:val="55F312B2"/>
    <w:rsid w:val="560F143B"/>
    <w:rsid w:val="561E122B"/>
    <w:rsid w:val="56662F36"/>
    <w:rsid w:val="569F2A2D"/>
    <w:rsid w:val="56A85F12"/>
    <w:rsid w:val="56E00739"/>
    <w:rsid w:val="56E02DD9"/>
    <w:rsid w:val="56E256F1"/>
    <w:rsid w:val="56F46D6D"/>
    <w:rsid w:val="57126275"/>
    <w:rsid w:val="573524E8"/>
    <w:rsid w:val="57472A37"/>
    <w:rsid w:val="57584A7C"/>
    <w:rsid w:val="57C57372"/>
    <w:rsid w:val="5804571A"/>
    <w:rsid w:val="582F2A53"/>
    <w:rsid w:val="58403F02"/>
    <w:rsid w:val="585B653E"/>
    <w:rsid w:val="5880180C"/>
    <w:rsid w:val="58C05A08"/>
    <w:rsid w:val="58D917B1"/>
    <w:rsid w:val="5908356E"/>
    <w:rsid w:val="59172B69"/>
    <w:rsid w:val="593541F0"/>
    <w:rsid w:val="594D6661"/>
    <w:rsid w:val="59934DBF"/>
    <w:rsid w:val="59B42ADB"/>
    <w:rsid w:val="59B6604B"/>
    <w:rsid w:val="59DB2176"/>
    <w:rsid w:val="5A1D3F0B"/>
    <w:rsid w:val="5A1E6BB9"/>
    <w:rsid w:val="5A492A5B"/>
    <w:rsid w:val="5A6D46DE"/>
    <w:rsid w:val="5A78011B"/>
    <w:rsid w:val="5AAA1841"/>
    <w:rsid w:val="5ABF4DD0"/>
    <w:rsid w:val="5AC50F62"/>
    <w:rsid w:val="5ADE0DA5"/>
    <w:rsid w:val="5AE5646D"/>
    <w:rsid w:val="5B20492A"/>
    <w:rsid w:val="5B2637FF"/>
    <w:rsid w:val="5B2D1E6A"/>
    <w:rsid w:val="5B366075"/>
    <w:rsid w:val="5B754864"/>
    <w:rsid w:val="5B7F75ED"/>
    <w:rsid w:val="5B9448E0"/>
    <w:rsid w:val="5B9556D7"/>
    <w:rsid w:val="5B9D28A4"/>
    <w:rsid w:val="5BA70F3C"/>
    <w:rsid w:val="5BC43C58"/>
    <w:rsid w:val="5BE908CE"/>
    <w:rsid w:val="5C1F53E5"/>
    <w:rsid w:val="5C474A79"/>
    <w:rsid w:val="5C6E07E0"/>
    <w:rsid w:val="5C8F4E8D"/>
    <w:rsid w:val="5CB36DD9"/>
    <w:rsid w:val="5CC25487"/>
    <w:rsid w:val="5CDF51E8"/>
    <w:rsid w:val="5D463890"/>
    <w:rsid w:val="5E016C77"/>
    <w:rsid w:val="5E313C33"/>
    <w:rsid w:val="5E494026"/>
    <w:rsid w:val="5E5D687A"/>
    <w:rsid w:val="5E7B6B76"/>
    <w:rsid w:val="5E8E3441"/>
    <w:rsid w:val="5EAF4AD5"/>
    <w:rsid w:val="5EC46FCA"/>
    <w:rsid w:val="5EE87324"/>
    <w:rsid w:val="5F002EB9"/>
    <w:rsid w:val="5F4C455C"/>
    <w:rsid w:val="5F6148EC"/>
    <w:rsid w:val="5F701C7F"/>
    <w:rsid w:val="5F9D716C"/>
    <w:rsid w:val="5FEF30F6"/>
    <w:rsid w:val="601F1DC0"/>
    <w:rsid w:val="60220EA8"/>
    <w:rsid w:val="604D731C"/>
    <w:rsid w:val="605E3AD6"/>
    <w:rsid w:val="608C2C8A"/>
    <w:rsid w:val="60CD3DD5"/>
    <w:rsid w:val="60F12BFB"/>
    <w:rsid w:val="61EA3A83"/>
    <w:rsid w:val="61F05DF2"/>
    <w:rsid w:val="62393C12"/>
    <w:rsid w:val="62786599"/>
    <w:rsid w:val="632D7F77"/>
    <w:rsid w:val="635A2B17"/>
    <w:rsid w:val="638F707A"/>
    <w:rsid w:val="63972408"/>
    <w:rsid w:val="63BB754A"/>
    <w:rsid w:val="6483431D"/>
    <w:rsid w:val="649A1991"/>
    <w:rsid w:val="649B4379"/>
    <w:rsid w:val="64E877AE"/>
    <w:rsid w:val="65122B9A"/>
    <w:rsid w:val="65291BA8"/>
    <w:rsid w:val="653A3911"/>
    <w:rsid w:val="658B3245"/>
    <w:rsid w:val="65D344E5"/>
    <w:rsid w:val="65DD0CA9"/>
    <w:rsid w:val="65EA40FA"/>
    <w:rsid w:val="65FC3218"/>
    <w:rsid w:val="66281452"/>
    <w:rsid w:val="66311447"/>
    <w:rsid w:val="66423767"/>
    <w:rsid w:val="6653077C"/>
    <w:rsid w:val="666C539C"/>
    <w:rsid w:val="668521AA"/>
    <w:rsid w:val="66881201"/>
    <w:rsid w:val="66A568EF"/>
    <w:rsid w:val="66BC1EAC"/>
    <w:rsid w:val="66DF673D"/>
    <w:rsid w:val="67081467"/>
    <w:rsid w:val="67287D1E"/>
    <w:rsid w:val="67330108"/>
    <w:rsid w:val="67475D8F"/>
    <w:rsid w:val="67807707"/>
    <w:rsid w:val="67A179BC"/>
    <w:rsid w:val="67CA2030"/>
    <w:rsid w:val="67CB1EAD"/>
    <w:rsid w:val="67F80619"/>
    <w:rsid w:val="68111616"/>
    <w:rsid w:val="682C553A"/>
    <w:rsid w:val="682E099E"/>
    <w:rsid w:val="68492CBE"/>
    <w:rsid w:val="686A1960"/>
    <w:rsid w:val="686B7A12"/>
    <w:rsid w:val="68C26386"/>
    <w:rsid w:val="68C40B7C"/>
    <w:rsid w:val="68EF6867"/>
    <w:rsid w:val="69347017"/>
    <w:rsid w:val="69653951"/>
    <w:rsid w:val="6970533E"/>
    <w:rsid w:val="698B77DD"/>
    <w:rsid w:val="69953CA6"/>
    <w:rsid w:val="69A37AFC"/>
    <w:rsid w:val="69BC11A3"/>
    <w:rsid w:val="69C0760F"/>
    <w:rsid w:val="69C42C82"/>
    <w:rsid w:val="6A140D5C"/>
    <w:rsid w:val="6A1F3F49"/>
    <w:rsid w:val="6A6010E6"/>
    <w:rsid w:val="6A824CF1"/>
    <w:rsid w:val="6AA747C0"/>
    <w:rsid w:val="6AA861C9"/>
    <w:rsid w:val="6AC92F8B"/>
    <w:rsid w:val="6AE81992"/>
    <w:rsid w:val="6AF2255A"/>
    <w:rsid w:val="6B16350B"/>
    <w:rsid w:val="6B447303"/>
    <w:rsid w:val="6B507CE7"/>
    <w:rsid w:val="6B5A4393"/>
    <w:rsid w:val="6B723766"/>
    <w:rsid w:val="6B761310"/>
    <w:rsid w:val="6BB52612"/>
    <w:rsid w:val="6C3A7DC0"/>
    <w:rsid w:val="6C3D7A2A"/>
    <w:rsid w:val="6C4844CA"/>
    <w:rsid w:val="6C6C54A8"/>
    <w:rsid w:val="6CB02E6F"/>
    <w:rsid w:val="6CE2259C"/>
    <w:rsid w:val="6CE92440"/>
    <w:rsid w:val="6CFA5035"/>
    <w:rsid w:val="6D046D54"/>
    <w:rsid w:val="6D247286"/>
    <w:rsid w:val="6D645CC9"/>
    <w:rsid w:val="6D666D4D"/>
    <w:rsid w:val="6E007E6C"/>
    <w:rsid w:val="6E9B0A1E"/>
    <w:rsid w:val="6E9C1F7D"/>
    <w:rsid w:val="6EA66200"/>
    <w:rsid w:val="6EBA14FC"/>
    <w:rsid w:val="6EC93369"/>
    <w:rsid w:val="6ED23AB0"/>
    <w:rsid w:val="6ED95545"/>
    <w:rsid w:val="6EE36830"/>
    <w:rsid w:val="6F0D40B4"/>
    <w:rsid w:val="6F3F36B6"/>
    <w:rsid w:val="6F4A5FF1"/>
    <w:rsid w:val="6F4C0241"/>
    <w:rsid w:val="6F5E00F8"/>
    <w:rsid w:val="6F617440"/>
    <w:rsid w:val="6F660E76"/>
    <w:rsid w:val="6F802244"/>
    <w:rsid w:val="6FA8143F"/>
    <w:rsid w:val="6FAD500F"/>
    <w:rsid w:val="6FB701C5"/>
    <w:rsid w:val="6FBB55D8"/>
    <w:rsid w:val="6FF42508"/>
    <w:rsid w:val="700C61B7"/>
    <w:rsid w:val="700F1EEC"/>
    <w:rsid w:val="70214F0E"/>
    <w:rsid w:val="702421EC"/>
    <w:rsid w:val="706C6E1C"/>
    <w:rsid w:val="706C701B"/>
    <w:rsid w:val="706F4F60"/>
    <w:rsid w:val="709220FC"/>
    <w:rsid w:val="70F97BEF"/>
    <w:rsid w:val="71056675"/>
    <w:rsid w:val="71095DFC"/>
    <w:rsid w:val="71217808"/>
    <w:rsid w:val="714B0FDA"/>
    <w:rsid w:val="714C32F8"/>
    <w:rsid w:val="72057A5D"/>
    <w:rsid w:val="724918CE"/>
    <w:rsid w:val="725259B8"/>
    <w:rsid w:val="728528E7"/>
    <w:rsid w:val="72AD27A3"/>
    <w:rsid w:val="72AF0BE6"/>
    <w:rsid w:val="72B17246"/>
    <w:rsid w:val="72D35D34"/>
    <w:rsid w:val="72F677EE"/>
    <w:rsid w:val="72F938B1"/>
    <w:rsid w:val="73315BE7"/>
    <w:rsid w:val="73356E2F"/>
    <w:rsid w:val="734F7AF0"/>
    <w:rsid w:val="73694C57"/>
    <w:rsid w:val="73721292"/>
    <w:rsid w:val="73E3436D"/>
    <w:rsid w:val="73F74C1B"/>
    <w:rsid w:val="73FB406D"/>
    <w:rsid w:val="740327A1"/>
    <w:rsid w:val="740F0D6A"/>
    <w:rsid w:val="749361AD"/>
    <w:rsid w:val="74CA3652"/>
    <w:rsid w:val="74FE3C35"/>
    <w:rsid w:val="7507540A"/>
    <w:rsid w:val="7533351C"/>
    <w:rsid w:val="75403A38"/>
    <w:rsid w:val="755914AC"/>
    <w:rsid w:val="75AE6E53"/>
    <w:rsid w:val="75F04C90"/>
    <w:rsid w:val="7606053C"/>
    <w:rsid w:val="76132EED"/>
    <w:rsid w:val="76664643"/>
    <w:rsid w:val="76A8175C"/>
    <w:rsid w:val="76C71670"/>
    <w:rsid w:val="76DE04F1"/>
    <w:rsid w:val="76F16BE7"/>
    <w:rsid w:val="7719147A"/>
    <w:rsid w:val="771C1050"/>
    <w:rsid w:val="7729278E"/>
    <w:rsid w:val="772B6DDC"/>
    <w:rsid w:val="772C2DAE"/>
    <w:rsid w:val="775F6DCF"/>
    <w:rsid w:val="776C5F9A"/>
    <w:rsid w:val="778843F2"/>
    <w:rsid w:val="77D56A4F"/>
    <w:rsid w:val="77E062F9"/>
    <w:rsid w:val="77EC3D62"/>
    <w:rsid w:val="77F70538"/>
    <w:rsid w:val="78271C50"/>
    <w:rsid w:val="78446BC0"/>
    <w:rsid w:val="788E60A2"/>
    <w:rsid w:val="78B54E8C"/>
    <w:rsid w:val="78DC5998"/>
    <w:rsid w:val="78F83A46"/>
    <w:rsid w:val="78FA7AD7"/>
    <w:rsid w:val="791657D0"/>
    <w:rsid w:val="792B0267"/>
    <w:rsid w:val="793A0D98"/>
    <w:rsid w:val="796E427C"/>
    <w:rsid w:val="79743B4E"/>
    <w:rsid w:val="79893FE5"/>
    <w:rsid w:val="79B64076"/>
    <w:rsid w:val="79B70166"/>
    <w:rsid w:val="79CF3B35"/>
    <w:rsid w:val="79ED7B31"/>
    <w:rsid w:val="7A5E0613"/>
    <w:rsid w:val="7A865FFF"/>
    <w:rsid w:val="7A895431"/>
    <w:rsid w:val="7ADD6372"/>
    <w:rsid w:val="7B4C2D7A"/>
    <w:rsid w:val="7B5372C9"/>
    <w:rsid w:val="7B914733"/>
    <w:rsid w:val="7B915EA9"/>
    <w:rsid w:val="7BE26A2A"/>
    <w:rsid w:val="7C0374CC"/>
    <w:rsid w:val="7C0E6AFF"/>
    <w:rsid w:val="7C3E5BBE"/>
    <w:rsid w:val="7C4C325A"/>
    <w:rsid w:val="7CC0644F"/>
    <w:rsid w:val="7CCF7A12"/>
    <w:rsid w:val="7CDB30F3"/>
    <w:rsid w:val="7CE828AF"/>
    <w:rsid w:val="7CE87237"/>
    <w:rsid w:val="7D033D55"/>
    <w:rsid w:val="7D194B72"/>
    <w:rsid w:val="7D1E04FB"/>
    <w:rsid w:val="7D21741B"/>
    <w:rsid w:val="7D43175E"/>
    <w:rsid w:val="7D456E5C"/>
    <w:rsid w:val="7D49701C"/>
    <w:rsid w:val="7D622D63"/>
    <w:rsid w:val="7D9F13C0"/>
    <w:rsid w:val="7DEF7477"/>
    <w:rsid w:val="7E0F0C30"/>
    <w:rsid w:val="7E1615DC"/>
    <w:rsid w:val="7E2F690B"/>
    <w:rsid w:val="7E4A55BC"/>
    <w:rsid w:val="7E6B713C"/>
    <w:rsid w:val="7E8939A5"/>
    <w:rsid w:val="7EB97A0D"/>
    <w:rsid w:val="7ED43D2F"/>
    <w:rsid w:val="7F1A437D"/>
    <w:rsid w:val="7F6E1773"/>
    <w:rsid w:val="7FBB4867"/>
    <w:rsid w:val="7FCA696F"/>
    <w:rsid w:val="7FD124F5"/>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5"/>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2"/>
    <w:next w:val="1"/>
    <w:link w:val="32"/>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qFormat/>
    <w:uiPriority w:val="0"/>
    <w:pPr>
      <w:numPr>
        <w:ilvl w:val="2"/>
        <w:numId w:val="1"/>
      </w:numPr>
      <w:spacing w:before="120"/>
      <w:outlineLvl w:val="2"/>
    </w:p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rPr>
  </w:style>
  <w:style w:type="paragraph" w:styleId="6">
    <w:name w:val="annotation text"/>
    <w:basedOn w:val="1"/>
    <w:link w:val="19"/>
    <w:semiHidden/>
    <w:unhideWhenUsed/>
    <w:qFormat/>
    <w:uiPriority w:val="99"/>
    <w:pPr>
      <w:spacing w:line="240" w:lineRule="auto"/>
    </w:pPr>
    <w:rPr>
      <w:sz w:val="20"/>
      <w:szCs w:val="20"/>
    </w:rPr>
  </w:style>
  <w:style w:type="paragraph" w:styleId="7">
    <w:name w:val="Body Text"/>
    <w:basedOn w:val="1"/>
    <w:link w:val="27"/>
    <w:qFormat/>
    <w:uiPriority w:val="99"/>
    <w:pPr>
      <w:spacing w:after="120" w:line="240" w:lineRule="auto"/>
    </w:pPr>
    <w:rPr>
      <w:rFonts w:ascii="Times New Roman" w:hAnsi="Times New Roman" w:cs="Times New Roman"/>
      <w:sz w:val="20"/>
      <w:szCs w:val="20"/>
      <w:lang w:val="en-GB"/>
    </w:rPr>
  </w:style>
  <w:style w:type="paragraph" w:styleId="8">
    <w:name w:val="Balloon Text"/>
    <w:basedOn w:val="1"/>
    <w:link w:val="21"/>
    <w:semiHidden/>
    <w:unhideWhenUsed/>
    <w:qFormat/>
    <w:uiPriority w:val="99"/>
    <w:pPr>
      <w:spacing w:after="0" w:line="240" w:lineRule="auto"/>
    </w:pPr>
    <w:rPr>
      <w:rFonts w:ascii="Segoe UI" w:hAnsi="Segoe UI" w:cs="Segoe UI"/>
      <w:sz w:val="18"/>
      <w:szCs w:val="18"/>
    </w:rPr>
  </w:style>
  <w:style w:type="paragraph" w:styleId="9">
    <w:name w:val="header"/>
    <w:basedOn w:val="1"/>
    <w:link w:val="26"/>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10">
    <w:name w:val="annotation subject"/>
    <w:basedOn w:val="6"/>
    <w:next w:val="6"/>
    <w:link w:val="20"/>
    <w:semiHidden/>
    <w:unhideWhenUsed/>
    <w:qFormat/>
    <w:uiPriority w:val="99"/>
    <w:rPr>
      <w:b/>
      <w:bCs/>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000FF"/>
      <w:u w:val="single"/>
    </w:rPr>
  </w:style>
  <w:style w:type="character" w:styleId="15">
    <w:name w:val="annotation reference"/>
    <w:basedOn w:val="13"/>
    <w:semiHidden/>
    <w:unhideWhenUsed/>
    <w:qFormat/>
    <w:uiPriority w:val="99"/>
    <w:rPr>
      <w:sz w:val="16"/>
      <w:szCs w:val="16"/>
    </w:rPr>
  </w:style>
  <w:style w:type="paragraph" w:customStyle="1" w:styleId="16">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7">
    <w:name w:val="normaltextrun"/>
    <w:basedOn w:val="13"/>
    <w:qFormat/>
    <w:uiPriority w:val="0"/>
  </w:style>
  <w:style w:type="character" w:customStyle="1" w:styleId="18">
    <w:name w:val="eop"/>
    <w:basedOn w:val="13"/>
    <w:qFormat/>
    <w:uiPriority w:val="0"/>
  </w:style>
  <w:style w:type="character" w:customStyle="1" w:styleId="19">
    <w:name w:val="Comment Text Char"/>
    <w:basedOn w:val="13"/>
    <w:link w:val="6"/>
    <w:semiHidden/>
    <w:qFormat/>
    <w:uiPriority w:val="99"/>
    <w:rPr>
      <w:sz w:val="20"/>
      <w:szCs w:val="20"/>
    </w:rPr>
  </w:style>
  <w:style w:type="character" w:customStyle="1" w:styleId="20">
    <w:name w:val="Comment Subject Char"/>
    <w:basedOn w:val="19"/>
    <w:link w:val="10"/>
    <w:semiHidden/>
    <w:qFormat/>
    <w:uiPriority w:val="99"/>
    <w:rPr>
      <w:b/>
      <w:bCs/>
      <w:sz w:val="20"/>
      <w:szCs w:val="20"/>
    </w:rPr>
  </w:style>
  <w:style w:type="character" w:customStyle="1" w:styleId="21">
    <w:name w:val="Balloon Text Char"/>
    <w:basedOn w:val="13"/>
    <w:link w:val="8"/>
    <w:semiHidden/>
    <w:qFormat/>
    <w:uiPriority w:val="99"/>
    <w:rPr>
      <w:rFonts w:ascii="Segoe UI" w:hAnsi="Segoe UI" w:cs="Segoe UI"/>
      <w:sz w:val="18"/>
      <w:szCs w:val="18"/>
    </w:rPr>
  </w:style>
  <w:style w:type="character" w:customStyle="1" w:styleId="22">
    <w:name w:val="advancedproofingissue"/>
    <w:basedOn w:val="13"/>
    <w:qFormat/>
    <w:uiPriority w:val="0"/>
  </w:style>
  <w:style w:type="paragraph" w:customStyle="1" w:styleId="23">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4">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5">
    <w:name w:val="Heading 1 Char"/>
    <w:basedOn w:val="13"/>
    <w:link w:val="2"/>
    <w:qFormat/>
    <w:uiPriority w:val="0"/>
    <w:rPr>
      <w:rFonts w:ascii="Arial" w:hAnsi="Arial" w:cs="Times New Roman" w:eastAsiaTheme="minorEastAsia"/>
      <w:sz w:val="36"/>
      <w:szCs w:val="20"/>
      <w:lang w:val="en-GB"/>
    </w:rPr>
  </w:style>
  <w:style w:type="character" w:customStyle="1" w:styleId="26">
    <w:name w:val="Header Char"/>
    <w:basedOn w:val="13"/>
    <w:link w:val="9"/>
    <w:qFormat/>
    <w:uiPriority w:val="0"/>
    <w:rPr>
      <w:rFonts w:ascii="Arial" w:hAnsi="Arial" w:cs="Times New Roman" w:eastAsiaTheme="minorEastAsia"/>
      <w:b/>
      <w:sz w:val="18"/>
      <w:szCs w:val="20"/>
      <w:lang w:val="en-GB" w:eastAsia="ja-JP"/>
    </w:rPr>
  </w:style>
  <w:style w:type="character" w:customStyle="1" w:styleId="27">
    <w:name w:val="Body Text Char"/>
    <w:basedOn w:val="13"/>
    <w:link w:val="7"/>
    <w:qFormat/>
    <w:uiPriority w:val="99"/>
    <w:rPr>
      <w:rFonts w:ascii="Times New Roman" w:hAnsi="Times New Roman" w:cs="Times New Roman" w:eastAsiaTheme="minorEastAsia"/>
      <w:sz w:val="20"/>
      <w:szCs w:val="20"/>
      <w:lang w:val="en-GB"/>
    </w:rPr>
  </w:style>
  <w:style w:type="paragraph" w:customStyle="1" w:styleId="28">
    <w:name w:val="RAN4 H2"/>
    <w:basedOn w:val="3"/>
    <w:next w:val="1"/>
    <w:qFormat/>
    <w:uiPriority w:val="0"/>
    <w:pPr>
      <w:numPr>
        <w:ilvl w:val="1"/>
        <w:numId w:val="2"/>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9">
    <w:name w:val="RAN4 H1"/>
    <w:basedOn w:val="1"/>
    <w:next w:val="1"/>
    <w:link w:val="30"/>
    <w:qFormat/>
    <w:uiPriority w:val="0"/>
    <w:pPr>
      <w:keepNext/>
      <w:keepLines/>
      <w:numPr>
        <w:ilvl w:val="0"/>
        <w:numId w:val="2"/>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30">
    <w:name w:val="RAN4 H1 Char"/>
    <w:basedOn w:val="13"/>
    <w:link w:val="29"/>
    <w:qFormat/>
    <w:uiPriority w:val="0"/>
    <w:rPr>
      <w:rFonts w:ascii="Arial" w:hAnsi="Arial" w:eastAsia="宋体" w:cs="Times New Roman"/>
      <w:sz w:val="36"/>
      <w:szCs w:val="20"/>
      <w:lang w:val="en-GB"/>
    </w:rPr>
  </w:style>
  <w:style w:type="paragraph" w:customStyle="1" w:styleId="31">
    <w:name w:val="RAN4 H3"/>
    <w:basedOn w:val="1"/>
    <w:qFormat/>
    <w:uiPriority w:val="0"/>
    <w:pPr>
      <w:numPr>
        <w:ilvl w:val="2"/>
        <w:numId w:val="2"/>
      </w:numPr>
      <w:ind w:left="505" w:hanging="505"/>
    </w:pPr>
    <w:rPr>
      <w:rFonts w:ascii="Arial" w:hAnsi="Arial" w:cs="Arial"/>
      <w:sz w:val="24"/>
      <w:lang w:val="en-US"/>
    </w:rPr>
  </w:style>
  <w:style w:type="character" w:customStyle="1" w:styleId="32">
    <w:name w:val="Heading 2 Char"/>
    <w:basedOn w:val="13"/>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3">
    <w:name w:val="B1"/>
    <w:basedOn w:val="1"/>
    <w:qFormat/>
    <w:uiPriority w:val="0"/>
    <w:pPr>
      <w:ind w:left="568" w:hanging="284"/>
    </w:pPr>
    <w:rPr>
      <w:lang w:eastAsia="zh-CN"/>
    </w:rPr>
  </w:style>
  <w:style w:type="paragraph" w:customStyle="1" w:styleId="34">
    <w:name w:val="B2"/>
    <w:basedOn w:val="1"/>
    <w:qFormat/>
    <w:uiPriority w:val="0"/>
    <w:pPr>
      <w:ind w:left="851" w:hanging="284"/>
    </w:pPr>
    <w:rPr>
      <w:lang w:eastAsia="zh-CN"/>
    </w:rPr>
  </w:style>
  <w:style w:type="paragraph" w:customStyle="1" w:styleId="35">
    <w:name w:val="TH"/>
    <w:basedOn w:val="1"/>
    <w:qFormat/>
    <w:uiPriority w:val="0"/>
    <w:pPr>
      <w:keepNext/>
      <w:keepLines/>
      <w:spacing w:before="60"/>
      <w:jc w:val="center"/>
    </w:pPr>
    <w:rPr>
      <w:rFonts w:ascii="Arial" w:hAnsi="Arial"/>
      <w:b/>
    </w:rPr>
  </w:style>
  <w:style w:type="paragraph" w:customStyle="1" w:styleId="36">
    <w:name w:val="TAC"/>
    <w:basedOn w:val="37"/>
    <w:qFormat/>
    <w:uiPriority w:val="0"/>
    <w:pPr>
      <w:jc w:val="center"/>
    </w:pPr>
  </w:style>
  <w:style w:type="paragraph" w:customStyle="1" w:styleId="37">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53312-9ED1-4BD4-AACF-2C181B9C77DB}">
  <ds:schemaRefs/>
</ds:datastoreItem>
</file>

<file path=customXml/itemProps3.xml><?xml version="1.0" encoding="utf-8"?>
<ds:datastoreItem xmlns:ds="http://schemas.openxmlformats.org/officeDocument/2006/customXml" ds:itemID="{9DA44A59-2E3C-44C4-90C6-A2F0A9AD11DA}">
  <ds:schemaRefs/>
</ds:datastoreItem>
</file>

<file path=customXml/itemProps4.xml><?xml version="1.0" encoding="utf-8"?>
<ds:datastoreItem xmlns:ds="http://schemas.openxmlformats.org/officeDocument/2006/customXml" ds:itemID="{3811C0D6-D16D-4350-B2E1-A7DB68A55523}">
  <ds:schemaRefs/>
</ds:datastoreItem>
</file>

<file path=customXml/itemProps5.xml><?xml version="1.0" encoding="utf-8"?>
<ds:datastoreItem xmlns:ds="http://schemas.openxmlformats.org/officeDocument/2006/customXml" ds:itemID="{70756F89-1898-44BE-A987-0427741EA340}">
  <ds:schemaRefs/>
</ds:datastoreItem>
</file>

<file path=customXml/itemProps6.xml><?xml version="1.0" encoding="utf-8"?>
<ds:datastoreItem xmlns:ds="http://schemas.openxmlformats.org/officeDocument/2006/customXml" ds:itemID="{900C736C-38F3-4CF2-A589-D87BDB84521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1</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cp:lastModifiedBy>
  <dcterms:modified xsi:type="dcterms:W3CDTF">2021-04-02T12:17:41Z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