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0"/>
          <w:lang w:val="en-GB" w:eastAsia="zh-CN"/>
        </w:rPr>
      </w:pPr>
      <w:bookmarkStart w:id="0" w:name="OLE_LINK6"/>
      <w:bookmarkStart w:id="1" w:name="OLE_LINK5"/>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WG4 Meeting # 9</w:t>
      </w:r>
      <w:r>
        <w:rPr>
          <w:rFonts w:hint="eastAsia" w:ascii="Arial" w:hAnsi="Arial" w:eastAsia="宋体" w:cs="Times New Roman"/>
          <w:b/>
          <w:sz w:val="24"/>
          <w:szCs w:val="20"/>
          <w:lang w:val="en-US" w:eastAsia="zh-CN"/>
        </w:rPr>
        <w:t>8-bis</w:t>
      </w:r>
      <w:r>
        <w:rPr>
          <w:rFonts w:ascii="Arial" w:hAnsi="Arial" w:eastAsia="宋体" w:cs="Times New Roman"/>
          <w:b/>
          <w:sz w:val="24"/>
          <w:szCs w:val="20"/>
          <w:lang w:val="en-GB"/>
        </w:rPr>
        <w:t xml:space="preserve">-e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R4-2106589</w:t>
      </w:r>
    </w:p>
    <w:bookmarkEnd w:id="0"/>
    <w:bookmarkEnd w:id="1"/>
    <w:p>
      <w:pPr>
        <w:rPr>
          <w:rFonts w:ascii="Arial" w:hAnsi="Arial" w:eastAsia="宋体" w:cs="Times New Roman"/>
          <w:b/>
          <w:bCs/>
          <w:sz w:val="24"/>
          <w:szCs w:val="20"/>
          <w:lang w:val="en-GB" w:eastAsia="ja-JP"/>
        </w:rPr>
      </w:pPr>
      <w:bookmarkStart w:id="64" w:name="_GoBack"/>
      <w:bookmarkEnd w:id="64"/>
      <w:r>
        <w:rPr>
          <w:rFonts w:hint="eastAsia" w:ascii="Arial" w:hAnsi="Arial" w:cs="Arial"/>
          <w:b/>
          <w:sz w:val="24"/>
          <w:szCs w:val="24"/>
        </w:rPr>
        <w:t>E-meeting,</w:t>
      </w:r>
      <w:r>
        <w:rPr>
          <w:rFonts w:hint="eastAsia" w:ascii="Arial" w:hAnsi="Arial" w:cs="Arial"/>
          <w:b/>
          <w:sz w:val="24"/>
          <w:szCs w:val="24"/>
          <w:lang w:val="en-US" w:eastAsia="zh-CN"/>
        </w:rPr>
        <w:t>12</w:t>
      </w:r>
      <w:r>
        <w:rPr>
          <w:rFonts w:hint="eastAsia" w:ascii="Arial" w:hAnsi="Arial" w:cs="Arial"/>
          <w:b/>
          <w:sz w:val="24"/>
          <w:szCs w:val="24"/>
          <w:vertAlign w:val="superscript"/>
        </w:rPr>
        <w:t>th</w:t>
      </w:r>
      <w:r>
        <w:rPr>
          <w:rFonts w:hint="eastAsia" w:ascii="Arial" w:hAnsi="Arial" w:cs="Arial"/>
          <w:b/>
          <w:sz w:val="24"/>
          <w:szCs w:val="24"/>
          <w:lang w:val="en-US" w:eastAsia="zh-CN"/>
        </w:rPr>
        <w:t>April</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20</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lang w:val="en-US" w:eastAsia="zh-CN"/>
        </w:rPr>
        <w:t>April</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21</w:t>
      </w:r>
    </w:p>
    <w:p>
      <w:pPr>
        <w:tabs>
          <w:tab w:val="left" w:pos="1985"/>
        </w:tabs>
        <w:spacing w:after="180"/>
        <w:ind w:left="1980" w:hanging="1980"/>
        <w:rPr>
          <w:rFonts w:hint="default" w:ascii="Arial" w:hAnsi="Arial" w:cs="Arial" w:eastAsiaTheme="minorEastAsia"/>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12</w:t>
      </w:r>
      <w:r>
        <w:rPr>
          <w:rFonts w:hint="eastAsia" w:ascii="Arial" w:hAnsi="Arial" w:cs="Arial"/>
          <w:b/>
          <w:sz w:val="24"/>
          <w:szCs w:val="24"/>
        </w:rPr>
        <w:t>.</w:t>
      </w:r>
      <w:r>
        <w:rPr>
          <w:rFonts w:hint="eastAsia" w:ascii="Arial" w:hAnsi="Arial" w:cs="Arial"/>
          <w:b/>
          <w:sz w:val="24"/>
          <w:szCs w:val="24"/>
          <w:lang w:val="en-US" w:eastAsia="zh-CN"/>
        </w:rPr>
        <w:t>5.1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BS Tx requirements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eastAsia="宋体" w:cs="Arial"/>
          <w:b/>
          <w:sz w:val="24"/>
          <w:szCs w:val="24"/>
          <w:lang w:val="en-US" w:eastAsia="zh-CN"/>
        </w:rPr>
        <w:t>Approval</w:t>
      </w:r>
      <w:r>
        <w:rPr>
          <w:rFonts w:hint="eastAsia" w:ascii="Arial" w:hAnsi="Arial" w:cs="Arial"/>
          <w:b/>
          <w:sz w:val="24"/>
          <w:szCs w:val="24"/>
        </w:rPr>
        <w:t xml:space="preserve">  </w:t>
      </w:r>
    </w:p>
    <w:p>
      <w:pPr>
        <w:pStyle w:val="29"/>
        <w:ind w:left="357" w:hanging="357"/>
      </w:pPr>
      <w:r>
        <w:t>Background</w:t>
      </w:r>
    </w:p>
    <w:p>
      <w:pPr>
        <w:widowControl w:val="0"/>
        <w:jc w:val="both"/>
        <w:rPr>
          <w:rFonts w:hint="default"/>
          <w:lang w:val="en-US" w:eastAsia="zh-CN"/>
        </w:rPr>
      </w:pPr>
      <w:r>
        <w:rPr>
          <w:rFonts w:hint="default"/>
          <w:lang w:val="en-US" w:eastAsia="zh-CN"/>
        </w:rPr>
        <w:t xml:space="preserve">In </w:t>
      </w:r>
      <w:r>
        <w:rPr>
          <w:rFonts w:hint="eastAsia"/>
          <w:lang w:val="en-US" w:eastAsia="zh-CN"/>
        </w:rPr>
        <w:t>the previous 60GHz SID, there were extensive discussions on BS architecture and RF feasibility which were documented in TR 38.808. In this contribution, we want to share some initial understandings on how to define BS RF requirements for 60GHz WID.</w:t>
      </w:r>
    </w:p>
    <w:p>
      <w:pPr>
        <w:pStyle w:val="29"/>
        <w:ind w:left="357" w:hanging="357"/>
      </w:pPr>
      <w:r>
        <w:rPr>
          <w:rFonts w:hint="eastAsia"/>
          <w:lang w:val="en-US" w:eastAsia="zh-CN"/>
        </w:rPr>
        <w:t>Discussion</w:t>
      </w:r>
    </w:p>
    <w:p>
      <w:pPr>
        <w:widowControl w:val="0"/>
        <w:jc w:val="both"/>
        <w:rPr>
          <w:rFonts w:hint="default"/>
          <w:lang w:val="en-US" w:eastAsia="zh-CN"/>
        </w:rPr>
      </w:pPr>
      <w:r>
        <w:rPr>
          <w:rFonts w:hint="eastAsia"/>
          <w:lang w:val="en-US" w:eastAsia="zh-CN"/>
        </w:rPr>
        <w:t xml:space="preserve"> In the following Table 1, we summarized the initial considerations for BS RF requirement at 60GHz. </w:t>
      </w:r>
    </w:p>
    <w:p>
      <w:pPr>
        <w:widowControl w:val="0"/>
        <w:jc w:val="center"/>
        <w:rPr>
          <w:rFonts w:hint="default"/>
          <w:b/>
          <w:bCs/>
          <w:lang w:val="en-US" w:eastAsia="zh-CN"/>
        </w:rPr>
      </w:pPr>
      <w:r>
        <w:rPr>
          <w:rFonts w:hint="eastAsia"/>
          <w:b/>
          <w:bCs/>
          <w:lang w:val="en-US" w:eastAsia="zh-CN"/>
        </w:rPr>
        <w:t>Table 1. Summary of related RF requirement</w:t>
      </w:r>
    </w:p>
    <w:tbl>
      <w:tblPr>
        <w:tblStyle w:val="1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widowControl w:val="0"/>
              <w:jc w:val="center"/>
              <w:rPr>
                <w:rFonts w:hint="default"/>
                <w:b/>
                <w:bCs/>
                <w:lang w:val="en-US" w:eastAsia="zh-CN"/>
              </w:rPr>
            </w:pPr>
            <w:r>
              <w:rPr>
                <w:rFonts w:hint="default"/>
                <w:b/>
                <w:bCs/>
                <w:lang w:val="en-US" w:eastAsia="zh-CN"/>
              </w:rPr>
              <w:t>General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widowControl w:val="0"/>
              <w:jc w:val="center"/>
              <w:rPr>
                <w:rFonts w:hint="default"/>
                <w:b/>
                <w:bCs/>
                <w:lang w:val="en-US" w:eastAsia="zh-CN"/>
              </w:rPr>
            </w:pPr>
            <w:r>
              <w:rPr>
                <w:rFonts w:hint="default"/>
                <w:b/>
                <w:bCs/>
                <w:lang w:val="en-US" w:eastAsia="zh-CN"/>
              </w:rPr>
              <w:t>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rPr>
                <w:lang w:val="en-US"/>
              </w:rPr>
            </w:pPr>
            <w:bookmarkStart w:id="4" w:name="_Toc45893606"/>
            <w:bookmarkStart w:id="5" w:name="_Toc36817380"/>
            <w:bookmarkStart w:id="6" w:name="_Toc37267690"/>
            <w:bookmarkStart w:id="7" w:name="_Toc21127619"/>
            <w:bookmarkStart w:id="8" w:name="_Toc37260302"/>
            <w:bookmarkStart w:id="9" w:name="_Toc44712293"/>
            <w:bookmarkStart w:id="10" w:name="_Toc29811828"/>
            <w:r>
              <w:rPr>
                <w:lang w:val="en-US"/>
              </w:rPr>
              <w:t>9.2</w:t>
            </w:r>
            <w:r>
              <w:rPr>
                <w:rFonts w:hint="eastAsia"/>
                <w:lang w:val="en-US" w:eastAsia="zh-CN"/>
              </w:rPr>
              <w:t>.</w:t>
            </w:r>
            <w:r>
              <w:rPr>
                <w:lang w:val="en-US"/>
              </w:rPr>
              <w:t>Radiated transmit power</w:t>
            </w:r>
            <w:bookmarkEnd w:id="4"/>
            <w:bookmarkEnd w:id="5"/>
            <w:bookmarkEnd w:id="6"/>
            <w:bookmarkEnd w:id="7"/>
            <w:bookmarkEnd w:id="8"/>
            <w:bookmarkEnd w:id="9"/>
            <w:bookmarkEnd w:id="10"/>
          </w:p>
          <w:p>
            <w:pPr>
              <w:widowControl w:val="0"/>
              <w:jc w:val="both"/>
              <w:rPr>
                <w:rFonts w:hint="default"/>
                <w:lang w:val="en-US" w:eastAsia="zh-CN"/>
              </w:rPr>
            </w:pPr>
          </w:p>
        </w:tc>
        <w:tc>
          <w:tcPr>
            <w:tcW w:w="6457" w:type="dxa"/>
            <w:noWrap w:val="0"/>
            <w:vAlign w:val="top"/>
          </w:tcPr>
          <w:p>
            <w:pPr>
              <w:widowControl w:val="0"/>
              <w:jc w:val="both"/>
              <w:rPr>
                <w:rFonts w:hint="default"/>
                <w:lang w:val="en-US" w:eastAsia="zh-CN"/>
              </w:rPr>
            </w:pPr>
            <w:r>
              <w:rPr>
                <w:rFonts w:hint="eastAsia"/>
                <w:lang w:val="en-US" w:eastAsia="zh-CN"/>
              </w:rPr>
              <w:t xml:space="preserve">For the EIRP accuracy for 60GHz,  the requirements for existing FR2 could be applied for 60GHz since lots of the impact factors due to mmWave RF architecture has been considered for the existing FR2.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rPr>
                <w:lang w:val="en-US"/>
              </w:rPr>
            </w:pPr>
            <w:bookmarkStart w:id="11" w:name="_Toc36817384"/>
            <w:bookmarkStart w:id="12" w:name="_Toc45893610"/>
            <w:bookmarkStart w:id="13" w:name="_Toc37267694"/>
            <w:bookmarkStart w:id="14" w:name="_Toc21127623"/>
            <w:bookmarkStart w:id="15" w:name="_Toc44712297"/>
            <w:bookmarkStart w:id="16" w:name="_Toc37260306"/>
            <w:bookmarkStart w:id="17" w:name="_Toc29811832"/>
            <w:r>
              <w:rPr>
                <w:lang w:val="en-US"/>
              </w:rPr>
              <w:t>9.3</w:t>
            </w:r>
            <w:r>
              <w:rPr>
                <w:rFonts w:hint="eastAsia"/>
                <w:lang w:val="en-US" w:eastAsia="zh-CN"/>
              </w:rPr>
              <w:t>.</w:t>
            </w:r>
            <w:r>
              <w:rPr>
                <w:lang w:val="en-US"/>
              </w:rPr>
              <w:t>OTA base station output power</w:t>
            </w:r>
            <w:bookmarkEnd w:id="11"/>
            <w:bookmarkEnd w:id="12"/>
            <w:bookmarkEnd w:id="13"/>
            <w:bookmarkEnd w:id="14"/>
            <w:bookmarkEnd w:id="15"/>
            <w:bookmarkEnd w:id="16"/>
            <w:bookmarkEnd w:id="17"/>
          </w:p>
          <w:p>
            <w:pPr>
              <w:widowControl w:val="0"/>
              <w:jc w:val="both"/>
              <w:rPr>
                <w:rFonts w:hint="default"/>
                <w:lang w:val="en-US" w:eastAsia="zh-CN"/>
              </w:rPr>
            </w:pPr>
          </w:p>
        </w:tc>
        <w:tc>
          <w:tcPr>
            <w:tcW w:w="6457" w:type="dxa"/>
            <w:noWrap w:val="0"/>
            <w:vAlign w:val="top"/>
          </w:tcPr>
          <w:p>
            <w:pPr>
              <w:widowControl w:val="0"/>
              <w:jc w:val="both"/>
              <w:rPr>
                <w:rFonts w:hint="default"/>
                <w:lang w:val="en-US" w:eastAsia="zh-CN"/>
              </w:rPr>
            </w:pPr>
            <w:r>
              <w:rPr>
                <w:rFonts w:hint="eastAsia"/>
                <w:lang w:val="en-US" w:eastAsia="zh-CN"/>
              </w:rPr>
              <w:t>For the TRP accuracy for 60GHz, similar as EIRP accuracy requirements, the requirements for existing FR2 could also be applied for 60GHz since like the implementation difficulty for power detectors for mmWave and other impact factors are also valid for 60GHz  and it should be no quite related with increasing operation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rPr>
                <w:rFonts w:hint="eastAsia"/>
                <w:lang w:val="en-US" w:eastAsia="zh-CN"/>
              </w:rPr>
            </w:pPr>
            <w:bookmarkStart w:id="18" w:name="_Toc45893615"/>
            <w:bookmarkStart w:id="19" w:name="_Toc21127628"/>
            <w:bookmarkStart w:id="20" w:name="_Toc37260311"/>
            <w:bookmarkStart w:id="21" w:name="_Toc44712302"/>
            <w:bookmarkStart w:id="22" w:name="_Toc36817389"/>
            <w:bookmarkStart w:id="23" w:name="_Toc29811837"/>
            <w:bookmarkStart w:id="24" w:name="_Toc37267699"/>
            <w:bookmarkStart w:id="25" w:name="_Hlk500499328"/>
            <w:r>
              <w:rPr>
                <w:rFonts w:hint="eastAsia"/>
                <w:lang w:val="en-US" w:eastAsia="zh-CN"/>
              </w:rPr>
              <w:t>9.4.OTA output power dynamics</w:t>
            </w:r>
            <w:bookmarkEnd w:id="18"/>
            <w:bookmarkEnd w:id="19"/>
            <w:bookmarkEnd w:id="20"/>
            <w:bookmarkEnd w:id="21"/>
            <w:bookmarkEnd w:id="22"/>
            <w:bookmarkEnd w:id="23"/>
            <w:bookmarkEnd w:id="24"/>
          </w:p>
          <w:bookmarkEnd w:id="25"/>
          <w:p>
            <w:pPr>
              <w:widowControl w:val="0"/>
              <w:jc w:val="both"/>
              <w:rPr>
                <w:rFonts w:hint="default"/>
                <w:lang w:val="en-US" w:eastAsia="zh-CN"/>
              </w:rPr>
            </w:pPr>
          </w:p>
        </w:tc>
        <w:tc>
          <w:tcPr>
            <w:tcW w:w="6457" w:type="dxa"/>
            <w:noWrap w:val="0"/>
            <w:vAlign w:val="top"/>
          </w:tcPr>
          <w:p>
            <w:pPr>
              <w:widowControl w:val="0"/>
              <w:jc w:val="both"/>
              <w:rPr>
                <w:rFonts w:hint="eastAsia"/>
                <w:lang w:val="en-US" w:eastAsia="zh-CN"/>
              </w:rPr>
            </w:pPr>
            <w:bookmarkStart w:id="26" w:name="_Toc44712304"/>
            <w:bookmarkStart w:id="27" w:name="_Toc37267701"/>
            <w:bookmarkStart w:id="28" w:name="_Toc29811839"/>
            <w:bookmarkStart w:id="29" w:name="_Toc21127630"/>
            <w:bookmarkStart w:id="30" w:name="_Toc37260313"/>
            <w:bookmarkStart w:id="31" w:name="_Toc45893617"/>
            <w:bookmarkStart w:id="32" w:name="_Toc36817391"/>
            <w:r>
              <w:rPr>
                <w:rFonts w:hint="eastAsia"/>
                <w:lang w:val="en-US" w:eastAsia="zh-CN"/>
              </w:rPr>
              <w:t>9.4.2.OTA RE power control dynamic range</w:t>
            </w:r>
            <w:bookmarkEnd w:id="26"/>
            <w:bookmarkEnd w:id="27"/>
            <w:bookmarkEnd w:id="28"/>
            <w:bookmarkEnd w:id="29"/>
            <w:bookmarkEnd w:id="30"/>
            <w:bookmarkEnd w:id="31"/>
            <w:bookmarkEnd w:id="32"/>
          </w:p>
          <w:p>
            <w:pPr>
              <w:widowControl w:val="0"/>
              <w:jc w:val="both"/>
              <w:rPr>
                <w:rFonts w:hint="default"/>
                <w:lang w:val="en-US" w:eastAsia="zh-CN"/>
              </w:rPr>
            </w:pPr>
            <w:r>
              <w:rPr>
                <w:rFonts w:hint="eastAsia"/>
                <w:lang w:val="en-US" w:eastAsia="zh-CN"/>
              </w:rPr>
              <w:t>This requirement is only defined for FR1, therefore for 60GHz, no new requirement need to be defined.</w:t>
            </w:r>
          </w:p>
          <w:p>
            <w:pPr>
              <w:widowControl w:val="0"/>
              <w:jc w:val="both"/>
              <w:rPr>
                <w:rFonts w:hint="eastAsia"/>
                <w:lang w:val="en-US" w:eastAsia="zh-CN"/>
              </w:rPr>
            </w:pPr>
            <w:bookmarkStart w:id="33" w:name="_Toc37260316"/>
            <w:bookmarkStart w:id="34" w:name="_Toc36817394"/>
            <w:bookmarkStart w:id="35" w:name="_Toc29811842"/>
            <w:bookmarkStart w:id="36" w:name="_Toc37267704"/>
            <w:bookmarkStart w:id="37" w:name="_Toc44712307"/>
            <w:bookmarkStart w:id="38" w:name="_Toc45893620"/>
            <w:bookmarkStart w:id="39" w:name="_Toc21127633"/>
            <w:r>
              <w:rPr>
                <w:rFonts w:hint="eastAsia"/>
                <w:lang w:val="en-US" w:eastAsia="zh-CN"/>
              </w:rPr>
              <w:t>9.4.3.OTA total power dynamic range</w:t>
            </w:r>
            <w:bookmarkEnd w:id="33"/>
            <w:bookmarkEnd w:id="34"/>
            <w:bookmarkEnd w:id="35"/>
            <w:bookmarkEnd w:id="36"/>
            <w:bookmarkEnd w:id="37"/>
            <w:bookmarkEnd w:id="38"/>
            <w:bookmarkEnd w:id="39"/>
          </w:p>
          <w:p>
            <w:pPr>
              <w:widowControl w:val="0"/>
              <w:jc w:val="both"/>
              <w:rPr>
                <w:rFonts w:hint="default"/>
                <w:lang w:val="en-US" w:eastAsia="zh-CN"/>
              </w:rPr>
            </w:pPr>
            <w:r>
              <w:rPr>
                <w:rFonts w:hint="eastAsia"/>
                <w:lang w:val="en-US" w:eastAsia="zh-CN"/>
              </w:rPr>
              <w:t>It</w:t>
            </w:r>
            <w:r>
              <w:rPr>
                <w:rFonts w:hint="default"/>
                <w:lang w:val="en-US" w:eastAsia="zh-CN"/>
              </w:rPr>
              <w:t>’</w:t>
            </w:r>
            <w:r>
              <w:rPr>
                <w:rFonts w:hint="eastAsia"/>
                <w:lang w:val="en-US" w:eastAsia="zh-CN"/>
              </w:rPr>
              <w:t>s well known that this requirement is tightly related with the NR number of each supported channel bandwidth and SCS,  therefore it could be expected that corresponding requirement definition is still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rPr>
                <w:lang w:val="en-US"/>
              </w:rPr>
            </w:pPr>
            <w:bookmarkStart w:id="40" w:name="_Toc36817398"/>
            <w:bookmarkStart w:id="41" w:name="_Toc29811846"/>
            <w:bookmarkStart w:id="42" w:name="_Toc44712311"/>
            <w:bookmarkStart w:id="43" w:name="_Toc45893624"/>
            <w:bookmarkStart w:id="44" w:name="_Toc37260320"/>
            <w:bookmarkStart w:id="45" w:name="_Toc21127637"/>
            <w:bookmarkStart w:id="46" w:name="_Toc37267708"/>
            <w:r>
              <w:rPr>
                <w:lang w:val="en-US"/>
              </w:rPr>
              <w:t>9.5</w:t>
            </w:r>
            <w:r>
              <w:rPr>
                <w:rFonts w:hint="eastAsia"/>
                <w:lang w:val="en-US" w:eastAsia="zh-CN"/>
              </w:rPr>
              <w:t>.</w:t>
            </w:r>
            <w:r>
              <w:rPr>
                <w:lang w:val="en-US"/>
              </w:rPr>
              <w:t>OTA transmit ON/OFF power</w:t>
            </w:r>
            <w:bookmarkEnd w:id="40"/>
            <w:bookmarkEnd w:id="41"/>
            <w:bookmarkEnd w:id="42"/>
            <w:bookmarkEnd w:id="43"/>
            <w:bookmarkEnd w:id="44"/>
            <w:bookmarkEnd w:id="45"/>
            <w:bookmarkEnd w:id="46"/>
          </w:p>
          <w:p>
            <w:pPr>
              <w:widowControl w:val="0"/>
              <w:jc w:val="both"/>
              <w:rPr>
                <w:rFonts w:hint="default"/>
                <w:lang w:val="en-US" w:eastAsia="zh-CN"/>
              </w:rPr>
            </w:pPr>
          </w:p>
        </w:tc>
        <w:tc>
          <w:tcPr>
            <w:tcW w:w="6457" w:type="dxa"/>
            <w:noWrap w:val="0"/>
            <w:vAlign w:val="top"/>
          </w:tcPr>
          <w:p>
            <w:pPr>
              <w:widowControl w:val="0"/>
              <w:jc w:val="both"/>
              <w:rPr>
                <w:lang w:val="en-US"/>
              </w:rPr>
            </w:pPr>
            <w:r>
              <w:rPr>
                <w:rFonts w:hint="eastAsia"/>
                <w:lang w:val="en-US" w:eastAsia="zh-CN"/>
              </w:rPr>
              <w:t xml:space="preserve">9.5.1. </w:t>
            </w:r>
            <w:r>
              <w:rPr>
                <w:lang w:val="en-US"/>
              </w:rPr>
              <w:t>OTA transmitter OFF power</w:t>
            </w:r>
          </w:p>
          <w:p>
            <w:pPr>
              <w:widowControl w:val="0"/>
              <w:jc w:val="both"/>
              <w:rPr>
                <w:rFonts w:hint="default"/>
                <w:lang w:val="en-US" w:eastAsia="zh-CN"/>
              </w:rPr>
            </w:pPr>
            <w:r>
              <w:rPr>
                <w:rFonts w:hint="eastAsia"/>
                <w:lang w:val="en-US" w:eastAsia="zh-CN"/>
              </w:rPr>
              <w:t xml:space="preserve">For OTA  transmitter OFF power, this is based on link budget calculation to protect the surrounding victim BS. For increasing operation frequency for 60GHz and larger antenna array expected, these tow factor would be </w:t>
            </w:r>
            <w:r>
              <w:rPr>
                <w:lang w:val="en-US" w:eastAsia="zh-CN"/>
              </w:rPr>
              <w:t>counteracted</w:t>
            </w:r>
            <w:r>
              <w:rPr>
                <w:rFonts w:hint="eastAsia"/>
                <w:lang w:val="en-US" w:eastAsia="zh-CN"/>
              </w:rPr>
              <w:t xml:space="preserve"> together at the end, in other words, the same requirement of existing FR2 could be applied for 60GHz.  </w:t>
            </w:r>
          </w:p>
          <w:p>
            <w:pPr>
              <w:widowControl w:val="0"/>
              <w:jc w:val="both"/>
              <w:rPr>
                <w:lang w:val="en-US"/>
              </w:rPr>
            </w:pPr>
            <w:r>
              <w:rPr>
                <w:rFonts w:hint="eastAsia"/>
                <w:lang w:val="en-US" w:eastAsia="zh-CN"/>
              </w:rPr>
              <w:t xml:space="preserve">9.5.2. </w:t>
            </w:r>
            <w:r>
              <w:rPr>
                <w:lang w:val="en-US"/>
              </w:rPr>
              <w:t>OTA transient period</w:t>
            </w:r>
          </w:p>
          <w:p>
            <w:pPr>
              <w:widowControl w:val="0"/>
              <w:jc w:val="both"/>
              <w:rPr>
                <w:rFonts w:hint="default"/>
                <w:lang w:val="en-US" w:eastAsia="zh-CN"/>
              </w:rPr>
            </w:pPr>
            <w:r>
              <w:rPr>
                <w:rFonts w:hint="eastAsia"/>
                <w:lang w:val="en-US" w:eastAsia="zh-CN"/>
              </w:rPr>
              <w:t xml:space="preserve">For OTA transient period, this needs more discussion as the overhead for 480kHz and 960kHz SCS might be too high. In addition, PLL settling time and the time for transceiver/PA switching on might be faster due to the increasing operating frequency and sampling rate. There is also one related LS sent from RAN1 needed to be reply in the coming RAN4 meetings.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rPr>
                <w:lang w:val="en-US"/>
              </w:rPr>
            </w:pPr>
            <w:bookmarkStart w:id="47" w:name="_Toc44712321"/>
            <w:bookmarkStart w:id="48" w:name="_Toc37267718"/>
            <w:bookmarkStart w:id="49" w:name="_Toc36817408"/>
            <w:bookmarkStart w:id="50" w:name="_Toc21127647"/>
            <w:bookmarkStart w:id="51" w:name="_Toc37260330"/>
            <w:bookmarkStart w:id="52" w:name="_Toc29811856"/>
            <w:bookmarkStart w:id="53" w:name="_Toc45893634"/>
            <w:r>
              <w:rPr>
                <w:lang w:val="en-US"/>
              </w:rPr>
              <w:t>9.6</w:t>
            </w:r>
            <w:r>
              <w:rPr>
                <w:rFonts w:hint="eastAsia"/>
                <w:lang w:val="en-US" w:eastAsia="zh-CN"/>
              </w:rPr>
              <w:t>.</w:t>
            </w:r>
            <w:r>
              <w:rPr>
                <w:lang w:val="en-US"/>
              </w:rPr>
              <w:t>OTA transmitted signal quality</w:t>
            </w:r>
            <w:bookmarkEnd w:id="47"/>
            <w:bookmarkEnd w:id="48"/>
            <w:bookmarkEnd w:id="49"/>
            <w:bookmarkEnd w:id="50"/>
            <w:bookmarkEnd w:id="51"/>
            <w:bookmarkEnd w:id="52"/>
            <w:bookmarkEnd w:id="53"/>
          </w:p>
          <w:p>
            <w:pPr>
              <w:widowControl w:val="0"/>
              <w:jc w:val="both"/>
              <w:rPr>
                <w:rFonts w:hint="default"/>
                <w:lang w:val="en-US" w:eastAsia="zh-CN"/>
              </w:rPr>
            </w:pPr>
          </w:p>
        </w:tc>
        <w:tc>
          <w:tcPr>
            <w:tcW w:w="6457" w:type="dxa"/>
            <w:noWrap w:val="0"/>
            <w:vAlign w:val="top"/>
          </w:tcPr>
          <w:p>
            <w:pPr>
              <w:widowControl w:val="0"/>
              <w:jc w:val="both"/>
              <w:rPr>
                <w:lang w:val="en-US"/>
              </w:rPr>
            </w:pPr>
            <w:r>
              <w:rPr>
                <w:rFonts w:hint="eastAsia"/>
                <w:lang w:val="en-US" w:eastAsia="zh-CN"/>
              </w:rPr>
              <w:t xml:space="preserve">9.6.1. </w:t>
            </w:r>
            <w:r>
              <w:rPr>
                <w:lang w:val="en-US"/>
              </w:rPr>
              <w:t>OTA frequency error</w:t>
            </w:r>
          </w:p>
          <w:p>
            <w:pPr>
              <w:widowControl w:val="0"/>
              <w:jc w:val="both"/>
              <w:rPr>
                <w:rFonts w:hint="default"/>
                <w:lang w:val="en-US"/>
              </w:rPr>
            </w:pPr>
            <w:r>
              <w:rPr>
                <w:rFonts w:hint="eastAsia"/>
                <w:lang w:val="en-US" w:eastAsia="zh-CN"/>
              </w:rPr>
              <w:t>The same requirements for existing FR2 could be applied for 60GHz and don</w:t>
            </w:r>
            <w:r>
              <w:rPr>
                <w:rFonts w:hint="default"/>
                <w:lang w:val="en-US" w:eastAsia="zh-CN"/>
              </w:rPr>
              <w:t>’</w:t>
            </w:r>
            <w:r>
              <w:rPr>
                <w:rFonts w:hint="eastAsia"/>
                <w:lang w:val="en-US" w:eastAsia="zh-CN"/>
              </w:rPr>
              <w:t>t see much difficulty to meet that requirement.</w:t>
            </w:r>
          </w:p>
          <w:p>
            <w:pPr>
              <w:widowControl w:val="0"/>
              <w:jc w:val="both"/>
              <w:rPr>
                <w:lang w:val="en-US"/>
              </w:rPr>
            </w:pPr>
            <w:r>
              <w:rPr>
                <w:rFonts w:hint="eastAsia"/>
                <w:lang w:val="en-US" w:eastAsia="zh-CN"/>
              </w:rPr>
              <w:t xml:space="preserve">9.6.2. </w:t>
            </w:r>
            <w:r>
              <w:rPr>
                <w:lang w:val="en-US"/>
              </w:rPr>
              <w:t>OTA modulation quality</w:t>
            </w:r>
          </w:p>
          <w:p>
            <w:pPr>
              <w:widowControl w:val="0"/>
              <w:jc w:val="both"/>
              <w:rPr>
                <w:rFonts w:hint="eastAsia"/>
                <w:lang w:val="en-US" w:eastAsia="zh-CN"/>
              </w:rPr>
            </w:pPr>
            <w:r>
              <w:rPr>
                <w:rFonts w:hint="eastAsia"/>
                <w:lang w:val="en-US" w:eastAsia="zh-CN"/>
              </w:rPr>
              <w:t xml:space="preserve">Except for 256QAM, other modulation order (e.g. QPSK, 16QAM, 64QAM) should also be supported along with same EVM requirement as the existing FR2 as there are no modulation and coding scheme updates in RAN1 for 60GHz. </w:t>
            </w:r>
          </w:p>
          <w:p>
            <w:pPr>
              <w:widowControl w:val="0"/>
              <w:jc w:val="both"/>
              <w:rPr>
                <w:rFonts w:hint="default"/>
                <w:lang w:val="en-US" w:eastAsia="zh-CN"/>
              </w:rPr>
            </w:pPr>
            <w:r>
              <w:rPr>
                <w:rFonts w:hint="eastAsia"/>
                <w:lang w:val="en-US" w:eastAsia="zh-CN"/>
              </w:rPr>
              <w:t xml:space="preserve">In addition, PT-RS configuration in EVM test might be further checked if there are any new PT-RS patterns defined in RAN1. </w:t>
            </w:r>
          </w:p>
          <w:p>
            <w:pPr>
              <w:widowControl w:val="0"/>
              <w:jc w:val="both"/>
              <w:rPr>
                <w:lang w:val="en-US"/>
              </w:rPr>
            </w:pPr>
            <w:r>
              <w:rPr>
                <w:rFonts w:hint="eastAsia"/>
                <w:lang w:val="en-US" w:eastAsia="zh-CN"/>
              </w:rPr>
              <w:t xml:space="preserve">9..6.3. </w:t>
            </w:r>
            <w:r>
              <w:rPr>
                <w:lang w:val="en-US"/>
              </w:rPr>
              <w:t>OTA time alignment error</w:t>
            </w:r>
          </w:p>
          <w:p>
            <w:pPr>
              <w:widowControl w:val="0"/>
              <w:jc w:val="both"/>
              <w:rPr>
                <w:rFonts w:hint="default" w:eastAsiaTheme="minorEastAsia"/>
                <w:lang w:val="en-US" w:eastAsia="zh-CN"/>
              </w:rPr>
            </w:pPr>
            <w:r>
              <w:rPr>
                <w:rFonts w:hint="eastAsia"/>
                <w:color w:val="auto"/>
                <w:lang w:val="en-US" w:eastAsia="zh-CN"/>
              </w:rPr>
              <w:t xml:space="preserve">For 60GHz with 480kHz and 960kHz, CP length could be 146ns and 73ns correspondingly, then TAE requirement 65ns for MIMO transmission is not appropriate value anymore, the further link level evaluation for 60GHz MIMO transmission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rPr>
                <w:lang w:val="en-US"/>
              </w:rPr>
            </w:pPr>
            <w:bookmarkStart w:id="54" w:name="_Toc37267732"/>
            <w:bookmarkStart w:id="55" w:name="_Toc21127661"/>
            <w:bookmarkStart w:id="56" w:name="_Toc29811870"/>
            <w:bookmarkStart w:id="57" w:name="_Toc37260344"/>
            <w:bookmarkStart w:id="58" w:name="_Toc44712335"/>
            <w:bookmarkStart w:id="59" w:name="_Toc45893648"/>
            <w:bookmarkStart w:id="60" w:name="_Toc36817422"/>
            <w:r>
              <w:rPr>
                <w:lang w:val="en-US"/>
              </w:rPr>
              <w:t>9.7</w:t>
            </w:r>
            <w:r>
              <w:rPr>
                <w:rFonts w:hint="eastAsia"/>
                <w:lang w:val="en-US" w:eastAsia="zh-CN"/>
              </w:rPr>
              <w:t>.</w:t>
            </w:r>
            <w:r>
              <w:rPr>
                <w:lang w:val="en-US"/>
              </w:rPr>
              <w:t>OTA unwanted emissions</w:t>
            </w:r>
            <w:bookmarkEnd w:id="54"/>
            <w:bookmarkEnd w:id="55"/>
            <w:bookmarkEnd w:id="56"/>
            <w:bookmarkEnd w:id="57"/>
            <w:bookmarkEnd w:id="58"/>
            <w:bookmarkEnd w:id="59"/>
            <w:bookmarkEnd w:id="60"/>
          </w:p>
          <w:p>
            <w:pPr>
              <w:widowControl w:val="0"/>
              <w:jc w:val="both"/>
              <w:rPr>
                <w:rFonts w:hint="default"/>
                <w:lang w:val="en-US" w:eastAsia="zh-CN"/>
              </w:rPr>
            </w:pPr>
          </w:p>
        </w:tc>
        <w:tc>
          <w:tcPr>
            <w:tcW w:w="6457" w:type="dxa"/>
            <w:noWrap w:val="0"/>
            <w:vAlign w:val="top"/>
          </w:tcPr>
          <w:p>
            <w:pPr>
              <w:widowControl w:val="0"/>
              <w:jc w:val="both"/>
              <w:rPr>
                <w:lang w:val="en-US"/>
              </w:rPr>
            </w:pPr>
            <w:r>
              <w:rPr>
                <w:rFonts w:hint="eastAsia"/>
                <w:lang w:val="en-US" w:eastAsia="zh-CN"/>
              </w:rPr>
              <w:t xml:space="preserve">9.7.1. </w:t>
            </w:r>
            <w:r>
              <w:rPr>
                <w:lang w:val="en-US"/>
              </w:rPr>
              <w:t>OTA occupied bandwidth</w:t>
            </w:r>
          </w:p>
          <w:p>
            <w:pPr>
              <w:widowControl w:val="0"/>
              <w:jc w:val="both"/>
              <w:rPr>
                <w:rFonts w:hint="default" w:eastAsiaTheme="minorEastAsia"/>
                <w:lang w:val="en-US" w:eastAsia="zh-CN"/>
              </w:rPr>
            </w:pPr>
            <w:r>
              <w:rPr>
                <w:rFonts w:hint="eastAsia"/>
                <w:lang w:val="en-US" w:eastAsia="zh-CN"/>
              </w:rPr>
              <w:t xml:space="preserve">For the occupied channel bandwidth, it mainly follow the regulatory requirements like </w:t>
            </w:r>
            <w:r>
              <w:t>ITU-R SM.328</w:t>
            </w:r>
            <w:r>
              <w:rPr>
                <w:rFonts w:hint="eastAsia"/>
                <w:lang w:val="en-US" w:eastAsia="zh-CN"/>
              </w:rPr>
              <w:t xml:space="preserve">, the same principle for 60GHz could be applied. </w:t>
            </w:r>
          </w:p>
          <w:p>
            <w:pPr>
              <w:widowControl w:val="0"/>
              <w:jc w:val="both"/>
              <w:rPr>
                <w:lang w:val="en-US"/>
              </w:rPr>
            </w:pPr>
            <w:r>
              <w:rPr>
                <w:rFonts w:hint="eastAsia"/>
                <w:lang w:val="en-US" w:eastAsia="zh-CN"/>
              </w:rPr>
              <w:t xml:space="preserve">9.7.2. </w:t>
            </w:r>
            <w:r>
              <w:rPr>
                <w:lang w:val="en-US"/>
              </w:rPr>
              <w:t>OTA Adjacent Channel Leakage Power Ratio (ACLR)</w:t>
            </w:r>
          </w:p>
          <w:p>
            <w:pPr>
              <w:widowControl w:val="0"/>
              <w:jc w:val="both"/>
              <w:rPr>
                <w:rFonts w:hint="default" w:eastAsiaTheme="minorEastAsia"/>
                <w:lang w:val="en-US" w:eastAsia="zh-CN"/>
              </w:rPr>
            </w:pPr>
            <w:r>
              <w:rPr>
                <w:rFonts w:hint="eastAsia"/>
                <w:lang w:val="en-US" w:eastAsia="zh-CN"/>
              </w:rPr>
              <w:t>For BS ACLR requirements for 60GHz, based on the simulation results in Rel-14 and agreement made as captured in TR 38.803, then BS ACLR requirement for 60GHz could be 24dB with upper numbering.</w:t>
            </w:r>
          </w:p>
          <w:p>
            <w:pPr>
              <w:pStyle w:val="35"/>
              <w:widowControl w:val="0"/>
              <w:rPr>
                <w:rFonts w:hint="eastAsia"/>
                <w:lang w:eastAsia="ja-JP"/>
              </w:rPr>
            </w:pPr>
            <w:r>
              <w:rPr>
                <w:rFonts w:hint="eastAsia"/>
                <w:lang w:eastAsia="ja-JP"/>
              </w:rPr>
              <w:t>Table 5.5-</w:t>
            </w:r>
            <w:r>
              <w:rPr>
                <w:lang w:eastAsia="ja-JP"/>
              </w:rPr>
              <w:t>11</w:t>
            </w:r>
            <w:r>
              <w:rPr>
                <w:rFonts w:hint="eastAsia"/>
                <w:lang w:eastAsia="ja-JP"/>
              </w:rPr>
              <w:t>: BS ACLR</w:t>
            </w:r>
          </w:p>
          <w:tbl>
            <w:tblPr>
              <w:tblStyle w:val="11"/>
              <w:tblW w:w="4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1580"/>
              <w:gridCol w:w="940"/>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　</w:t>
                  </w:r>
                </w:p>
              </w:tc>
              <w:tc>
                <w:tcPr>
                  <w:tcW w:w="94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30GHz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45GHz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70GHz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BS</w:t>
                  </w:r>
                  <w:r>
                    <w:rPr>
                      <w:rFonts w:hint="eastAsia" w:ascii="Arial" w:hAnsi="Arial" w:eastAsia="MS PGothic" w:cs="Arial"/>
                      <w:b/>
                      <w:bCs/>
                      <w:sz w:val="18"/>
                      <w:szCs w:val="18"/>
                      <w:lang w:eastAsia="ja-JP"/>
                    </w:rPr>
                    <w:t xml:space="preserve"> </w:t>
                  </w:r>
                  <w:r>
                    <w:rPr>
                      <w:rFonts w:ascii="Arial" w:hAnsi="Arial" w:eastAsia="MS PGothic" w:cs="Arial"/>
                      <w:b/>
                      <w:bCs/>
                      <w:sz w:val="18"/>
                      <w:szCs w:val="18"/>
                      <w:lang w:eastAsia="ja-JP"/>
                    </w:rPr>
                    <w:t>AC</w:t>
                  </w:r>
                  <w:r>
                    <w:rPr>
                      <w:rFonts w:hint="eastAsia" w:ascii="Arial" w:hAnsi="Arial" w:eastAsia="MS PGothic" w:cs="Arial"/>
                      <w:b/>
                      <w:bCs/>
                      <w:sz w:val="18"/>
                      <w:szCs w:val="18"/>
                      <w:lang w:eastAsia="ja-JP"/>
                    </w:rPr>
                    <w:t>L</w:t>
                  </w:r>
                  <w:r>
                    <w:rPr>
                      <w:rFonts w:ascii="Arial" w:hAnsi="Arial" w:eastAsia="MS PGothic" w:cs="Arial"/>
                      <w:b/>
                      <w:bCs/>
                      <w:sz w:val="18"/>
                      <w:szCs w:val="18"/>
                      <w:lang w:eastAsia="ja-JP"/>
                    </w:rPr>
                    <w:t>R value</w:t>
                  </w:r>
                  <w:r>
                    <w:rPr>
                      <w:rFonts w:hint="eastAsia" w:ascii="Arial" w:hAnsi="Arial" w:eastAsia="MS PGothic" w:cs="Arial"/>
                      <w:b/>
                      <w:bCs/>
                      <w:sz w:val="18"/>
                      <w:szCs w:val="18"/>
                      <w:lang w:eastAsia="ja-JP"/>
                    </w:rPr>
                    <w:t xml:space="preserve"> [dB]</w:t>
                  </w:r>
                </w:p>
              </w:tc>
              <w:tc>
                <w:tcPr>
                  <w:tcW w:w="94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27.5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25.5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23.5</w:t>
                  </w:r>
                </w:p>
              </w:tc>
            </w:tr>
          </w:tbl>
          <w:p>
            <w:pPr>
              <w:widowControl w:val="0"/>
              <w:jc w:val="both"/>
              <w:rPr>
                <w:lang w:val="en-US"/>
              </w:rPr>
            </w:pPr>
          </w:p>
          <w:p>
            <w:pPr>
              <w:widowControl w:val="0"/>
              <w:jc w:val="both"/>
              <w:rPr>
                <w:lang w:val="en-US"/>
              </w:rPr>
            </w:pPr>
          </w:p>
          <w:p>
            <w:pPr>
              <w:widowControl w:val="0"/>
              <w:jc w:val="both"/>
              <w:rPr>
                <w:lang w:val="en-US"/>
              </w:rPr>
            </w:pPr>
            <w:r>
              <w:rPr>
                <w:rFonts w:hint="eastAsia"/>
                <w:lang w:val="en-US" w:eastAsia="zh-CN"/>
              </w:rPr>
              <w:t xml:space="preserve">9.7.3. </w:t>
            </w:r>
            <w:r>
              <w:rPr>
                <w:lang w:val="en-US"/>
              </w:rPr>
              <w:t>OTA</w:t>
            </w:r>
            <w:bookmarkStart w:id="61" w:name="_Hlk496084370"/>
            <w:r>
              <w:rPr>
                <w:lang w:val="en-US"/>
              </w:rPr>
              <w:t xml:space="preserve"> operating band unwanted emissions</w:t>
            </w:r>
            <w:bookmarkEnd w:id="61"/>
          </w:p>
          <w:p>
            <w:pPr>
              <w:widowControl w:val="0"/>
              <w:jc w:val="both"/>
              <w:rPr>
                <w:rFonts w:hint="eastAsia"/>
                <w:lang w:val="en-US" w:eastAsia="zh-CN"/>
              </w:rPr>
            </w:pPr>
            <w:r>
              <w:rPr>
                <w:rFonts w:hint="eastAsia"/>
                <w:lang w:val="en-US" w:eastAsia="zh-CN"/>
              </w:rPr>
              <w:t>For BS UEM requirements of 60GHz,  for b</w:t>
            </w:r>
            <w:r>
              <w:t>oundary between OOB and spurious domain limits should be applied according ITU-R SM.1539 recommendation</w:t>
            </w:r>
            <w:r>
              <w:rPr>
                <w:rFonts w:hint="eastAsia"/>
                <w:lang w:val="en-US" w:eastAsia="zh-CN"/>
              </w:rPr>
              <w:t>.</w:t>
            </w:r>
          </w:p>
          <w:p>
            <w:pPr>
              <w:widowControl w:val="0"/>
              <w:jc w:val="both"/>
              <w:rPr>
                <w:rFonts w:hint="default"/>
                <w:lang w:val="en-US" w:eastAsia="zh-CN"/>
              </w:rPr>
            </w:pPr>
            <w:r>
              <w:rPr>
                <w:rFonts w:hint="eastAsia"/>
                <w:lang w:val="en-US" w:eastAsia="zh-CN"/>
              </w:rPr>
              <w:t>In addition, for maximum output power for 60GHz might also been different from that of 28GHz and 45GHz, therefore the proposed power levels in the UEM would also been impacted.</w:t>
            </w:r>
          </w:p>
          <w:p>
            <w:pPr>
              <w:widowControl w:val="0"/>
              <w:jc w:val="both"/>
              <w:rPr>
                <w:lang w:val="en-US"/>
              </w:rPr>
            </w:pPr>
            <w:r>
              <w:rPr>
                <w:rFonts w:hint="eastAsia"/>
                <w:lang w:val="en-US" w:eastAsia="zh-CN"/>
              </w:rPr>
              <w:t xml:space="preserve">9.7.4 </w:t>
            </w:r>
            <w:r>
              <w:rPr>
                <w:lang w:val="en-US"/>
              </w:rPr>
              <w:t>OTA transmitter spurious emissions</w:t>
            </w:r>
          </w:p>
          <w:p>
            <w:pPr>
              <w:widowControl w:val="0"/>
              <w:jc w:val="both"/>
              <w:rPr>
                <w:rFonts w:hint="eastAsia"/>
                <w:lang w:val="en-US" w:eastAsia="zh-CN"/>
              </w:rPr>
            </w:pPr>
            <w:r>
              <w:rPr>
                <w:rFonts w:hint="eastAsia"/>
                <w:lang w:val="en-US" w:eastAsia="zh-CN"/>
              </w:rPr>
              <w:t>For  Cat A spurious emission, this is mainly replying on the regulatory requirements,  therefore the  requirement for existing FR2 could also been applied.</w:t>
            </w:r>
          </w:p>
          <w:p>
            <w:pPr>
              <w:widowControl w:val="0"/>
              <w:jc w:val="both"/>
              <w:rPr>
                <w:rFonts w:hint="default"/>
                <w:lang w:val="en-US" w:eastAsia="zh-CN"/>
              </w:rPr>
            </w:pPr>
            <w:r>
              <w:rPr>
                <w:rFonts w:hint="eastAsia"/>
                <w:lang w:val="en-US" w:eastAsia="zh-CN"/>
              </w:rPr>
              <w:t>For Cat BS spurious emission requirement, since this is band related requirement which needs clear band definition and some band specific filter evaluation, therefore we propose to postpone the discussion until there is clear band definition agreed in future.</w:t>
            </w:r>
          </w:p>
          <w:p>
            <w:pPr>
              <w:widowControl w:val="0"/>
              <w:jc w:val="both"/>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rPr>
                <w:lang w:val="en-US"/>
              </w:rPr>
            </w:pPr>
            <w:bookmarkStart w:id="62" w:name="_Toc44712372"/>
            <w:bookmarkStart w:id="63" w:name="_Toc45893684"/>
            <w:r>
              <w:rPr>
                <w:lang w:val="en-US"/>
              </w:rPr>
              <w:t>9.8</w:t>
            </w:r>
            <w:r>
              <w:rPr>
                <w:rFonts w:hint="eastAsia"/>
                <w:lang w:val="en-US" w:eastAsia="zh-CN"/>
              </w:rPr>
              <w:t>.</w:t>
            </w:r>
            <w:r>
              <w:rPr>
                <w:lang w:val="en-US"/>
              </w:rPr>
              <w:t>OTA</w:t>
            </w:r>
            <w:r>
              <w:rPr>
                <w:rFonts w:hint="eastAsia"/>
                <w:lang w:val="en-US" w:eastAsia="zh-CN"/>
              </w:rPr>
              <w:t xml:space="preserve"> </w:t>
            </w:r>
            <w:r>
              <w:rPr>
                <w:lang w:val="en-US"/>
              </w:rPr>
              <w:t>transmitter intermodulation</w:t>
            </w:r>
            <w:bookmarkEnd w:id="62"/>
            <w:bookmarkEnd w:id="63"/>
          </w:p>
          <w:p>
            <w:pPr>
              <w:widowControl w:val="0"/>
              <w:jc w:val="both"/>
              <w:rPr>
                <w:rFonts w:hint="default"/>
                <w:lang w:val="en-US" w:eastAsia="zh-CN"/>
              </w:rPr>
            </w:pPr>
          </w:p>
        </w:tc>
        <w:tc>
          <w:tcPr>
            <w:tcW w:w="6457" w:type="dxa"/>
            <w:noWrap w:val="0"/>
            <w:vAlign w:val="top"/>
          </w:tcPr>
          <w:p>
            <w:pPr>
              <w:widowControl w:val="0"/>
              <w:jc w:val="both"/>
              <w:rPr>
                <w:rFonts w:hint="default"/>
                <w:lang w:val="en-US" w:eastAsia="zh-CN"/>
              </w:rPr>
            </w:pPr>
            <w:r>
              <w:rPr>
                <w:rFonts w:hint="eastAsia"/>
                <w:lang w:val="en-US" w:eastAsia="zh-CN"/>
              </w:rPr>
              <w:t>For the existing FR2,  due to the larger isolation between interfering BS and victim BS, then there is no need to define Tx intermodulation requirements for FR2 and it</w:t>
            </w:r>
            <w:r>
              <w:rPr>
                <w:rFonts w:hint="default"/>
                <w:lang w:val="en-US" w:eastAsia="zh-CN"/>
              </w:rPr>
              <w:t>’</w:t>
            </w:r>
            <w:r>
              <w:rPr>
                <w:rFonts w:hint="eastAsia"/>
                <w:lang w:val="en-US" w:eastAsia="zh-CN"/>
              </w:rPr>
              <w:t xml:space="preserve">s also applicable for 60GHz.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rPr>
                <w:rFonts w:hint="eastAsia"/>
                <w:lang w:val="en-US" w:eastAsia="zh-CN"/>
              </w:rPr>
            </w:pPr>
            <w:r>
              <w:rPr>
                <w:rFonts w:hint="eastAsia"/>
                <w:lang w:val="en-US" w:eastAsia="zh-CN"/>
              </w:rPr>
              <w:t>Annex C:</w:t>
            </w:r>
          </w:p>
          <w:p>
            <w:pPr>
              <w:widowControl w:val="0"/>
              <w:jc w:val="both"/>
              <w:rPr>
                <w:rFonts w:hint="default"/>
                <w:lang w:val="en-US" w:eastAsia="zh-CN"/>
              </w:rPr>
            </w:pPr>
            <w:r>
              <w:rPr>
                <w:rFonts w:hint="eastAsia"/>
                <w:lang w:val="en-US" w:eastAsia="zh-CN"/>
              </w:rPr>
              <w:t>EVM measurement related</w:t>
            </w:r>
          </w:p>
        </w:tc>
        <w:tc>
          <w:tcPr>
            <w:tcW w:w="6457" w:type="dxa"/>
            <w:noWrap w:val="0"/>
            <w:vAlign w:val="top"/>
          </w:tcPr>
          <w:p>
            <w:pPr>
              <w:widowControl w:val="0"/>
              <w:jc w:val="both"/>
              <w:rPr>
                <w:rFonts w:hint="default"/>
                <w:lang w:val="en-US" w:eastAsia="zh-CN"/>
              </w:rPr>
            </w:pPr>
            <w:r>
              <w:rPr>
                <w:rFonts w:hint="eastAsia"/>
                <w:lang w:val="en-US" w:eastAsia="zh-CN"/>
              </w:rPr>
              <w:t>For the general EVM testing procedure of FR2, it could also been applicable for 60GHz, however for EVM window length requirement, it is tightly related with BW/SCS and in-band/out-of-band emission requirements, therefore we propose to postpone the discussion until clear channel bandwidth and in-band/out-of-band requirement has been defined.</w:t>
            </w:r>
          </w:p>
        </w:tc>
      </w:tr>
    </w:tbl>
    <w:p>
      <w:pPr>
        <w:rPr>
          <w:rFonts w:hint="default" w:ascii="Times New Roman" w:hAnsi="Times New Roman" w:cs="Times New Roman"/>
          <w:sz w:val="20"/>
          <w:szCs w:val="20"/>
          <w:lang w:val="en-US" w:eastAsia="zh-CN"/>
        </w:rPr>
      </w:pPr>
    </w:p>
    <w:p>
      <w:pPr>
        <w:pStyle w:val="29"/>
        <w:ind w:left="357" w:hanging="357"/>
      </w:pPr>
      <w:r>
        <w:rPr>
          <w:rFonts w:hint="eastAsia"/>
          <w:lang w:val="en-US" w:eastAsia="zh-CN"/>
        </w:rPr>
        <w:t>Conclusion</w:t>
      </w:r>
    </w:p>
    <w:p>
      <w:pPr>
        <w:widowControl w:val="0"/>
        <w:jc w:val="both"/>
        <w:rPr>
          <w:rFonts w:hint="default"/>
          <w:lang w:val="en-US" w:eastAsia="zh-CN"/>
        </w:rPr>
      </w:pPr>
      <w:r>
        <w:rPr>
          <w:rFonts w:hint="eastAsia"/>
          <w:lang w:val="en-US" w:eastAsia="zh-CN"/>
        </w:rPr>
        <w:t>In this contribution, we want to share general overview how to define the BS Tx requirements for 60GHz.</w:t>
      </w:r>
    </w:p>
    <w:p>
      <w:pPr>
        <w:pStyle w:val="29"/>
        <w:ind w:left="357" w:hanging="357"/>
      </w:pPr>
      <w:r>
        <w:rPr>
          <w:rFonts w:hint="eastAsia"/>
          <w:lang w:val="en-US" w:eastAsia="zh-CN"/>
        </w:rPr>
        <w:t>Reference</w:t>
      </w:r>
    </w:p>
    <w:p>
      <w:pPr>
        <w:numPr>
          <w:ilvl w:val="0"/>
          <w:numId w:val="3"/>
        </w:num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TR 38.808.</w:t>
      </w:r>
    </w:p>
    <w:p>
      <w:pPr>
        <w:numPr>
          <w:ilvl w:val="0"/>
          <w:numId w:val="3"/>
        </w:num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RP-21086, revised WID for 52.6-71GHz, CMCC, approved.</w:t>
      </w:r>
    </w:p>
    <w:p>
      <w:pPr>
        <w:pStyle w:val="9"/>
        <w:tabs>
          <w:tab w:val="right" w:pos="10440"/>
          <w:tab w:val="right" w:pos="13323"/>
        </w:tabs>
        <w:rPr>
          <w:rFonts w:hint="default" w:eastAsia="宋体" w:cs="Arial"/>
          <w:sz w:val="24"/>
          <w:szCs w:val="24"/>
          <w:lang w:val="en-US" w:eastAsia="ja-JP"/>
        </w:rPr>
      </w:pPr>
    </w:p>
    <w:p>
      <w:pPr>
        <w:rPr>
          <w:rFonts w:hint="default" w:ascii="Times New Roman" w:hAnsi="Times New Roman" w:cs="Times New Roman"/>
          <w:sz w:val="20"/>
          <w:szCs w:val="20"/>
          <w:lang w:val="en-US" w:eastAsia="zh-CN"/>
        </w:rPr>
      </w:pPr>
    </w:p>
    <w:p>
      <w:pPr>
        <w:rPr>
          <w:rFonts w:hint="default" w:ascii="Times New Roman" w:hAnsi="Times New Roman" w:cs="Times New Roman"/>
          <w:sz w:val="20"/>
          <w:szCs w:val="20"/>
          <w:lang w:val="en-US" w:eastAsia="zh-CN"/>
        </w:rPr>
      </w:pPr>
    </w:p>
    <w:p>
      <w:pPr>
        <w:numPr>
          <w:ilvl w:val="0"/>
          <w:numId w:val="0"/>
        </w:numPr>
        <w:rPr>
          <w:rFonts w:hint="eastAsia" w:ascii="Times New Roman" w:hAnsi="Times New Roman" w:cs="Times New Roman"/>
          <w:lang w:val="en-US" w:eastAsia="zh-CN"/>
        </w:rPr>
      </w:pPr>
    </w:p>
    <w:p>
      <w:pPr>
        <w:rPr>
          <w:sz w:val="2"/>
          <w:szCs w:val="2"/>
          <w:lang w:val="en-GB"/>
        </w:rPr>
      </w:pPr>
    </w:p>
    <w:sectPr>
      <w:pgSz w:w="11906" w:h="16838"/>
      <w:pgMar w:top="1417" w:right="1134" w:bottom="1417" w:left="1134" w:header="708" w:footer="708" w:gutter="0"/>
      <w:pgBorders>
        <w:top w:val="single" w:color="auto" w:sz="4" w:space="1"/>
        <w:left w:val="single" w:color="auto" w:sz="4" w:space="4"/>
        <w:bottom w:val="single" w:color="auto" w:sz="4" w:space="1"/>
        <w:right w:val="single" w:color="auto" w:sz="4" w:space="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5F83DE84"/>
    <w:multiLevelType w:val="singleLevel"/>
    <w:tmpl w:val="5F83DE84"/>
    <w:lvl w:ilvl="0" w:tentative="0">
      <w:start w:val="1"/>
      <w:numFmt w:val="decimal"/>
      <w:suff w:val="space"/>
      <w:lvlText w:val="[%1]"/>
      <w:lvlJc w:val="left"/>
    </w:lvl>
  </w:abstractNum>
  <w:abstractNum w:abstractNumId="2">
    <w:nsid w:val="665C217B"/>
    <w:multiLevelType w:val="multilevel"/>
    <w:tmpl w:val="665C217B"/>
    <w:lvl w:ilvl="0" w:tentative="0">
      <w:start w:val="1"/>
      <w:numFmt w:val="decimal"/>
      <w:pStyle w:val="29"/>
      <w:lvlText w:val="%1"/>
      <w:lvlJc w:val="left"/>
      <w:pPr>
        <w:ind w:left="5322" w:hanging="360"/>
      </w:pPr>
      <w:rPr>
        <w:rFonts w:hint="default"/>
      </w:rPr>
    </w:lvl>
    <w:lvl w:ilvl="1" w:tentative="0">
      <w:start w:val="1"/>
      <w:numFmt w:val="decimal"/>
      <w:pStyle w:val="28"/>
      <w:lvlText w:val="%1.%2"/>
      <w:lvlJc w:val="left"/>
      <w:pPr>
        <w:ind w:left="792" w:hanging="432"/>
      </w:pPr>
      <w:rPr>
        <w:rFonts w:hint="default"/>
        <w:lang w:val="en-US"/>
      </w:rPr>
    </w:lvl>
    <w:lvl w:ilvl="2" w:tentative="0">
      <w:start w:val="1"/>
      <w:numFmt w:val="decimal"/>
      <w:pStyle w:val="31"/>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A6A"/>
    <w:rsid w:val="00046F87"/>
    <w:rsid w:val="00082DBA"/>
    <w:rsid w:val="000B2E84"/>
    <w:rsid w:val="000C0F73"/>
    <w:rsid w:val="000C2305"/>
    <w:rsid w:val="00122AA1"/>
    <w:rsid w:val="001342E1"/>
    <w:rsid w:val="00175954"/>
    <w:rsid w:val="001A1AB5"/>
    <w:rsid w:val="001D32A0"/>
    <w:rsid w:val="00250E71"/>
    <w:rsid w:val="00287C3E"/>
    <w:rsid w:val="002C1256"/>
    <w:rsid w:val="002E3CF4"/>
    <w:rsid w:val="002F169D"/>
    <w:rsid w:val="00327E6C"/>
    <w:rsid w:val="00346A07"/>
    <w:rsid w:val="00383D11"/>
    <w:rsid w:val="003B04FB"/>
    <w:rsid w:val="00493745"/>
    <w:rsid w:val="004B67A8"/>
    <w:rsid w:val="004C5466"/>
    <w:rsid w:val="004E7E9D"/>
    <w:rsid w:val="0050312E"/>
    <w:rsid w:val="00526459"/>
    <w:rsid w:val="00533501"/>
    <w:rsid w:val="00592F0F"/>
    <w:rsid w:val="005F4B9F"/>
    <w:rsid w:val="005F4D4C"/>
    <w:rsid w:val="00631CE4"/>
    <w:rsid w:val="00635802"/>
    <w:rsid w:val="00653678"/>
    <w:rsid w:val="0066786F"/>
    <w:rsid w:val="006A65C1"/>
    <w:rsid w:val="006B5BE9"/>
    <w:rsid w:val="006C0AED"/>
    <w:rsid w:val="006C59A2"/>
    <w:rsid w:val="006E0357"/>
    <w:rsid w:val="006F7242"/>
    <w:rsid w:val="00702E51"/>
    <w:rsid w:val="007464CF"/>
    <w:rsid w:val="007B6EF9"/>
    <w:rsid w:val="007C2B39"/>
    <w:rsid w:val="007C5A87"/>
    <w:rsid w:val="007E145E"/>
    <w:rsid w:val="00821446"/>
    <w:rsid w:val="008266A6"/>
    <w:rsid w:val="0084769B"/>
    <w:rsid w:val="00850585"/>
    <w:rsid w:val="00867845"/>
    <w:rsid w:val="0087697D"/>
    <w:rsid w:val="008A0FFE"/>
    <w:rsid w:val="008B02EF"/>
    <w:rsid w:val="008C0A4D"/>
    <w:rsid w:val="00902649"/>
    <w:rsid w:val="00907F01"/>
    <w:rsid w:val="00936EBA"/>
    <w:rsid w:val="00937031"/>
    <w:rsid w:val="009627CA"/>
    <w:rsid w:val="009873D9"/>
    <w:rsid w:val="009B75AE"/>
    <w:rsid w:val="009D0DF6"/>
    <w:rsid w:val="00A14548"/>
    <w:rsid w:val="00A33A8F"/>
    <w:rsid w:val="00A65080"/>
    <w:rsid w:val="00A747A1"/>
    <w:rsid w:val="00A767A5"/>
    <w:rsid w:val="00AE00F6"/>
    <w:rsid w:val="00AE698B"/>
    <w:rsid w:val="00AF57B8"/>
    <w:rsid w:val="00B6166E"/>
    <w:rsid w:val="00B712F1"/>
    <w:rsid w:val="00BE6601"/>
    <w:rsid w:val="00CA5C5D"/>
    <w:rsid w:val="00CC3291"/>
    <w:rsid w:val="00CD7649"/>
    <w:rsid w:val="00CE0568"/>
    <w:rsid w:val="00D16C2B"/>
    <w:rsid w:val="00DC0577"/>
    <w:rsid w:val="00DE384E"/>
    <w:rsid w:val="00E704F3"/>
    <w:rsid w:val="00EF45A5"/>
    <w:rsid w:val="00F54A4B"/>
    <w:rsid w:val="00F8093B"/>
    <w:rsid w:val="00FD0B27"/>
    <w:rsid w:val="011F2F24"/>
    <w:rsid w:val="0141562E"/>
    <w:rsid w:val="01682FF2"/>
    <w:rsid w:val="01A65967"/>
    <w:rsid w:val="01C04368"/>
    <w:rsid w:val="01C60D99"/>
    <w:rsid w:val="01EC722D"/>
    <w:rsid w:val="021B10D4"/>
    <w:rsid w:val="021F3ED0"/>
    <w:rsid w:val="022B19F1"/>
    <w:rsid w:val="02412FA9"/>
    <w:rsid w:val="0250155B"/>
    <w:rsid w:val="02591441"/>
    <w:rsid w:val="028A04A8"/>
    <w:rsid w:val="02B54368"/>
    <w:rsid w:val="02D115CF"/>
    <w:rsid w:val="02D53AE2"/>
    <w:rsid w:val="02E4064C"/>
    <w:rsid w:val="030D508A"/>
    <w:rsid w:val="03274C7D"/>
    <w:rsid w:val="03425F26"/>
    <w:rsid w:val="03994B2A"/>
    <w:rsid w:val="03A53295"/>
    <w:rsid w:val="03A54D9E"/>
    <w:rsid w:val="03B325A1"/>
    <w:rsid w:val="03BF3B89"/>
    <w:rsid w:val="03D97D89"/>
    <w:rsid w:val="03FB6F19"/>
    <w:rsid w:val="040666FF"/>
    <w:rsid w:val="045E05B4"/>
    <w:rsid w:val="0494734C"/>
    <w:rsid w:val="04B61819"/>
    <w:rsid w:val="04F82E8F"/>
    <w:rsid w:val="04F85A7A"/>
    <w:rsid w:val="05146C45"/>
    <w:rsid w:val="051830A0"/>
    <w:rsid w:val="056878B2"/>
    <w:rsid w:val="05735344"/>
    <w:rsid w:val="058F1907"/>
    <w:rsid w:val="05AA743D"/>
    <w:rsid w:val="05C84DFD"/>
    <w:rsid w:val="05CF5FA2"/>
    <w:rsid w:val="05D607C3"/>
    <w:rsid w:val="0610298E"/>
    <w:rsid w:val="06114D26"/>
    <w:rsid w:val="062B5503"/>
    <w:rsid w:val="06423291"/>
    <w:rsid w:val="0675264F"/>
    <w:rsid w:val="06A378CE"/>
    <w:rsid w:val="06E14A97"/>
    <w:rsid w:val="072B542B"/>
    <w:rsid w:val="0747465C"/>
    <w:rsid w:val="077B55C9"/>
    <w:rsid w:val="07802D7E"/>
    <w:rsid w:val="07AE5383"/>
    <w:rsid w:val="07C84095"/>
    <w:rsid w:val="07EE4F66"/>
    <w:rsid w:val="07F05D66"/>
    <w:rsid w:val="08164C71"/>
    <w:rsid w:val="083F6D06"/>
    <w:rsid w:val="08720720"/>
    <w:rsid w:val="08AF2F1A"/>
    <w:rsid w:val="08BB4ACF"/>
    <w:rsid w:val="08BE52F7"/>
    <w:rsid w:val="08EF47B0"/>
    <w:rsid w:val="08FD3C6C"/>
    <w:rsid w:val="08FE47BF"/>
    <w:rsid w:val="091631F9"/>
    <w:rsid w:val="093B63C7"/>
    <w:rsid w:val="094C2A62"/>
    <w:rsid w:val="09633366"/>
    <w:rsid w:val="09682172"/>
    <w:rsid w:val="096A56B8"/>
    <w:rsid w:val="099F6F22"/>
    <w:rsid w:val="09BB1A76"/>
    <w:rsid w:val="09FA7723"/>
    <w:rsid w:val="0A154DBC"/>
    <w:rsid w:val="0AC36AEE"/>
    <w:rsid w:val="0AE9496A"/>
    <w:rsid w:val="0B0D502B"/>
    <w:rsid w:val="0B3F7230"/>
    <w:rsid w:val="0B911F0C"/>
    <w:rsid w:val="0BBD1AF8"/>
    <w:rsid w:val="0BBD4015"/>
    <w:rsid w:val="0BC059C7"/>
    <w:rsid w:val="0BF312F3"/>
    <w:rsid w:val="0BFD0A30"/>
    <w:rsid w:val="0C1833C0"/>
    <w:rsid w:val="0C4A570C"/>
    <w:rsid w:val="0C9C67DD"/>
    <w:rsid w:val="0CC857CA"/>
    <w:rsid w:val="0CCA6F97"/>
    <w:rsid w:val="0CD95D4C"/>
    <w:rsid w:val="0CF02DB5"/>
    <w:rsid w:val="0D0103DD"/>
    <w:rsid w:val="0D2A6188"/>
    <w:rsid w:val="0D4B3E85"/>
    <w:rsid w:val="0D584E99"/>
    <w:rsid w:val="0D63739B"/>
    <w:rsid w:val="0D8B370A"/>
    <w:rsid w:val="0D902394"/>
    <w:rsid w:val="0DB2287A"/>
    <w:rsid w:val="0DED4F86"/>
    <w:rsid w:val="0DEF6A27"/>
    <w:rsid w:val="0E147F5D"/>
    <w:rsid w:val="0E5B090F"/>
    <w:rsid w:val="0E626A1D"/>
    <w:rsid w:val="0E6A0088"/>
    <w:rsid w:val="0E880463"/>
    <w:rsid w:val="0E987E68"/>
    <w:rsid w:val="0ECA612E"/>
    <w:rsid w:val="0EE503A4"/>
    <w:rsid w:val="0F00462F"/>
    <w:rsid w:val="0F0E2B5E"/>
    <w:rsid w:val="0F392D1A"/>
    <w:rsid w:val="0F4A40B0"/>
    <w:rsid w:val="0F95455A"/>
    <w:rsid w:val="0F964F69"/>
    <w:rsid w:val="0F9B7E21"/>
    <w:rsid w:val="0FA74CB9"/>
    <w:rsid w:val="0FA76D4B"/>
    <w:rsid w:val="0FE922A7"/>
    <w:rsid w:val="0FED1C74"/>
    <w:rsid w:val="0FF42434"/>
    <w:rsid w:val="10076FFF"/>
    <w:rsid w:val="10255A67"/>
    <w:rsid w:val="10261BC8"/>
    <w:rsid w:val="107745CB"/>
    <w:rsid w:val="10933017"/>
    <w:rsid w:val="10AF7122"/>
    <w:rsid w:val="10B1451D"/>
    <w:rsid w:val="10D303E7"/>
    <w:rsid w:val="10D56BFF"/>
    <w:rsid w:val="10E33EAF"/>
    <w:rsid w:val="10ED53A3"/>
    <w:rsid w:val="10F15B46"/>
    <w:rsid w:val="11056777"/>
    <w:rsid w:val="111C56A5"/>
    <w:rsid w:val="114429B1"/>
    <w:rsid w:val="114C0962"/>
    <w:rsid w:val="11571A01"/>
    <w:rsid w:val="116E5C05"/>
    <w:rsid w:val="119975E6"/>
    <w:rsid w:val="11B555E3"/>
    <w:rsid w:val="12413694"/>
    <w:rsid w:val="125B73DA"/>
    <w:rsid w:val="127D4D14"/>
    <w:rsid w:val="12C81F83"/>
    <w:rsid w:val="12E56687"/>
    <w:rsid w:val="12EF1D14"/>
    <w:rsid w:val="134A50F6"/>
    <w:rsid w:val="1355293B"/>
    <w:rsid w:val="13660016"/>
    <w:rsid w:val="14A23E40"/>
    <w:rsid w:val="14AB02BD"/>
    <w:rsid w:val="14DB6530"/>
    <w:rsid w:val="14DD571E"/>
    <w:rsid w:val="14EC230C"/>
    <w:rsid w:val="14FC3D3F"/>
    <w:rsid w:val="15502B44"/>
    <w:rsid w:val="15571F7F"/>
    <w:rsid w:val="15D62E11"/>
    <w:rsid w:val="16B67E2E"/>
    <w:rsid w:val="16C30031"/>
    <w:rsid w:val="16D373E2"/>
    <w:rsid w:val="16D51E73"/>
    <w:rsid w:val="17322AA6"/>
    <w:rsid w:val="17480112"/>
    <w:rsid w:val="174E56B4"/>
    <w:rsid w:val="17751D02"/>
    <w:rsid w:val="177E07C7"/>
    <w:rsid w:val="177F788F"/>
    <w:rsid w:val="17A34E6E"/>
    <w:rsid w:val="17E92B05"/>
    <w:rsid w:val="17FE46F6"/>
    <w:rsid w:val="17FE4A8D"/>
    <w:rsid w:val="180B674F"/>
    <w:rsid w:val="1821505A"/>
    <w:rsid w:val="1835144B"/>
    <w:rsid w:val="184274EC"/>
    <w:rsid w:val="18513FAD"/>
    <w:rsid w:val="1860483D"/>
    <w:rsid w:val="18A2447E"/>
    <w:rsid w:val="18D8528B"/>
    <w:rsid w:val="18E21ABA"/>
    <w:rsid w:val="190004B4"/>
    <w:rsid w:val="1918542A"/>
    <w:rsid w:val="192A7A76"/>
    <w:rsid w:val="193B0232"/>
    <w:rsid w:val="197710DE"/>
    <w:rsid w:val="1993236D"/>
    <w:rsid w:val="19973FAC"/>
    <w:rsid w:val="19C36CEF"/>
    <w:rsid w:val="19DB5CB9"/>
    <w:rsid w:val="19E31671"/>
    <w:rsid w:val="19E54FE8"/>
    <w:rsid w:val="1A0418D8"/>
    <w:rsid w:val="1A061013"/>
    <w:rsid w:val="1A17421A"/>
    <w:rsid w:val="1A17627A"/>
    <w:rsid w:val="1A1F50AD"/>
    <w:rsid w:val="1A2A3ED6"/>
    <w:rsid w:val="1A2B37F9"/>
    <w:rsid w:val="1A4F6F68"/>
    <w:rsid w:val="1A6D0F36"/>
    <w:rsid w:val="1AD45518"/>
    <w:rsid w:val="1AE466E6"/>
    <w:rsid w:val="1B074673"/>
    <w:rsid w:val="1B167875"/>
    <w:rsid w:val="1B284D48"/>
    <w:rsid w:val="1B7539A1"/>
    <w:rsid w:val="1B8B39A2"/>
    <w:rsid w:val="1BE60B0A"/>
    <w:rsid w:val="1BFB0894"/>
    <w:rsid w:val="1C185E3B"/>
    <w:rsid w:val="1C345DA5"/>
    <w:rsid w:val="1C4231C4"/>
    <w:rsid w:val="1CB311C5"/>
    <w:rsid w:val="1CB40473"/>
    <w:rsid w:val="1CCD7219"/>
    <w:rsid w:val="1CE819CE"/>
    <w:rsid w:val="1D1B717A"/>
    <w:rsid w:val="1D3B40F8"/>
    <w:rsid w:val="1D4110F7"/>
    <w:rsid w:val="1D437361"/>
    <w:rsid w:val="1D494927"/>
    <w:rsid w:val="1D7E7319"/>
    <w:rsid w:val="1D8263AC"/>
    <w:rsid w:val="1DC45CEE"/>
    <w:rsid w:val="1DD6364C"/>
    <w:rsid w:val="1DD678F3"/>
    <w:rsid w:val="1DD973E1"/>
    <w:rsid w:val="1DF51C5D"/>
    <w:rsid w:val="1E282992"/>
    <w:rsid w:val="1E5529DB"/>
    <w:rsid w:val="1E9B1753"/>
    <w:rsid w:val="1EB66AF6"/>
    <w:rsid w:val="1ED56E58"/>
    <w:rsid w:val="1ED75EBD"/>
    <w:rsid w:val="1EDC767F"/>
    <w:rsid w:val="1EEA6814"/>
    <w:rsid w:val="1EF93BE8"/>
    <w:rsid w:val="1EFF3E03"/>
    <w:rsid w:val="1F256179"/>
    <w:rsid w:val="1F313F56"/>
    <w:rsid w:val="1F5F429A"/>
    <w:rsid w:val="1F665C58"/>
    <w:rsid w:val="1FA01395"/>
    <w:rsid w:val="1FBF67E0"/>
    <w:rsid w:val="1FF1028F"/>
    <w:rsid w:val="20000873"/>
    <w:rsid w:val="2007051C"/>
    <w:rsid w:val="200A3A04"/>
    <w:rsid w:val="20117455"/>
    <w:rsid w:val="201B6190"/>
    <w:rsid w:val="201B7DE9"/>
    <w:rsid w:val="204B50CB"/>
    <w:rsid w:val="20525BAE"/>
    <w:rsid w:val="20A13DFB"/>
    <w:rsid w:val="20A30239"/>
    <w:rsid w:val="20AA0CBF"/>
    <w:rsid w:val="20BB3A72"/>
    <w:rsid w:val="20C64214"/>
    <w:rsid w:val="20CB3F2D"/>
    <w:rsid w:val="20D03FFA"/>
    <w:rsid w:val="20EA7105"/>
    <w:rsid w:val="215D5844"/>
    <w:rsid w:val="2187092C"/>
    <w:rsid w:val="21913263"/>
    <w:rsid w:val="21937C97"/>
    <w:rsid w:val="21985A16"/>
    <w:rsid w:val="21E91AA5"/>
    <w:rsid w:val="221648FC"/>
    <w:rsid w:val="22305865"/>
    <w:rsid w:val="227E4F7F"/>
    <w:rsid w:val="22856798"/>
    <w:rsid w:val="22EE2DB4"/>
    <w:rsid w:val="23591F6F"/>
    <w:rsid w:val="236C5A40"/>
    <w:rsid w:val="23703FC0"/>
    <w:rsid w:val="237664F5"/>
    <w:rsid w:val="238E7B53"/>
    <w:rsid w:val="23BB3988"/>
    <w:rsid w:val="23D55FD5"/>
    <w:rsid w:val="23E67EEE"/>
    <w:rsid w:val="23F71FB1"/>
    <w:rsid w:val="24161580"/>
    <w:rsid w:val="24392E18"/>
    <w:rsid w:val="2445449D"/>
    <w:rsid w:val="24517AC2"/>
    <w:rsid w:val="2490229D"/>
    <w:rsid w:val="250462F2"/>
    <w:rsid w:val="25495FB2"/>
    <w:rsid w:val="25585AA0"/>
    <w:rsid w:val="256970C4"/>
    <w:rsid w:val="256B543C"/>
    <w:rsid w:val="257148FD"/>
    <w:rsid w:val="25915232"/>
    <w:rsid w:val="25A754BD"/>
    <w:rsid w:val="25AE091B"/>
    <w:rsid w:val="25B005F8"/>
    <w:rsid w:val="25E80191"/>
    <w:rsid w:val="264A0ADC"/>
    <w:rsid w:val="268ECCE7"/>
    <w:rsid w:val="26932690"/>
    <w:rsid w:val="26B03EB3"/>
    <w:rsid w:val="26C4117D"/>
    <w:rsid w:val="26D22FFA"/>
    <w:rsid w:val="274B7C97"/>
    <w:rsid w:val="27775827"/>
    <w:rsid w:val="277B7F45"/>
    <w:rsid w:val="27865308"/>
    <w:rsid w:val="278D33CB"/>
    <w:rsid w:val="278F48FF"/>
    <w:rsid w:val="27961129"/>
    <w:rsid w:val="279F14E1"/>
    <w:rsid w:val="27A40CA4"/>
    <w:rsid w:val="27A46F3F"/>
    <w:rsid w:val="27B3298E"/>
    <w:rsid w:val="27D04DEC"/>
    <w:rsid w:val="282B7341"/>
    <w:rsid w:val="28600B66"/>
    <w:rsid w:val="28A83FC2"/>
    <w:rsid w:val="28AD4226"/>
    <w:rsid w:val="28DD7362"/>
    <w:rsid w:val="28EA6E4D"/>
    <w:rsid w:val="296F2CC4"/>
    <w:rsid w:val="297437D3"/>
    <w:rsid w:val="297E1138"/>
    <w:rsid w:val="299C7C1D"/>
    <w:rsid w:val="29AD51F1"/>
    <w:rsid w:val="29DE78DA"/>
    <w:rsid w:val="29FF6359"/>
    <w:rsid w:val="2A2D2281"/>
    <w:rsid w:val="2A393165"/>
    <w:rsid w:val="2A3E5CE0"/>
    <w:rsid w:val="2A45488F"/>
    <w:rsid w:val="2A564B1A"/>
    <w:rsid w:val="2A59345D"/>
    <w:rsid w:val="2A8F0811"/>
    <w:rsid w:val="2ACD44BB"/>
    <w:rsid w:val="2AED6AB4"/>
    <w:rsid w:val="2B1A7123"/>
    <w:rsid w:val="2B1B6001"/>
    <w:rsid w:val="2B323216"/>
    <w:rsid w:val="2B393D0E"/>
    <w:rsid w:val="2B5070C3"/>
    <w:rsid w:val="2B5615F8"/>
    <w:rsid w:val="2B960E47"/>
    <w:rsid w:val="2B9724D3"/>
    <w:rsid w:val="2B9D7AAF"/>
    <w:rsid w:val="2BAF1DD8"/>
    <w:rsid w:val="2BD21092"/>
    <w:rsid w:val="2BDB31AD"/>
    <w:rsid w:val="2BDF56D0"/>
    <w:rsid w:val="2C2005BC"/>
    <w:rsid w:val="2C390935"/>
    <w:rsid w:val="2C50099E"/>
    <w:rsid w:val="2C8F03EE"/>
    <w:rsid w:val="2D1335C8"/>
    <w:rsid w:val="2D174A1C"/>
    <w:rsid w:val="2D487BE4"/>
    <w:rsid w:val="2D4C6728"/>
    <w:rsid w:val="2D546804"/>
    <w:rsid w:val="2D9F2933"/>
    <w:rsid w:val="2DA33F06"/>
    <w:rsid w:val="2DAC49D4"/>
    <w:rsid w:val="2DDE6AD5"/>
    <w:rsid w:val="2EBF6A97"/>
    <w:rsid w:val="2EC31981"/>
    <w:rsid w:val="2ECE6823"/>
    <w:rsid w:val="2F3A416F"/>
    <w:rsid w:val="2F736200"/>
    <w:rsid w:val="2FA2384D"/>
    <w:rsid w:val="2FAA7D33"/>
    <w:rsid w:val="2FB31D1D"/>
    <w:rsid w:val="2FF559D6"/>
    <w:rsid w:val="30182A3E"/>
    <w:rsid w:val="30233897"/>
    <w:rsid w:val="30461A18"/>
    <w:rsid w:val="3080785C"/>
    <w:rsid w:val="30871691"/>
    <w:rsid w:val="30BD1FF5"/>
    <w:rsid w:val="30C411E1"/>
    <w:rsid w:val="3110494E"/>
    <w:rsid w:val="31274871"/>
    <w:rsid w:val="313679C0"/>
    <w:rsid w:val="317B7F9A"/>
    <w:rsid w:val="3180088C"/>
    <w:rsid w:val="318A7926"/>
    <w:rsid w:val="318C2B0A"/>
    <w:rsid w:val="31A51C61"/>
    <w:rsid w:val="31BA642B"/>
    <w:rsid w:val="320A5BC8"/>
    <w:rsid w:val="320A7B34"/>
    <w:rsid w:val="32173476"/>
    <w:rsid w:val="324F6073"/>
    <w:rsid w:val="32537B6B"/>
    <w:rsid w:val="32B36A31"/>
    <w:rsid w:val="32BE5618"/>
    <w:rsid w:val="32C607CE"/>
    <w:rsid w:val="32EA1BE4"/>
    <w:rsid w:val="33041F2F"/>
    <w:rsid w:val="339815F9"/>
    <w:rsid w:val="33D34422"/>
    <w:rsid w:val="33E50A3D"/>
    <w:rsid w:val="33F33CDC"/>
    <w:rsid w:val="34027FC4"/>
    <w:rsid w:val="342B5A5C"/>
    <w:rsid w:val="34331021"/>
    <w:rsid w:val="344E7CDD"/>
    <w:rsid w:val="347964B1"/>
    <w:rsid w:val="347D314A"/>
    <w:rsid w:val="34E41ACA"/>
    <w:rsid w:val="34F45CFB"/>
    <w:rsid w:val="35086530"/>
    <w:rsid w:val="350C09FB"/>
    <w:rsid w:val="351029CA"/>
    <w:rsid w:val="35BD38CC"/>
    <w:rsid w:val="35C40BE4"/>
    <w:rsid w:val="35E05E43"/>
    <w:rsid w:val="35E73E40"/>
    <w:rsid w:val="35FF72CB"/>
    <w:rsid w:val="36165A8A"/>
    <w:rsid w:val="36630B18"/>
    <w:rsid w:val="367F175C"/>
    <w:rsid w:val="36AE42AB"/>
    <w:rsid w:val="36C85182"/>
    <w:rsid w:val="371A3554"/>
    <w:rsid w:val="378A098B"/>
    <w:rsid w:val="37B423B6"/>
    <w:rsid w:val="37D25535"/>
    <w:rsid w:val="37DD3927"/>
    <w:rsid w:val="37E55200"/>
    <w:rsid w:val="38164B67"/>
    <w:rsid w:val="383F7DE8"/>
    <w:rsid w:val="38672597"/>
    <w:rsid w:val="386A039A"/>
    <w:rsid w:val="38903767"/>
    <w:rsid w:val="38980CA7"/>
    <w:rsid w:val="38A21047"/>
    <w:rsid w:val="38B76B06"/>
    <w:rsid w:val="38D06108"/>
    <w:rsid w:val="391F0361"/>
    <w:rsid w:val="393161D9"/>
    <w:rsid w:val="39B21616"/>
    <w:rsid w:val="39B61448"/>
    <w:rsid w:val="39CC51A7"/>
    <w:rsid w:val="39E4371E"/>
    <w:rsid w:val="3A5430B5"/>
    <w:rsid w:val="3A7030A1"/>
    <w:rsid w:val="3A92459C"/>
    <w:rsid w:val="3AA24AAD"/>
    <w:rsid w:val="3AA813B8"/>
    <w:rsid w:val="3ACD3F03"/>
    <w:rsid w:val="3AD938AF"/>
    <w:rsid w:val="3B306F8A"/>
    <w:rsid w:val="3B462AB3"/>
    <w:rsid w:val="3B4E1513"/>
    <w:rsid w:val="3B5D2578"/>
    <w:rsid w:val="3B937517"/>
    <w:rsid w:val="3BB816AE"/>
    <w:rsid w:val="3BBB0DE7"/>
    <w:rsid w:val="3BFF5464"/>
    <w:rsid w:val="3C30194D"/>
    <w:rsid w:val="3C5F0A2D"/>
    <w:rsid w:val="3C845AD4"/>
    <w:rsid w:val="3CBD18B6"/>
    <w:rsid w:val="3CC166C6"/>
    <w:rsid w:val="3D0B54D4"/>
    <w:rsid w:val="3D2A4F22"/>
    <w:rsid w:val="3D2F437F"/>
    <w:rsid w:val="3D527C3E"/>
    <w:rsid w:val="3D620AEC"/>
    <w:rsid w:val="3D680BD8"/>
    <w:rsid w:val="3D9A0411"/>
    <w:rsid w:val="3DDA1A96"/>
    <w:rsid w:val="3DF142FD"/>
    <w:rsid w:val="3DF23BD4"/>
    <w:rsid w:val="3DFA1AB2"/>
    <w:rsid w:val="3E144DBF"/>
    <w:rsid w:val="3E1B0A76"/>
    <w:rsid w:val="3E6F7681"/>
    <w:rsid w:val="3ED441DB"/>
    <w:rsid w:val="3EE47B99"/>
    <w:rsid w:val="3F265E8A"/>
    <w:rsid w:val="3F492F75"/>
    <w:rsid w:val="3F564971"/>
    <w:rsid w:val="3F67175B"/>
    <w:rsid w:val="3F78392F"/>
    <w:rsid w:val="3FA946A4"/>
    <w:rsid w:val="3FAF085F"/>
    <w:rsid w:val="3FB87B34"/>
    <w:rsid w:val="3FDF5D8B"/>
    <w:rsid w:val="408F7B93"/>
    <w:rsid w:val="40913547"/>
    <w:rsid w:val="40BA7B33"/>
    <w:rsid w:val="40DA3199"/>
    <w:rsid w:val="40FE32E7"/>
    <w:rsid w:val="411D461A"/>
    <w:rsid w:val="4128635B"/>
    <w:rsid w:val="412C7A19"/>
    <w:rsid w:val="414A614F"/>
    <w:rsid w:val="414B6474"/>
    <w:rsid w:val="41547D67"/>
    <w:rsid w:val="41AD493D"/>
    <w:rsid w:val="42130087"/>
    <w:rsid w:val="42DC18AA"/>
    <w:rsid w:val="43071C1E"/>
    <w:rsid w:val="435306D2"/>
    <w:rsid w:val="43681651"/>
    <w:rsid w:val="438C5904"/>
    <w:rsid w:val="43AF4E51"/>
    <w:rsid w:val="43DD2244"/>
    <w:rsid w:val="43F77139"/>
    <w:rsid w:val="44045D5E"/>
    <w:rsid w:val="440B099A"/>
    <w:rsid w:val="443400E4"/>
    <w:rsid w:val="444724C3"/>
    <w:rsid w:val="44734181"/>
    <w:rsid w:val="44786AF5"/>
    <w:rsid w:val="447D6B8A"/>
    <w:rsid w:val="44803623"/>
    <w:rsid w:val="44B938F4"/>
    <w:rsid w:val="44C656E9"/>
    <w:rsid w:val="44FB2D67"/>
    <w:rsid w:val="451A7D67"/>
    <w:rsid w:val="452712C1"/>
    <w:rsid w:val="452A2D40"/>
    <w:rsid w:val="45484D30"/>
    <w:rsid w:val="459C2230"/>
    <w:rsid w:val="45AB60FB"/>
    <w:rsid w:val="460A18EE"/>
    <w:rsid w:val="46460FDE"/>
    <w:rsid w:val="464D141E"/>
    <w:rsid w:val="4689042A"/>
    <w:rsid w:val="46D802E3"/>
    <w:rsid w:val="46E2130E"/>
    <w:rsid w:val="471374BA"/>
    <w:rsid w:val="471C41DA"/>
    <w:rsid w:val="479079D9"/>
    <w:rsid w:val="47A83601"/>
    <w:rsid w:val="47B44CF5"/>
    <w:rsid w:val="481B4F00"/>
    <w:rsid w:val="481F4627"/>
    <w:rsid w:val="482350FB"/>
    <w:rsid w:val="483A7313"/>
    <w:rsid w:val="48466989"/>
    <w:rsid w:val="48515D74"/>
    <w:rsid w:val="485355B6"/>
    <w:rsid w:val="4897721A"/>
    <w:rsid w:val="48AD28AD"/>
    <w:rsid w:val="48BC044B"/>
    <w:rsid w:val="48BF56D2"/>
    <w:rsid w:val="48E906BB"/>
    <w:rsid w:val="48FD4AF0"/>
    <w:rsid w:val="49651CD2"/>
    <w:rsid w:val="497B59F2"/>
    <w:rsid w:val="49A8578B"/>
    <w:rsid w:val="49B1668E"/>
    <w:rsid w:val="49B660D4"/>
    <w:rsid w:val="49CB1B43"/>
    <w:rsid w:val="4A1A0BF4"/>
    <w:rsid w:val="4A5D2FAF"/>
    <w:rsid w:val="4A5F692B"/>
    <w:rsid w:val="4A9A4319"/>
    <w:rsid w:val="4AAA389B"/>
    <w:rsid w:val="4AD760BD"/>
    <w:rsid w:val="4AEB13D7"/>
    <w:rsid w:val="4B01728D"/>
    <w:rsid w:val="4B137ED7"/>
    <w:rsid w:val="4B692724"/>
    <w:rsid w:val="4B7C201B"/>
    <w:rsid w:val="4BCD2476"/>
    <w:rsid w:val="4BD02C2E"/>
    <w:rsid w:val="4C125D9D"/>
    <w:rsid w:val="4C131E4B"/>
    <w:rsid w:val="4C2037ED"/>
    <w:rsid w:val="4C310C45"/>
    <w:rsid w:val="4C543A0A"/>
    <w:rsid w:val="4C8A4722"/>
    <w:rsid w:val="4CCA000C"/>
    <w:rsid w:val="4CCC391E"/>
    <w:rsid w:val="4CD13C7C"/>
    <w:rsid w:val="4CF87B3F"/>
    <w:rsid w:val="4D162412"/>
    <w:rsid w:val="4D4A09B2"/>
    <w:rsid w:val="4D531C88"/>
    <w:rsid w:val="4D796B65"/>
    <w:rsid w:val="4DC62E17"/>
    <w:rsid w:val="4DD63AF4"/>
    <w:rsid w:val="4DDA341C"/>
    <w:rsid w:val="4E054491"/>
    <w:rsid w:val="4E0F12A9"/>
    <w:rsid w:val="4E3126EA"/>
    <w:rsid w:val="4E706BB1"/>
    <w:rsid w:val="4EB23440"/>
    <w:rsid w:val="4ED013F0"/>
    <w:rsid w:val="4EE30DA5"/>
    <w:rsid w:val="4F414E71"/>
    <w:rsid w:val="4F4C25D8"/>
    <w:rsid w:val="4F5C6825"/>
    <w:rsid w:val="4F616E7F"/>
    <w:rsid w:val="4F6676CA"/>
    <w:rsid w:val="4F710E1B"/>
    <w:rsid w:val="4FC755C5"/>
    <w:rsid w:val="4FF24C8A"/>
    <w:rsid w:val="4FFC1EE4"/>
    <w:rsid w:val="504668E9"/>
    <w:rsid w:val="50AA414D"/>
    <w:rsid w:val="50CA043D"/>
    <w:rsid w:val="50DA6A42"/>
    <w:rsid w:val="50E66D2E"/>
    <w:rsid w:val="50E75C56"/>
    <w:rsid w:val="50FA2E24"/>
    <w:rsid w:val="514F19C5"/>
    <w:rsid w:val="517B0816"/>
    <w:rsid w:val="51947184"/>
    <w:rsid w:val="51CC6774"/>
    <w:rsid w:val="51D02378"/>
    <w:rsid w:val="51F85F6D"/>
    <w:rsid w:val="52033137"/>
    <w:rsid w:val="524D5F42"/>
    <w:rsid w:val="52A92E95"/>
    <w:rsid w:val="52DA590D"/>
    <w:rsid w:val="52ED7B6D"/>
    <w:rsid w:val="52F03850"/>
    <w:rsid w:val="52F46E7E"/>
    <w:rsid w:val="52F64232"/>
    <w:rsid w:val="52FC3C3D"/>
    <w:rsid w:val="5301582B"/>
    <w:rsid w:val="53034EA0"/>
    <w:rsid w:val="53494120"/>
    <w:rsid w:val="53703B13"/>
    <w:rsid w:val="53711E3B"/>
    <w:rsid w:val="53804AC5"/>
    <w:rsid w:val="53E8135C"/>
    <w:rsid w:val="53F60747"/>
    <w:rsid w:val="53FB57B4"/>
    <w:rsid w:val="54344ED7"/>
    <w:rsid w:val="5458031C"/>
    <w:rsid w:val="545D2C1B"/>
    <w:rsid w:val="546965C7"/>
    <w:rsid w:val="54E412D9"/>
    <w:rsid w:val="54E663D0"/>
    <w:rsid w:val="54E875CB"/>
    <w:rsid w:val="54F17915"/>
    <w:rsid w:val="54F61D3B"/>
    <w:rsid w:val="55387929"/>
    <w:rsid w:val="554267CD"/>
    <w:rsid w:val="55460092"/>
    <w:rsid w:val="55611369"/>
    <w:rsid w:val="55657E06"/>
    <w:rsid w:val="558B40AC"/>
    <w:rsid w:val="55A963BC"/>
    <w:rsid w:val="55B03AA7"/>
    <w:rsid w:val="55D07330"/>
    <w:rsid w:val="55F312B2"/>
    <w:rsid w:val="560F143B"/>
    <w:rsid w:val="561E122B"/>
    <w:rsid w:val="56662F36"/>
    <w:rsid w:val="569F2A2D"/>
    <w:rsid w:val="56A85F12"/>
    <w:rsid w:val="56E00739"/>
    <w:rsid w:val="56E02DD9"/>
    <w:rsid w:val="56E256F1"/>
    <w:rsid w:val="56F46D6D"/>
    <w:rsid w:val="57126275"/>
    <w:rsid w:val="573524E8"/>
    <w:rsid w:val="57472A37"/>
    <w:rsid w:val="57584A7C"/>
    <w:rsid w:val="57C57372"/>
    <w:rsid w:val="5804571A"/>
    <w:rsid w:val="582F2A53"/>
    <w:rsid w:val="58403F02"/>
    <w:rsid w:val="585B653E"/>
    <w:rsid w:val="5880180C"/>
    <w:rsid w:val="58C05A08"/>
    <w:rsid w:val="58D917B1"/>
    <w:rsid w:val="5908356E"/>
    <w:rsid w:val="59172B69"/>
    <w:rsid w:val="593541F0"/>
    <w:rsid w:val="594D6661"/>
    <w:rsid w:val="59934DBF"/>
    <w:rsid w:val="59B42ADB"/>
    <w:rsid w:val="59B6604B"/>
    <w:rsid w:val="59DB2176"/>
    <w:rsid w:val="5A1D3F0B"/>
    <w:rsid w:val="5A1E6BB9"/>
    <w:rsid w:val="5A492A5B"/>
    <w:rsid w:val="5A6D46DE"/>
    <w:rsid w:val="5A78011B"/>
    <w:rsid w:val="5AAA1841"/>
    <w:rsid w:val="5ABF4DD0"/>
    <w:rsid w:val="5AC50F62"/>
    <w:rsid w:val="5ADE0DA5"/>
    <w:rsid w:val="5AE5646D"/>
    <w:rsid w:val="5B20492A"/>
    <w:rsid w:val="5B2637FF"/>
    <w:rsid w:val="5B2D1E6A"/>
    <w:rsid w:val="5B366075"/>
    <w:rsid w:val="5B754864"/>
    <w:rsid w:val="5B7F75ED"/>
    <w:rsid w:val="5B9448E0"/>
    <w:rsid w:val="5B9556D7"/>
    <w:rsid w:val="5B9D28A4"/>
    <w:rsid w:val="5BA70F3C"/>
    <w:rsid w:val="5BC43C58"/>
    <w:rsid w:val="5BE908CE"/>
    <w:rsid w:val="5C1F53E5"/>
    <w:rsid w:val="5C474A79"/>
    <w:rsid w:val="5C8F4E8D"/>
    <w:rsid w:val="5CB36DD9"/>
    <w:rsid w:val="5CC25487"/>
    <w:rsid w:val="5CDF51E8"/>
    <w:rsid w:val="5D463890"/>
    <w:rsid w:val="5E313C33"/>
    <w:rsid w:val="5E494026"/>
    <w:rsid w:val="5E5D687A"/>
    <w:rsid w:val="5E7B6B76"/>
    <w:rsid w:val="5E8E3441"/>
    <w:rsid w:val="5EAF4AD5"/>
    <w:rsid w:val="5EC46FCA"/>
    <w:rsid w:val="5EE87324"/>
    <w:rsid w:val="5F002EB9"/>
    <w:rsid w:val="5F4C455C"/>
    <w:rsid w:val="5F6148EC"/>
    <w:rsid w:val="5F701C7F"/>
    <w:rsid w:val="5F9D716C"/>
    <w:rsid w:val="5FEF30F6"/>
    <w:rsid w:val="601F1DC0"/>
    <w:rsid w:val="60220EA8"/>
    <w:rsid w:val="602A15D5"/>
    <w:rsid w:val="604D731C"/>
    <w:rsid w:val="605E3AD6"/>
    <w:rsid w:val="608C2C8A"/>
    <w:rsid w:val="60CD3DD5"/>
    <w:rsid w:val="60F12BFB"/>
    <w:rsid w:val="6120698A"/>
    <w:rsid w:val="61EA3A83"/>
    <w:rsid w:val="61F05DF2"/>
    <w:rsid w:val="62393C12"/>
    <w:rsid w:val="62786599"/>
    <w:rsid w:val="632D7F77"/>
    <w:rsid w:val="635A2B17"/>
    <w:rsid w:val="638F707A"/>
    <w:rsid w:val="63972408"/>
    <w:rsid w:val="63BB754A"/>
    <w:rsid w:val="6483431D"/>
    <w:rsid w:val="649A1991"/>
    <w:rsid w:val="649B4379"/>
    <w:rsid w:val="64E877AE"/>
    <w:rsid w:val="65122B9A"/>
    <w:rsid w:val="65291BA8"/>
    <w:rsid w:val="653A3911"/>
    <w:rsid w:val="658B3245"/>
    <w:rsid w:val="65D344E5"/>
    <w:rsid w:val="65DD0CA9"/>
    <w:rsid w:val="65EA40FA"/>
    <w:rsid w:val="65FC3218"/>
    <w:rsid w:val="66281452"/>
    <w:rsid w:val="66311447"/>
    <w:rsid w:val="66423767"/>
    <w:rsid w:val="6653077C"/>
    <w:rsid w:val="666C539C"/>
    <w:rsid w:val="668521AA"/>
    <w:rsid w:val="66881201"/>
    <w:rsid w:val="66A568EF"/>
    <w:rsid w:val="66BC1EAC"/>
    <w:rsid w:val="66DF673D"/>
    <w:rsid w:val="67081467"/>
    <w:rsid w:val="67287D1E"/>
    <w:rsid w:val="67330108"/>
    <w:rsid w:val="67475D8F"/>
    <w:rsid w:val="67807707"/>
    <w:rsid w:val="67A179BC"/>
    <w:rsid w:val="67CA2030"/>
    <w:rsid w:val="67CB1EAD"/>
    <w:rsid w:val="67F80619"/>
    <w:rsid w:val="68111616"/>
    <w:rsid w:val="682C553A"/>
    <w:rsid w:val="682E099E"/>
    <w:rsid w:val="68492CBE"/>
    <w:rsid w:val="686A1960"/>
    <w:rsid w:val="68C26386"/>
    <w:rsid w:val="68C40B7C"/>
    <w:rsid w:val="68EF6867"/>
    <w:rsid w:val="69347017"/>
    <w:rsid w:val="69653951"/>
    <w:rsid w:val="6970533E"/>
    <w:rsid w:val="698B77DD"/>
    <w:rsid w:val="69953CA6"/>
    <w:rsid w:val="69A37AFC"/>
    <w:rsid w:val="69BC11A3"/>
    <w:rsid w:val="69C0760F"/>
    <w:rsid w:val="69C42C82"/>
    <w:rsid w:val="6A140D5C"/>
    <w:rsid w:val="6A1F3F49"/>
    <w:rsid w:val="6A6010E6"/>
    <w:rsid w:val="6A824CF1"/>
    <w:rsid w:val="6AA747C0"/>
    <w:rsid w:val="6AA861C9"/>
    <w:rsid w:val="6AC92F8B"/>
    <w:rsid w:val="6AE81992"/>
    <w:rsid w:val="6AF2255A"/>
    <w:rsid w:val="6B16350B"/>
    <w:rsid w:val="6B447303"/>
    <w:rsid w:val="6B507CE7"/>
    <w:rsid w:val="6B5A4393"/>
    <w:rsid w:val="6B723766"/>
    <w:rsid w:val="6B761310"/>
    <w:rsid w:val="6BB52612"/>
    <w:rsid w:val="6C3A7DC0"/>
    <w:rsid w:val="6C3D7A2A"/>
    <w:rsid w:val="6C4844CA"/>
    <w:rsid w:val="6C6C54A8"/>
    <w:rsid w:val="6CB02E6F"/>
    <w:rsid w:val="6CE92440"/>
    <w:rsid w:val="6CFA5035"/>
    <w:rsid w:val="6D046D54"/>
    <w:rsid w:val="6D247286"/>
    <w:rsid w:val="6D645CC9"/>
    <w:rsid w:val="6D666D4D"/>
    <w:rsid w:val="6E007E6C"/>
    <w:rsid w:val="6E9B0A1E"/>
    <w:rsid w:val="6E9C1F7D"/>
    <w:rsid w:val="6EA66200"/>
    <w:rsid w:val="6EBA14FC"/>
    <w:rsid w:val="6EC93369"/>
    <w:rsid w:val="6ED23AB0"/>
    <w:rsid w:val="6ED95545"/>
    <w:rsid w:val="6EE36830"/>
    <w:rsid w:val="6F0D40B4"/>
    <w:rsid w:val="6F3F36B6"/>
    <w:rsid w:val="6F4A5FF1"/>
    <w:rsid w:val="6F4C0241"/>
    <w:rsid w:val="6F5E00F8"/>
    <w:rsid w:val="6F617440"/>
    <w:rsid w:val="6F660E76"/>
    <w:rsid w:val="6F802244"/>
    <w:rsid w:val="6FA8143F"/>
    <w:rsid w:val="6FB701C5"/>
    <w:rsid w:val="6FBB55D8"/>
    <w:rsid w:val="6FF42508"/>
    <w:rsid w:val="700C61B7"/>
    <w:rsid w:val="700F1EEC"/>
    <w:rsid w:val="70214F0E"/>
    <w:rsid w:val="702421EC"/>
    <w:rsid w:val="706C6E1C"/>
    <w:rsid w:val="706C701B"/>
    <w:rsid w:val="706F4F60"/>
    <w:rsid w:val="709220FC"/>
    <w:rsid w:val="70F97BEF"/>
    <w:rsid w:val="71056675"/>
    <w:rsid w:val="71095DFC"/>
    <w:rsid w:val="71217808"/>
    <w:rsid w:val="714B0FDA"/>
    <w:rsid w:val="714C32F8"/>
    <w:rsid w:val="72057A5D"/>
    <w:rsid w:val="724918CE"/>
    <w:rsid w:val="725259B8"/>
    <w:rsid w:val="728528E7"/>
    <w:rsid w:val="72AD27A3"/>
    <w:rsid w:val="72AF0BE6"/>
    <w:rsid w:val="72B17246"/>
    <w:rsid w:val="72D35D34"/>
    <w:rsid w:val="72F677EE"/>
    <w:rsid w:val="72F938B1"/>
    <w:rsid w:val="73315BE7"/>
    <w:rsid w:val="73356E2F"/>
    <w:rsid w:val="734F7AF0"/>
    <w:rsid w:val="73694C57"/>
    <w:rsid w:val="73721292"/>
    <w:rsid w:val="73E3436D"/>
    <w:rsid w:val="73F74C1B"/>
    <w:rsid w:val="73FB406D"/>
    <w:rsid w:val="740327A1"/>
    <w:rsid w:val="740F0D6A"/>
    <w:rsid w:val="749361AD"/>
    <w:rsid w:val="74CA3652"/>
    <w:rsid w:val="74FE3C35"/>
    <w:rsid w:val="7507540A"/>
    <w:rsid w:val="7533351C"/>
    <w:rsid w:val="75403A38"/>
    <w:rsid w:val="755914AC"/>
    <w:rsid w:val="75AE6E53"/>
    <w:rsid w:val="75F04C90"/>
    <w:rsid w:val="7606053C"/>
    <w:rsid w:val="760E0825"/>
    <w:rsid w:val="76132EED"/>
    <w:rsid w:val="76664643"/>
    <w:rsid w:val="76A8175C"/>
    <w:rsid w:val="76C71670"/>
    <w:rsid w:val="76DE04F1"/>
    <w:rsid w:val="76F16BE7"/>
    <w:rsid w:val="7719147A"/>
    <w:rsid w:val="771C1050"/>
    <w:rsid w:val="7729278E"/>
    <w:rsid w:val="772B6DDC"/>
    <w:rsid w:val="772C2DAE"/>
    <w:rsid w:val="775F6DCF"/>
    <w:rsid w:val="776C5F9A"/>
    <w:rsid w:val="778843F2"/>
    <w:rsid w:val="77D56A4F"/>
    <w:rsid w:val="77E062F9"/>
    <w:rsid w:val="77EC3D62"/>
    <w:rsid w:val="77F70538"/>
    <w:rsid w:val="78271C50"/>
    <w:rsid w:val="78446BC0"/>
    <w:rsid w:val="788E60A2"/>
    <w:rsid w:val="78B54E8C"/>
    <w:rsid w:val="78DC5998"/>
    <w:rsid w:val="78F83A46"/>
    <w:rsid w:val="78FA7AD7"/>
    <w:rsid w:val="791657D0"/>
    <w:rsid w:val="792B0267"/>
    <w:rsid w:val="793A0D98"/>
    <w:rsid w:val="796E427C"/>
    <w:rsid w:val="79743B4E"/>
    <w:rsid w:val="79893FE5"/>
    <w:rsid w:val="79B64076"/>
    <w:rsid w:val="79B70166"/>
    <w:rsid w:val="79CF3B35"/>
    <w:rsid w:val="79ED7B31"/>
    <w:rsid w:val="7A5E0613"/>
    <w:rsid w:val="7A865FFF"/>
    <w:rsid w:val="7A895431"/>
    <w:rsid w:val="7ADD6372"/>
    <w:rsid w:val="7B4C2D7A"/>
    <w:rsid w:val="7B5372C9"/>
    <w:rsid w:val="7B914733"/>
    <w:rsid w:val="7B915EA9"/>
    <w:rsid w:val="7BE26A2A"/>
    <w:rsid w:val="7C0374CC"/>
    <w:rsid w:val="7C0E6AFF"/>
    <w:rsid w:val="7C3E5BBE"/>
    <w:rsid w:val="7C4C325A"/>
    <w:rsid w:val="7CC0644F"/>
    <w:rsid w:val="7CCF7A12"/>
    <w:rsid w:val="7CDB30F3"/>
    <w:rsid w:val="7CE828AF"/>
    <w:rsid w:val="7CE87237"/>
    <w:rsid w:val="7D033D55"/>
    <w:rsid w:val="7D194B72"/>
    <w:rsid w:val="7D1E04FB"/>
    <w:rsid w:val="7D21741B"/>
    <w:rsid w:val="7D43175E"/>
    <w:rsid w:val="7D456E5C"/>
    <w:rsid w:val="7D49701C"/>
    <w:rsid w:val="7D622D63"/>
    <w:rsid w:val="7D6C08C3"/>
    <w:rsid w:val="7D9F13C0"/>
    <w:rsid w:val="7DEF7477"/>
    <w:rsid w:val="7E0F0C30"/>
    <w:rsid w:val="7E1615DC"/>
    <w:rsid w:val="7E2F690B"/>
    <w:rsid w:val="7E4A55BC"/>
    <w:rsid w:val="7E6B713C"/>
    <w:rsid w:val="7E8939A5"/>
    <w:rsid w:val="7EB97A0D"/>
    <w:rsid w:val="7ED43D2F"/>
    <w:rsid w:val="7F1A437D"/>
    <w:rsid w:val="7F6E1773"/>
    <w:rsid w:val="7FBB4867"/>
    <w:rsid w:val="7FCA696F"/>
    <w:rsid w:val="7FD124F5"/>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fi-FI" w:eastAsia="en-US" w:bidi="ar-SA"/>
    </w:rPr>
  </w:style>
  <w:style w:type="paragraph" w:styleId="2">
    <w:name w:val="heading 1"/>
    <w:next w:val="1"/>
    <w:link w:val="25"/>
    <w:qFormat/>
    <w:uiPriority w:val="0"/>
    <w:pPr>
      <w:keepNext/>
      <w:keepLines/>
      <w:pBdr>
        <w:top w:val="single" w:color="auto" w:sz="12" w:space="3"/>
      </w:pBdr>
      <w:spacing w:before="240" w:after="180" w:line="240" w:lineRule="auto"/>
      <w:ind w:left="1134" w:hanging="1134"/>
      <w:outlineLvl w:val="0"/>
    </w:pPr>
    <w:rPr>
      <w:rFonts w:ascii="Arial" w:hAnsi="Arial" w:cs="Times New Roman" w:eastAsiaTheme="minorEastAsia"/>
      <w:sz w:val="36"/>
      <w:szCs w:val="20"/>
      <w:lang w:val="en-GB" w:eastAsia="en-US" w:bidi="ar-SA"/>
    </w:rPr>
  </w:style>
  <w:style w:type="paragraph" w:styleId="3">
    <w:name w:val="heading 2"/>
    <w:basedOn w:val="2"/>
    <w:next w:val="1"/>
    <w:link w:val="32"/>
    <w:semiHidden/>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3"/>
    <w:next w:val="1"/>
    <w:qFormat/>
    <w:uiPriority w:val="0"/>
    <w:pPr>
      <w:numPr>
        <w:ilvl w:val="2"/>
        <w:numId w:val="1"/>
      </w:numPr>
      <w:spacing w:before="120"/>
      <w:outlineLvl w:val="2"/>
    </w:p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pPr>
      <w:spacing w:before="120" w:after="120"/>
    </w:pPr>
    <w:rPr>
      <w:b/>
    </w:rPr>
  </w:style>
  <w:style w:type="paragraph" w:styleId="6">
    <w:name w:val="annotation text"/>
    <w:basedOn w:val="1"/>
    <w:link w:val="19"/>
    <w:semiHidden/>
    <w:unhideWhenUsed/>
    <w:qFormat/>
    <w:uiPriority w:val="99"/>
    <w:pPr>
      <w:spacing w:line="240" w:lineRule="auto"/>
    </w:pPr>
    <w:rPr>
      <w:sz w:val="20"/>
      <w:szCs w:val="20"/>
    </w:rPr>
  </w:style>
  <w:style w:type="paragraph" w:styleId="7">
    <w:name w:val="Body Text"/>
    <w:basedOn w:val="1"/>
    <w:link w:val="27"/>
    <w:qFormat/>
    <w:uiPriority w:val="99"/>
    <w:pPr>
      <w:spacing w:after="120" w:line="240" w:lineRule="auto"/>
    </w:pPr>
    <w:rPr>
      <w:rFonts w:ascii="Times New Roman" w:hAnsi="Times New Roman" w:cs="Times New Roman"/>
      <w:sz w:val="20"/>
      <w:szCs w:val="20"/>
      <w:lang w:val="en-GB"/>
    </w:rPr>
  </w:style>
  <w:style w:type="paragraph" w:styleId="8">
    <w:name w:val="Balloon Text"/>
    <w:basedOn w:val="1"/>
    <w:link w:val="21"/>
    <w:semiHidden/>
    <w:unhideWhenUsed/>
    <w:qFormat/>
    <w:uiPriority w:val="99"/>
    <w:pPr>
      <w:spacing w:after="0" w:line="240" w:lineRule="auto"/>
    </w:pPr>
    <w:rPr>
      <w:rFonts w:ascii="Segoe UI" w:hAnsi="Segoe UI" w:cs="Segoe UI"/>
      <w:sz w:val="18"/>
      <w:szCs w:val="18"/>
    </w:rPr>
  </w:style>
  <w:style w:type="paragraph" w:styleId="9">
    <w:name w:val="header"/>
    <w:basedOn w:val="1"/>
    <w:link w:val="26"/>
    <w:qFormat/>
    <w:uiPriority w:val="0"/>
    <w:pPr>
      <w:widowControl w:val="0"/>
      <w:overflowPunct w:val="0"/>
      <w:autoSpaceDE w:val="0"/>
      <w:autoSpaceDN w:val="0"/>
      <w:adjustRightInd w:val="0"/>
      <w:spacing w:after="0" w:line="240" w:lineRule="auto"/>
      <w:textAlignment w:val="baseline"/>
    </w:pPr>
    <w:rPr>
      <w:rFonts w:ascii="Arial" w:hAnsi="Arial" w:cs="Times New Roman" w:eastAsiaTheme="minorEastAsia"/>
      <w:b/>
      <w:sz w:val="18"/>
      <w:szCs w:val="20"/>
      <w:lang w:val="en-GB" w:eastAsia="ja-JP" w:bidi="ar-SA"/>
    </w:rPr>
  </w:style>
  <w:style w:type="paragraph" w:styleId="10">
    <w:name w:val="annotation subject"/>
    <w:basedOn w:val="6"/>
    <w:next w:val="6"/>
    <w:link w:val="20"/>
    <w:semiHidden/>
    <w:unhideWhenUsed/>
    <w:qFormat/>
    <w:uiPriority w:val="99"/>
    <w:rPr>
      <w:b/>
      <w:bCs/>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qFormat/>
    <w:uiPriority w:val="99"/>
    <w:rPr>
      <w:color w:val="0000FF"/>
      <w:u w:val="single"/>
    </w:rPr>
  </w:style>
  <w:style w:type="character" w:styleId="15">
    <w:name w:val="annotation reference"/>
    <w:basedOn w:val="13"/>
    <w:semiHidden/>
    <w:unhideWhenUsed/>
    <w:qFormat/>
    <w:uiPriority w:val="99"/>
    <w:rPr>
      <w:sz w:val="16"/>
      <w:szCs w:val="16"/>
    </w:rPr>
  </w:style>
  <w:style w:type="paragraph" w:customStyle="1" w:styleId="16">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fi-FI"/>
    </w:rPr>
  </w:style>
  <w:style w:type="character" w:customStyle="1" w:styleId="17">
    <w:name w:val="normaltextrun"/>
    <w:basedOn w:val="13"/>
    <w:qFormat/>
    <w:uiPriority w:val="0"/>
  </w:style>
  <w:style w:type="character" w:customStyle="1" w:styleId="18">
    <w:name w:val="eop"/>
    <w:basedOn w:val="13"/>
    <w:qFormat/>
    <w:uiPriority w:val="0"/>
  </w:style>
  <w:style w:type="character" w:customStyle="1" w:styleId="19">
    <w:name w:val="Comment Text Char"/>
    <w:basedOn w:val="13"/>
    <w:link w:val="6"/>
    <w:semiHidden/>
    <w:qFormat/>
    <w:uiPriority w:val="99"/>
    <w:rPr>
      <w:sz w:val="20"/>
      <w:szCs w:val="20"/>
    </w:rPr>
  </w:style>
  <w:style w:type="character" w:customStyle="1" w:styleId="20">
    <w:name w:val="Comment Subject Char"/>
    <w:basedOn w:val="19"/>
    <w:link w:val="10"/>
    <w:semiHidden/>
    <w:qFormat/>
    <w:uiPriority w:val="99"/>
    <w:rPr>
      <w:b/>
      <w:bCs/>
      <w:sz w:val="20"/>
      <w:szCs w:val="20"/>
    </w:rPr>
  </w:style>
  <w:style w:type="character" w:customStyle="1" w:styleId="21">
    <w:name w:val="Balloon Text Char"/>
    <w:basedOn w:val="13"/>
    <w:link w:val="8"/>
    <w:semiHidden/>
    <w:qFormat/>
    <w:uiPriority w:val="99"/>
    <w:rPr>
      <w:rFonts w:ascii="Segoe UI" w:hAnsi="Segoe UI" w:cs="Segoe UI"/>
      <w:sz w:val="18"/>
      <w:szCs w:val="18"/>
    </w:rPr>
  </w:style>
  <w:style w:type="character" w:customStyle="1" w:styleId="22">
    <w:name w:val="advancedproofingissue"/>
    <w:basedOn w:val="13"/>
    <w:qFormat/>
    <w:uiPriority w:val="0"/>
  </w:style>
  <w:style w:type="paragraph" w:customStyle="1" w:styleId="23">
    <w:name w:val="Revision"/>
    <w:hidden/>
    <w:semiHidden/>
    <w:qFormat/>
    <w:uiPriority w:val="99"/>
    <w:pPr>
      <w:spacing w:after="0" w:line="240" w:lineRule="auto"/>
    </w:pPr>
    <w:rPr>
      <w:rFonts w:asciiTheme="minorHAnsi" w:hAnsiTheme="minorHAnsi" w:eastAsiaTheme="minorEastAsia" w:cstheme="minorBidi"/>
      <w:sz w:val="22"/>
      <w:szCs w:val="22"/>
      <w:lang w:val="fi-FI" w:eastAsia="en-US" w:bidi="ar-SA"/>
    </w:rPr>
  </w:style>
  <w:style w:type="paragraph" w:styleId="24">
    <w:name w:val="List Paragraph"/>
    <w:basedOn w:val="1"/>
    <w:qFormat/>
    <w:uiPriority w:val="34"/>
    <w:pPr>
      <w:spacing w:after="0" w:line="240" w:lineRule="auto"/>
      <w:ind w:left="720"/>
      <w:contextualSpacing/>
    </w:pPr>
    <w:rPr>
      <w:rFonts w:ascii="Times New Roman" w:hAnsi="Times New Roman" w:eastAsia="Times New Roman" w:cs="Times New Roman"/>
      <w:sz w:val="24"/>
      <w:szCs w:val="24"/>
      <w:lang w:val="da-DK" w:eastAsia="da-DK"/>
    </w:rPr>
  </w:style>
  <w:style w:type="character" w:customStyle="1" w:styleId="25">
    <w:name w:val="Heading 1 Char"/>
    <w:basedOn w:val="13"/>
    <w:link w:val="2"/>
    <w:qFormat/>
    <w:uiPriority w:val="0"/>
    <w:rPr>
      <w:rFonts w:ascii="Arial" w:hAnsi="Arial" w:cs="Times New Roman" w:eastAsiaTheme="minorEastAsia"/>
      <w:sz w:val="36"/>
      <w:szCs w:val="20"/>
      <w:lang w:val="en-GB"/>
    </w:rPr>
  </w:style>
  <w:style w:type="character" w:customStyle="1" w:styleId="26">
    <w:name w:val="Header Char"/>
    <w:basedOn w:val="13"/>
    <w:link w:val="9"/>
    <w:qFormat/>
    <w:uiPriority w:val="0"/>
    <w:rPr>
      <w:rFonts w:ascii="Arial" w:hAnsi="Arial" w:cs="Times New Roman" w:eastAsiaTheme="minorEastAsia"/>
      <w:b/>
      <w:sz w:val="18"/>
      <w:szCs w:val="20"/>
      <w:lang w:val="en-GB" w:eastAsia="ja-JP"/>
    </w:rPr>
  </w:style>
  <w:style w:type="character" w:customStyle="1" w:styleId="27">
    <w:name w:val="Body Text Char"/>
    <w:basedOn w:val="13"/>
    <w:link w:val="7"/>
    <w:qFormat/>
    <w:uiPriority w:val="99"/>
    <w:rPr>
      <w:rFonts w:ascii="Times New Roman" w:hAnsi="Times New Roman" w:cs="Times New Roman" w:eastAsiaTheme="minorEastAsia"/>
      <w:sz w:val="20"/>
      <w:szCs w:val="20"/>
      <w:lang w:val="en-GB"/>
    </w:rPr>
  </w:style>
  <w:style w:type="paragraph" w:customStyle="1" w:styleId="28">
    <w:name w:val="RAN4 H2"/>
    <w:basedOn w:val="3"/>
    <w:next w:val="1"/>
    <w:qFormat/>
    <w:uiPriority w:val="0"/>
    <w:pPr>
      <w:numPr>
        <w:ilvl w:val="1"/>
        <w:numId w:val="2"/>
      </w:numPr>
      <w:spacing w:before="180" w:after="180" w:line="240" w:lineRule="auto"/>
      <w:ind w:left="431" w:hanging="431"/>
    </w:pPr>
    <w:rPr>
      <w:rFonts w:ascii="Arial" w:hAnsi="Arial" w:eastAsia="Times New Roman" w:cs="Times New Roman"/>
      <w:color w:val="auto"/>
      <w:sz w:val="32"/>
      <w:szCs w:val="20"/>
      <w:lang w:val="en-US"/>
    </w:rPr>
  </w:style>
  <w:style w:type="paragraph" w:customStyle="1" w:styleId="29">
    <w:name w:val="RAN4 H1"/>
    <w:basedOn w:val="1"/>
    <w:next w:val="1"/>
    <w:link w:val="30"/>
    <w:qFormat/>
    <w:uiPriority w:val="0"/>
    <w:pPr>
      <w:keepNext/>
      <w:keepLines/>
      <w:numPr>
        <w:ilvl w:val="0"/>
        <w:numId w:val="2"/>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30">
    <w:name w:val="RAN4 H1 Char"/>
    <w:basedOn w:val="13"/>
    <w:link w:val="29"/>
    <w:qFormat/>
    <w:uiPriority w:val="0"/>
    <w:rPr>
      <w:rFonts w:ascii="Arial" w:hAnsi="Arial" w:eastAsia="宋体" w:cs="Times New Roman"/>
      <w:sz w:val="36"/>
      <w:szCs w:val="20"/>
      <w:lang w:val="en-GB"/>
    </w:rPr>
  </w:style>
  <w:style w:type="paragraph" w:customStyle="1" w:styleId="31">
    <w:name w:val="RAN4 H3"/>
    <w:basedOn w:val="1"/>
    <w:qFormat/>
    <w:uiPriority w:val="0"/>
    <w:pPr>
      <w:numPr>
        <w:ilvl w:val="2"/>
        <w:numId w:val="2"/>
      </w:numPr>
      <w:ind w:left="505" w:hanging="505"/>
    </w:pPr>
    <w:rPr>
      <w:rFonts w:ascii="Arial" w:hAnsi="Arial" w:cs="Arial"/>
      <w:sz w:val="24"/>
      <w:lang w:val="en-US"/>
    </w:rPr>
  </w:style>
  <w:style w:type="character" w:customStyle="1" w:styleId="32">
    <w:name w:val="Heading 2 Char"/>
    <w:basedOn w:val="13"/>
    <w:link w:val="3"/>
    <w:semiHidden/>
    <w:qFormat/>
    <w:uiPriority w:val="9"/>
    <w:rPr>
      <w:rFonts w:asciiTheme="majorHAnsi" w:hAnsiTheme="majorHAnsi" w:eastAsiaTheme="majorEastAsia" w:cstheme="majorBidi"/>
      <w:color w:val="2F5597" w:themeColor="accent1" w:themeShade="BF"/>
      <w:sz w:val="26"/>
      <w:szCs w:val="26"/>
    </w:rPr>
  </w:style>
  <w:style w:type="paragraph" w:customStyle="1" w:styleId="33">
    <w:name w:val="B1"/>
    <w:basedOn w:val="1"/>
    <w:qFormat/>
    <w:uiPriority w:val="0"/>
    <w:pPr>
      <w:ind w:left="568" w:hanging="284"/>
    </w:pPr>
    <w:rPr>
      <w:lang w:eastAsia="zh-CN"/>
    </w:rPr>
  </w:style>
  <w:style w:type="paragraph" w:customStyle="1" w:styleId="34">
    <w:name w:val="B2"/>
    <w:basedOn w:val="1"/>
    <w:qFormat/>
    <w:uiPriority w:val="0"/>
    <w:pPr>
      <w:ind w:left="851" w:hanging="284"/>
    </w:pPr>
    <w:rPr>
      <w:lang w:eastAsia="zh-CN"/>
    </w:rPr>
  </w:style>
  <w:style w:type="paragraph" w:customStyle="1" w:styleId="35">
    <w:name w:val="TH"/>
    <w:basedOn w:val="1"/>
    <w:qFormat/>
    <w:uiPriority w:val="0"/>
    <w:pPr>
      <w:keepNext/>
      <w:keepLines/>
      <w:spacing w:before="60"/>
      <w:jc w:val="center"/>
    </w:pPr>
    <w:rPr>
      <w:rFonts w:ascii="Arial" w:hAnsi="Arial"/>
      <w:b/>
    </w:rPr>
  </w:style>
  <w:style w:type="paragraph" w:customStyle="1" w:styleId="36">
    <w:name w:val="TAC"/>
    <w:basedOn w:val="37"/>
    <w:qFormat/>
    <w:uiPriority w:val="0"/>
    <w:pPr>
      <w:jc w:val="center"/>
    </w:pPr>
  </w:style>
  <w:style w:type="paragraph" w:customStyle="1" w:styleId="37">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253312-9ED1-4BD4-AACF-2C181B9C77DB}">
  <ds:schemaRefs/>
</ds:datastoreItem>
</file>

<file path=customXml/itemProps3.xml><?xml version="1.0" encoding="utf-8"?>
<ds:datastoreItem xmlns:ds="http://schemas.openxmlformats.org/officeDocument/2006/customXml" ds:itemID="{9DA44A59-2E3C-44C4-90C6-A2F0A9AD11DA}">
  <ds:schemaRefs/>
</ds:datastoreItem>
</file>

<file path=customXml/itemProps4.xml><?xml version="1.0" encoding="utf-8"?>
<ds:datastoreItem xmlns:ds="http://schemas.openxmlformats.org/officeDocument/2006/customXml" ds:itemID="{3811C0D6-D16D-4350-B2E1-A7DB68A55523}">
  <ds:schemaRefs/>
</ds:datastoreItem>
</file>

<file path=customXml/itemProps5.xml><?xml version="1.0" encoding="utf-8"?>
<ds:datastoreItem xmlns:ds="http://schemas.openxmlformats.org/officeDocument/2006/customXml" ds:itemID="{70756F89-1898-44BE-A987-0427741EA340}">
  <ds:schemaRefs/>
</ds:datastoreItem>
</file>

<file path=customXml/itemProps6.xml><?xml version="1.0" encoding="utf-8"?>
<ds:datastoreItem xmlns:ds="http://schemas.openxmlformats.org/officeDocument/2006/customXml" ds:itemID="{900C736C-38F3-4CF2-A589-D87BDB84521F}">
  <ds:schemaRefs/>
</ds:datastoreItem>
</file>

<file path=docProps/app.xml><?xml version="1.0" encoding="utf-8"?>
<Properties xmlns="http://schemas.openxmlformats.org/officeDocument/2006/extended-properties" xmlns:vt="http://schemas.openxmlformats.org/officeDocument/2006/docPropsVTypes">
  <Template>Normal.dotm</Template>
  <Pages>2</Pages>
  <Words>470</Words>
  <Characters>2871</Characters>
  <Lines>23</Lines>
  <Paragraphs>6</Paragraphs>
  <TotalTime>58</TotalTime>
  <ScaleCrop>false</ScaleCrop>
  <LinksUpToDate>false</LinksUpToDate>
  <CharactersWithSpaces>3335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2020-11-11T16:58:00Z</dcterms:created>
  <dc:creator>TL</dc:creator>
  <cp:lastModifiedBy>ZTE</cp:lastModifiedBy>
  <dcterms:modified xsi:type="dcterms:W3CDTF">2021-04-02T12:17:02Z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0x010100BA82A88594623E45A54E434C9E0D57E9</vt:lpwstr>
  </property>
  <property fmtid="{D5CDD505-2E9C-101B-9397-08002B2CF9AE}" pid="3" name="KSOProductBuildVer">
    <vt:lpwstr>2052-11.8.2.9022</vt:lpwstr>
  </property>
</Properties>
</file>