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C2BBF" w14:textId="2A4046C0" w:rsidR="001F76E2" w:rsidRDefault="001F76E2" w:rsidP="001F76E2">
      <w:pPr>
        <w:pStyle w:val="CRCoverPage"/>
        <w:tabs>
          <w:tab w:val="right" w:pos="9639"/>
        </w:tabs>
        <w:spacing w:after="0"/>
        <w:rPr>
          <w:b/>
          <w:i/>
          <w:noProof/>
          <w:sz w:val="28"/>
        </w:rPr>
      </w:pPr>
      <w:bookmarkStart w:id="0" w:name="_Toc2086435"/>
      <w:r w:rsidRPr="003A71A1">
        <w:rPr>
          <w:b/>
          <w:noProof/>
          <w:sz w:val="24"/>
        </w:rPr>
        <w:t xml:space="preserve">3GPP TSG-RAN WG4 </w:t>
      </w:r>
      <w:r w:rsidRPr="00E000A7">
        <w:rPr>
          <w:b/>
          <w:noProof/>
          <w:sz w:val="24"/>
          <w:lang w:val="en-US"/>
        </w:rPr>
        <w:t>Meeting</w:t>
      </w:r>
      <w:r w:rsidRPr="003A71A1">
        <w:rPr>
          <w:b/>
          <w:noProof/>
          <w:sz w:val="24"/>
        </w:rPr>
        <w:t xml:space="preserve"> # 98-bis-e </w:t>
      </w:r>
      <w:r>
        <w:rPr>
          <w:b/>
          <w:i/>
          <w:noProof/>
          <w:sz w:val="28"/>
        </w:rPr>
        <w:tab/>
      </w:r>
      <w:r w:rsidR="00CD5ADA" w:rsidRPr="00CD5ADA">
        <w:rPr>
          <w:b/>
          <w:i/>
          <w:noProof/>
          <w:sz w:val="28"/>
        </w:rPr>
        <w:t>R4-2105141</w:t>
      </w:r>
    </w:p>
    <w:p w14:paraId="513667AF" w14:textId="26891F35" w:rsidR="00E660FC" w:rsidRDefault="001F76E2" w:rsidP="00E660FC">
      <w:pPr>
        <w:pStyle w:val="CRCoverPage"/>
        <w:outlineLvl w:val="0"/>
        <w:rPr>
          <w:b/>
          <w:noProof/>
          <w:sz w:val="24"/>
        </w:rPr>
      </w:pPr>
      <w:r w:rsidRPr="00973023">
        <w:rPr>
          <w:rFonts w:cs="Arial"/>
          <w:b/>
          <w:sz w:val="24"/>
          <w:szCs w:val="24"/>
        </w:rPr>
        <w:t>Electronic Meeting, Apr. 12-20, 2021</w:t>
      </w:r>
    </w:p>
    <w:p w14:paraId="3E512B0B" w14:textId="77777777" w:rsidR="00D12A57" w:rsidRPr="006C1584" w:rsidRDefault="00D12A57" w:rsidP="0044364B">
      <w:pPr>
        <w:rPr>
          <w:rFonts w:ascii="Arial" w:hAnsi="Arial" w:cs="Arial"/>
          <w:b/>
          <w:bCs/>
          <w:noProof/>
          <w:sz w:val="24"/>
          <w:szCs w:val="24"/>
          <w:lang w:val="en-US"/>
        </w:rPr>
      </w:pPr>
    </w:p>
    <w:p w14:paraId="4AED29A0" w14:textId="04959A4C"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46E63A5"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179D7">
        <w:rPr>
          <w:rFonts w:ascii="Arial" w:hAnsi="Arial" w:cs="Arial"/>
          <w:bCs/>
          <w:lang w:val="en-US"/>
        </w:rPr>
        <w:t>S</w:t>
      </w:r>
      <w:r w:rsidR="000455F6" w:rsidRPr="000455F6">
        <w:rPr>
          <w:rFonts w:ascii="Arial" w:hAnsi="Arial" w:cs="Arial"/>
          <w:bCs/>
          <w:lang w:val="en-US"/>
        </w:rPr>
        <w:t>upport up to 3</w:t>
      </w:r>
      <w:r w:rsidR="00DF09FF">
        <w:rPr>
          <w:rFonts w:ascii="Arial" w:hAnsi="Arial" w:cs="Arial"/>
          <w:bCs/>
          <w:lang w:val="en-US"/>
        </w:rPr>
        <w:t xml:space="preserve"> µ</w:t>
      </w:r>
      <w:r w:rsidR="000455F6" w:rsidRPr="000455F6">
        <w:rPr>
          <w:rFonts w:ascii="Arial" w:hAnsi="Arial" w:cs="Arial"/>
          <w:bCs/>
          <w:lang w:val="en-US"/>
        </w:rPr>
        <w:t xml:space="preserve">s MRTD </w:t>
      </w:r>
    </w:p>
    <w:p w14:paraId="710B5126" w14:textId="54049035"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5F59EB" w:rsidRPr="005F59EB">
        <w:rPr>
          <w:rFonts w:ascii="Arial" w:hAnsi="Arial" w:cs="Arial"/>
          <w:bCs/>
          <w:lang w:val="en-US"/>
        </w:rPr>
        <w:t>8.3.7.1</w:t>
      </w:r>
    </w:p>
    <w:p w14:paraId="5A3522FA" w14:textId="1D1DA9C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8E542D">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5FF83DD8" w14:textId="35DCC00F" w:rsidR="00DF06B2" w:rsidRDefault="00DF06B2" w:rsidP="00B93FB3">
      <w:pPr>
        <w:rPr>
          <w:lang w:val="en-US"/>
        </w:rPr>
      </w:pPr>
      <w:r>
        <w:rPr>
          <w:lang w:val="en-US"/>
        </w:rPr>
        <w:t xml:space="preserve">In this contribution we develop why at </w:t>
      </w:r>
      <w:r w:rsidRPr="00DF06B2">
        <w:rPr>
          <w:lang w:val="en-US"/>
        </w:rPr>
        <w:t xml:space="preserve">least 3us MRTD is feasible from </w:t>
      </w:r>
      <w:r>
        <w:rPr>
          <w:lang w:val="en-US"/>
        </w:rPr>
        <w:t xml:space="preserve">both from a </w:t>
      </w:r>
      <w:r w:rsidRPr="00DF06B2">
        <w:rPr>
          <w:lang w:val="en-US"/>
        </w:rPr>
        <w:t xml:space="preserve">network perspective </w:t>
      </w:r>
      <w:r>
        <w:rPr>
          <w:lang w:val="en-US"/>
        </w:rPr>
        <w:t xml:space="preserve">and a UE perspective, </w:t>
      </w:r>
      <w:r w:rsidRPr="00DF06B2">
        <w:rPr>
          <w:lang w:val="en-US"/>
        </w:rPr>
        <w:t>for co-located deployments</w:t>
      </w:r>
      <w:r>
        <w:rPr>
          <w:lang w:val="en-US"/>
        </w:rPr>
        <w:t>.</w:t>
      </w:r>
    </w:p>
    <w:p w14:paraId="799B3AF5" w14:textId="31F9139F" w:rsidR="007B3EFB" w:rsidRDefault="007B3EFB" w:rsidP="007B3EFB">
      <w:pPr>
        <w:pStyle w:val="Heading1"/>
      </w:pPr>
      <w:r>
        <w:t>2</w:t>
      </w:r>
      <w:r>
        <w:tab/>
      </w:r>
      <w:r w:rsidRPr="00256876">
        <w:t xml:space="preserve">MRTD from </w:t>
      </w:r>
      <w:r>
        <w:t>UE</w:t>
      </w:r>
      <w:r w:rsidRPr="00256876">
        <w:t xml:space="preserve"> perspective for co-located deployments</w:t>
      </w:r>
    </w:p>
    <w:p w14:paraId="3323A77E" w14:textId="1C4FB638" w:rsidR="007B3EFB" w:rsidRDefault="007B3EFB" w:rsidP="007B3EFB">
      <w:pPr>
        <w:pStyle w:val="Heading2"/>
      </w:pPr>
      <w:r>
        <w:t>2.1</w:t>
      </w:r>
      <w:r>
        <w:tab/>
        <w:t>Beam switch, general case</w:t>
      </w:r>
    </w:p>
    <w:p w14:paraId="79DD5F0B" w14:textId="76D6F758" w:rsidR="007B3EFB" w:rsidRPr="00611597" w:rsidRDefault="006C4241" w:rsidP="007B3EFB">
      <w:pPr>
        <w:rPr>
          <w:lang w:val="sv-SE"/>
        </w:rPr>
      </w:pPr>
      <w:r>
        <w:rPr>
          <w:lang w:val="en-US"/>
        </w:rPr>
        <w:t>Scheduling restrictions ha</w:t>
      </w:r>
      <w:r w:rsidR="007C573F">
        <w:rPr>
          <w:lang w:val="en-US"/>
        </w:rPr>
        <w:t>ve</w:t>
      </w:r>
      <w:r>
        <w:rPr>
          <w:lang w:val="en-US"/>
        </w:rPr>
        <w:t xml:space="preserve"> been discussed as the ultimate consequence of keeping MRTD = 3 µs, as per existing specification. However, t</w:t>
      </w:r>
      <w:r w:rsidR="007B3EFB" w:rsidRPr="00611597">
        <w:rPr>
          <w:lang w:val="en-US"/>
        </w:rPr>
        <w:t xml:space="preserve">here are many </w:t>
      </w:r>
      <w:r>
        <w:rPr>
          <w:lang w:val="en-US"/>
        </w:rPr>
        <w:t>chained conditions</w:t>
      </w:r>
      <w:r w:rsidR="007B3EFB" w:rsidRPr="00611597">
        <w:rPr>
          <w:lang w:val="en-US"/>
        </w:rPr>
        <w:t xml:space="preserve"> </w:t>
      </w:r>
      <w:r>
        <w:rPr>
          <w:lang w:val="en-US"/>
        </w:rPr>
        <w:t xml:space="preserve">to consider </w:t>
      </w:r>
      <w:r w:rsidR="007B3EFB" w:rsidRPr="00611597">
        <w:rPr>
          <w:lang w:val="en-US"/>
        </w:rPr>
        <w:t>before scheduling restrictions are needed</w:t>
      </w:r>
      <w:r w:rsidR="00BF21AB">
        <w:rPr>
          <w:lang w:val="en-US"/>
        </w:rPr>
        <w:t>. In general, we have to have:</w:t>
      </w:r>
    </w:p>
    <w:p w14:paraId="5FCB39D3" w14:textId="77777777" w:rsidR="00DD4B0C" w:rsidRDefault="00DD4B0C" w:rsidP="00DD4B0C">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 xml:space="preserve">A </w:t>
      </w:r>
      <w:r w:rsidRPr="00611597">
        <w:rPr>
          <w:rFonts w:ascii="Times New Roman" w:hAnsi="Times New Roman" w:cs="Times New Roman"/>
          <w:sz w:val="20"/>
          <w:szCs w:val="20"/>
          <w:lang w:val="en-US"/>
        </w:rPr>
        <w:t xml:space="preserve">Band combination </w:t>
      </w:r>
      <w:r>
        <w:rPr>
          <w:rFonts w:ascii="Times New Roman" w:hAnsi="Times New Roman" w:cs="Times New Roman"/>
          <w:sz w:val="20"/>
          <w:szCs w:val="20"/>
          <w:lang w:val="en-US"/>
        </w:rPr>
        <w:t>where the inter band CA combination bands are not so well separated that the channel models and propagation are significantly different.</w:t>
      </w:r>
    </w:p>
    <w:p w14:paraId="3C9413C5" w14:textId="0B15FE15" w:rsidR="007B3EFB" w:rsidRPr="0064500E" w:rsidRDefault="006A1DF5"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 xml:space="preserve">A </w:t>
      </w:r>
      <w:r w:rsidR="007B3EFB" w:rsidRPr="008A3AC0">
        <w:rPr>
          <w:rFonts w:ascii="Times New Roman" w:hAnsi="Times New Roman" w:cs="Times New Roman"/>
          <w:sz w:val="20"/>
          <w:szCs w:val="20"/>
          <w:lang w:val="en-US"/>
        </w:rPr>
        <w:t>Band combination that allows CBM (and where it would make sense to restrict to CBM)</w:t>
      </w:r>
      <w:r w:rsidRPr="007C7F2E">
        <w:rPr>
          <w:rFonts w:ascii="Times New Roman" w:hAnsi="Times New Roman" w:cs="Times New Roman"/>
          <w:sz w:val="20"/>
          <w:szCs w:val="20"/>
          <w:lang w:val="en-US"/>
        </w:rPr>
        <w:t>.</w:t>
      </w:r>
    </w:p>
    <w:p w14:paraId="17C74044" w14:textId="610C7B16" w:rsidR="007B3EFB" w:rsidRPr="008A3AC0" w:rsidRDefault="006A1DF5"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A</w:t>
      </w:r>
      <w:r w:rsidR="007B3EFB" w:rsidRPr="008A3AC0">
        <w:rPr>
          <w:rFonts w:ascii="Times New Roman" w:hAnsi="Times New Roman" w:cs="Times New Roman"/>
          <w:sz w:val="20"/>
          <w:szCs w:val="20"/>
          <w:lang w:val="en-US"/>
        </w:rPr>
        <w:t xml:space="preserve"> UE indicating only capable of CBM for the specific inter band CA band combination</w:t>
      </w:r>
      <w:r w:rsidRPr="008A3AC0">
        <w:rPr>
          <w:rFonts w:ascii="Times New Roman" w:hAnsi="Times New Roman" w:cs="Times New Roman"/>
          <w:sz w:val="20"/>
          <w:szCs w:val="20"/>
          <w:lang w:val="en-US"/>
        </w:rPr>
        <w:t>.</w:t>
      </w:r>
    </w:p>
    <w:p w14:paraId="51F9200F" w14:textId="43A563B1" w:rsidR="007B3EFB" w:rsidRPr="008A3AC0" w:rsidRDefault="007B3EFB"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The network is deployed as co-located (a pre-requisite for supporting CA for CBM restricted UEs</w:t>
      </w:r>
      <w:r w:rsidR="008A3AC0" w:rsidRPr="008A3AC0">
        <w:rPr>
          <w:rFonts w:ascii="Times New Roman" w:hAnsi="Times New Roman" w:cs="Times New Roman"/>
          <w:sz w:val="20"/>
          <w:szCs w:val="20"/>
          <w:lang w:val="en-US"/>
        </w:rPr>
        <w:t>, refer to Section 3 for further details</w:t>
      </w:r>
      <w:r w:rsidRPr="008A3AC0">
        <w:rPr>
          <w:rFonts w:ascii="Times New Roman" w:hAnsi="Times New Roman" w:cs="Times New Roman"/>
          <w:sz w:val="20"/>
          <w:szCs w:val="20"/>
          <w:lang w:val="en-US"/>
        </w:rPr>
        <w:t>)</w:t>
      </w:r>
      <w:r w:rsidR="000F5AE0" w:rsidRPr="008A3AC0">
        <w:rPr>
          <w:rFonts w:ascii="Times New Roman" w:hAnsi="Times New Roman" w:cs="Times New Roman"/>
          <w:sz w:val="20"/>
          <w:szCs w:val="20"/>
          <w:lang w:val="en-US"/>
        </w:rPr>
        <w:t>.</w:t>
      </w:r>
    </w:p>
    <w:p w14:paraId="3AEE62C1" w14:textId="174D63DC" w:rsidR="008A3AC0" w:rsidRPr="007C7F2E" w:rsidRDefault="007C7F2E"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A beam switch or change is still needed, despite network deployed as co-located.</w:t>
      </w:r>
    </w:p>
    <w:p w14:paraId="5D4FB17F" w14:textId="31CADB66" w:rsidR="007B3EFB" w:rsidRPr="003463C5" w:rsidRDefault="000F5AE0"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T</w:t>
      </w:r>
      <w:r w:rsidR="007B3EFB" w:rsidRPr="00611597">
        <w:rPr>
          <w:rFonts w:ascii="Times New Roman" w:hAnsi="Times New Roman" w:cs="Times New Roman"/>
          <w:sz w:val="20"/>
          <w:szCs w:val="20"/>
          <w:lang w:val="en-US"/>
        </w:rPr>
        <w:t>here will be no available time occasion in DL (or UL as well for that matter) where the UE could safely perform a beam switch within CP. If both carriers are not full then there might still exist opportunities to switch.</w:t>
      </w:r>
      <w:r w:rsidR="00447585">
        <w:rPr>
          <w:rFonts w:ascii="Times New Roman" w:hAnsi="Times New Roman" w:cs="Times New Roman"/>
          <w:sz w:val="20"/>
          <w:szCs w:val="20"/>
          <w:lang w:val="en-US"/>
        </w:rPr>
        <w:t xml:space="preserve"> </w:t>
      </w:r>
      <w:r w:rsidR="007B3EFB" w:rsidRPr="00611597">
        <w:rPr>
          <w:rFonts w:ascii="Times New Roman" w:hAnsi="Times New Roman" w:cs="Times New Roman"/>
          <w:sz w:val="20"/>
          <w:szCs w:val="20"/>
          <w:lang w:val="en-US"/>
        </w:rPr>
        <w:t xml:space="preserve">What is the likelihood of </w:t>
      </w:r>
      <w:r w:rsidR="006A1DF5" w:rsidRPr="00611597">
        <w:rPr>
          <w:rFonts w:ascii="Times New Roman" w:hAnsi="Times New Roman" w:cs="Times New Roman"/>
          <w:sz w:val="20"/>
          <w:szCs w:val="20"/>
          <w:lang w:val="en-US"/>
        </w:rPr>
        <w:t>both</w:t>
      </w:r>
      <w:r w:rsidR="007B3EFB" w:rsidRPr="00611597">
        <w:rPr>
          <w:rFonts w:ascii="Times New Roman" w:hAnsi="Times New Roman" w:cs="Times New Roman"/>
          <w:sz w:val="20"/>
          <w:szCs w:val="20"/>
          <w:lang w:val="en-US"/>
        </w:rPr>
        <w:t xml:space="preserve"> carriers full, at all times?</w:t>
      </w:r>
      <w:r w:rsidR="00225E48">
        <w:rPr>
          <w:rFonts w:ascii="Times New Roman" w:hAnsi="Times New Roman" w:cs="Times New Roman"/>
          <w:sz w:val="20"/>
          <w:szCs w:val="20"/>
          <w:lang w:val="en-US"/>
        </w:rPr>
        <w:t xml:space="preserve"> Even if both carriers are </w:t>
      </w:r>
      <w:r w:rsidR="001616DB">
        <w:rPr>
          <w:rFonts w:ascii="Times New Roman" w:hAnsi="Times New Roman" w:cs="Times New Roman"/>
          <w:sz w:val="20"/>
          <w:szCs w:val="20"/>
          <w:lang w:val="en-US"/>
        </w:rPr>
        <w:t>active</w:t>
      </w:r>
      <w:r w:rsidR="00225E48">
        <w:rPr>
          <w:rFonts w:ascii="Times New Roman" w:hAnsi="Times New Roman" w:cs="Times New Roman"/>
          <w:sz w:val="20"/>
          <w:szCs w:val="20"/>
          <w:lang w:val="en-US"/>
        </w:rPr>
        <w:t>, there are possibilities to use the DL to UL guard. One such opportunity is developed in section 2.2 below.</w:t>
      </w:r>
      <w:r w:rsidR="00225E48" w:rsidRPr="00611597">
        <w:rPr>
          <w:rFonts w:ascii="Times New Roman" w:hAnsi="Times New Roman" w:cs="Times New Roman"/>
          <w:sz w:val="20"/>
          <w:szCs w:val="20"/>
          <w:lang w:val="en-US"/>
        </w:rPr>
        <w:t xml:space="preserve"> </w:t>
      </w:r>
    </w:p>
    <w:p w14:paraId="55592B01" w14:textId="2AF0EAEB" w:rsidR="007B3EFB" w:rsidRPr="003463C5" w:rsidRDefault="007B3EFB" w:rsidP="007B3EFB">
      <w:pPr>
        <w:pStyle w:val="ListParagraph"/>
        <w:numPr>
          <w:ilvl w:val="0"/>
          <w:numId w:val="12"/>
        </w:numPr>
        <w:rPr>
          <w:rFonts w:ascii="Times New Roman" w:hAnsi="Times New Roman" w:cs="Times New Roman"/>
          <w:sz w:val="20"/>
          <w:szCs w:val="20"/>
          <w:lang w:val="en-US"/>
        </w:rPr>
      </w:pPr>
      <w:r w:rsidRPr="00611597">
        <w:rPr>
          <w:rFonts w:ascii="Times New Roman" w:hAnsi="Times New Roman" w:cs="Times New Roman"/>
          <w:sz w:val="20"/>
          <w:szCs w:val="20"/>
          <w:lang w:val="en-US"/>
        </w:rPr>
        <w:t xml:space="preserve">If </w:t>
      </w:r>
      <w:r w:rsidR="000F5AE0">
        <w:rPr>
          <w:rFonts w:ascii="Times New Roman" w:hAnsi="Times New Roman" w:cs="Times New Roman"/>
          <w:sz w:val="20"/>
          <w:szCs w:val="20"/>
          <w:lang w:val="en-US"/>
        </w:rPr>
        <w:t xml:space="preserve">it is </w:t>
      </w:r>
      <w:r w:rsidRPr="00611597">
        <w:rPr>
          <w:rFonts w:ascii="Times New Roman" w:hAnsi="Times New Roman" w:cs="Times New Roman"/>
          <w:sz w:val="20"/>
          <w:szCs w:val="20"/>
          <w:lang w:val="en-US"/>
        </w:rPr>
        <w:t xml:space="preserve">not possible to mitigate </w:t>
      </w:r>
      <w:r w:rsidR="00E544DD">
        <w:rPr>
          <w:rFonts w:ascii="Times New Roman" w:hAnsi="Times New Roman" w:cs="Times New Roman"/>
          <w:sz w:val="20"/>
          <w:szCs w:val="20"/>
          <w:lang w:val="en-US"/>
        </w:rPr>
        <w:t xml:space="preserve">effects of </w:t>
      </w:r>
      <w:r w:rsidRPr="00611597">
        <w:rPr>
          <w:rFonts w:ascii="Times New Roman" w:hAnsi="Times New Roman" w:cs="Times New Roman"/>
          <w:sz w:val="20"/>
          <w:szCs w:val="20"/>
          <w:lang w:val="en-US"/>
        </w:rPr>
        <w:t xml:space="preserve">the </w:t>
      </w:r>
      <w:r w:rsidR="000F5AE0">
        <w:rPr>
          <w:rFonts w:ascii="Times New Roman" w:hAnsi="Times New Roman" w:cs="Times New Roman"/>
          <w:sz w:val="20"/>
          <w:szCs w:val="20"/>
          <w:lang w:val="en-US"/>
        </w:rPr>
        <w:t>beam switch</w:t>
      </w:r>
      <w:r w:rsidR="00E544DD">
        <w:rPr>
          <w:rFonts w:ascii="Times New Roman" w:hAnsi="Times New Roman" w:cs="Times New Roman"/>
          <w:sz w:val="20"/>
          <w:szCs w:val="20"/>
          <w:lang w:val="en-US"/>
        </w:rPr>
        <w:t xml:space="preserve"> during actual transmission/reception</w:t>
      </w:r>
      <w:r w:rsidR="000F5AE0">
        <w:rPr>
          <w:rFonts w:ascii="Times New Roman" w:hAnsi="Times New Roman" w:cs="Times New Roman"/>
          <w:sz w:val="20"/>
          <w:szCs w:val="20"/>
          <w:lang w:val="en-US"/>
        </w:rPr>
        <w:t xml:space="preserve">, then </w:t>
      </w:r>
      <w:r w:rsidRPr="00611597">
        <w:rPr>
          <w:rFonts w:ascii="Times New Roman" w:hAnsi="Times New Roman" w:cs="Times New Roman"/>
          <w:sz w:val="20"/>
          <w:szCs w:val="20"/>
          <w:lang w:val="en-US"/>
        </w:rPr>
        <w:t>consequence</w:t>
      </w:r>
      <w:r w:rsidR="000F5AE0">
        <w:rPr>
          <w:rFonts w:ascii="Times New Roman" w:hAnsi="Times New Roman" w:cs="Times New Roman"/>
          <w:sz w:val="20"/>
          <w:szCs w:val="20"/>
          <w:lang w:val="en-US"/>
        </w:rPr>
        <w:t>s</w:t>
      </w:r>
      <w:r w:rsidRPr="00611597">
        <w:rPr>
          <w:rFonts w:ascii="Times New Roman" w:hAnsi="Times New Roman" w:cs="Times New Roman"/>
          <w:sz w:val="20"/>
          <w:szCs w:val="20"/>
          <w:lang w:val="en-US"/>
        </w:rPr>
        <w:t xml:space="preserve"> would be dependent</w:t>
      </w:r>
      <w:r w:rsidR="000F5AE0">
        <w:rPr>
          <w:rFonts w:ascii="Times New Roman" w:hAnsi="Times New Roman" w:cs="Times New Roman"/>
          <w:sz w:val="20"/>
          <w:szCs w:val="20"/>
          <w:lang w:val="en-US"/>
        </w:rPr>
        <w:t xml:space="preserve"> on</w:t>
      </w:r>
      <w:r w:rsidRPr="00611597">
        <w:rPr>
          <w:rFonts w:ascii="Times New Roman" w:hAnsi="Times New Roman" w:cs="Times New Roman"/>
          <w:sz w:val="20"/>
          <w:szCs w:val="20"/>
          <w:lang w:val="en-US"/>
        </w:rPr>
        <w:t xml:space="preserve"> how frequent beam switch would occur.</w:t>
      </w:r>
    </w:p>
    <w:p w14:paraId="58D3A558" w14:textId="6794716F" w:rsidR="007B3EFB" w:rsidRPr="003463C5" w:rsidRDefault="00112D59"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rPr>
        <w:t>I</w:t>
      </w:r>
      <w:r w:rsidRPr="00A05C66">
        <w:rPr>
          <w:rFonts w:ascii="Times New Roman" w:hAnsi="Times New Roman" w:cs="Times New Roman"/>
          <w:sz w:val="20"/>
          <w:szCs w:val="20"/>
        </w:rPr>
        <w:t>f it is not possible to mitigate effects of beam switch during transmission/reception and if happens to frequent then consequences would be dependent beam switch time compared to symbol time</w:t>
      </w:r>
      <w:r>
        <w:t xml:space="preserve"> </w:t>
      </w:r>
    </w:p>
    <w:p w14:paraId="3B72834B" w14:textId="1A09FD2B" w:rsidR="007B3EFB" w:rsidRPr="007B3EFB" w:rsidRDefault="007B3EFB" w:rsidP="007B3EFB">
      <w:r>
        <w:rPr>
          <w:b/>
          <w:bCs/>
          <w:i/>
          <w:iCs/>
        </w:rPr>
        <w:t>Observation</w:t>
      </w:r>
      <w:r w:rsidRPr="00501ECA">
        <w:rPr>
          <w:b/>
          <w:bCs/>
          <w:i/>
          <w:iCs/>
        </w:rPr>
        <w:t>-</w:t>
      </w:r>
      <w:r w:rsidR="0069743E">
        <w:rPr>
          <w:b/>
          <w:bCs/>
          <w:i/>
          <w:iCs/>
        </w:rPr>
        <w:t>1</w:t>
      </w:r>
      <w:r>
        <w:rPr>
          <w:b/>
          <w:bCs/>
          <w:i/>
          <w:iCs/>
        </w:rPr>
        <w:t xml:space="preserve">: </w:t>
      </w:r>
      <w:r w:rsidRPr="00611597">
        <w:rPr>
          <w:b/>
          <w:bCs/>
          <w:i/>
          <w:iCs/>
          <w:lang w:val="en-US"/>
        </w:rPr>
        <w:t>There are many options before scheduling restrictions are needed</w:t>
      </w:r>
      <w:r w:rsidR="00A05C66">
        <w:rPr>
          <w:b/>
          <w:bCs/>
          <w:i/>
          <w:iCs/>
          <w:lang w:val="en-US"/>
        </w:rPr>
        <w:t xml:space="preserve">, like available time in UL and DL </w:t>
      </w:r>
      <w:r w:rsidR="009D0CD3">
        <w:rPr>
          <w:b/>
          <w:bCs/>
          <w:i/>
          <w:iCs/>
          <w:lang w:val="en-US"/>
        </w:rPr>
        <w:t xml:space="preserve">(if carriers not full) and </w:t>
      </w:r>
      <w:r w:rsidR="001F27FA">
        <w:rPr>
          <w:b/>
          <w:bCs/>
          <w:i/>
          <w:iCs/>
          <w:lang w:val="en-US"/>
        </w:rPr>
        <w:t>D</w:t>
      </w:r>
      <w:r w:rsidR="009D0CD3">
        <w:rPr>
          <w:b/>
          <w:bCs/>
          <w:i/>
          <w:iCs/>
          <w:lang w:val="en-US"/>
        </w:rPr>
        <w:t xml:space="preserve">L to </w:t>
      </w:r>
      <w:r w:rsidR="001F27FA">
        <w:rPr>
          <w:b/>
          <w:bCs/>
          <w:i/>
          <w:iCs/>
          <w:lang w:val="en-US"/>
        </w:rPr>
        <w:t>U</w:t>
      </w:r>
      <w:r w:rsidR="009D0CD3">
        <w:rPr>
          <w:b/>
          <w:bCs/>
          <w:i/>
          <w:iCs/>
          <w:lang w:val="en-US"/>
        </w:rPr>
        <w:t xml:space="preserve">L switch, </w:t>
      </w:r>
      <w:r w:rsidR="00A05C66">
        <w:rPr>
          <w:b/>
          <w:bCs/>
          <w:i/>
          <w:iCs/>
          <w:lang w:val="en-US"/>
        </w:rPr>
        <w:t>where UE could safely switch</w:t>
      </w:r>
      <w:r w:rsidR="009D0CD3">
        <w:rPr>
          <w:b/>
          <w:bCs/>
          <w:i/>
          <w:iCs/>
          <w:lang w:val="en-US"/>
        </w:rPr>
        <w:t xml:space="preserve"> beams.</w:t>
      </w:r>
    </w:p>
    <w:p w14:paraId="5331B161" w14:textId="1369F5F1" w:rsidR="007B3EFB" w:rsidRPr="00733096" w:rsidRDefault="007B3EFB" w:rsidP="007B3EFB">
      <w:pPr>
        <w:pStyle w:val="Heading2"/>
      </w:pPr>
      <w:r>
        <w:t xml:space="preserve">2.2 </w:t>
      </w:r>
      <w:r>
        <w:tab/>
        <w:t>Beam switch during DL to UL guard period.</w:t>
      </w:r>
    </w:p>
    <w:p w14:paraId="346EB121" w14:textId="180AFA76" w:rsidR="007B3EFB" w:rsidRPr="00194DCB" w:rsidRDefault="007B3EFB" w:rsidP="007B3EFB">
      <w:r>
        <w:t xml:space="preserve">In a general TDD system we have for the UE to UE interference, </w:t>
      </w:r>
      <w:r w:rsidR="00FB1C7B">
        <w:t>at the d</w:t>
      </w:r>
      <w:r>
        <w:t>own link to up link switching point</w:t>
      </w:r>
      <w:r w:rsidR="00FB1C7B">
        <w:t>,</w:t>
      </w:r>
      <w:r>
        <w:t xml:space="preserve"> the following situation [</w:t>
      </w:r>
      <w:r w:rsidR="008C0F8F">
        <w:t>1</w:t>
      </w:r>
      <w:r>
        <w:t>].</w:t>
      </w:r>
    </w:p>
    <w:p w14:paraId="74E752CA" w14:textId="77777777" w:rsidR="00272464" w:rsidRDefault="007B3EFB" w:rsidP="00272464">
      <w:pPr>
        <w:keepNext/>
      </w:pPr>
      <w:r w:rsidRPr="007347DD">
        <w:rPr>
          <w:lang w:val="en-US"/>
        </w:rPr>
        <w:object w:dxaOrig="15465" w:dyaOrig="9361" w14:anchorId="78F2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32pt" o:ole="">
            <v:imagedata r:id="rId12" o:title=""/>
          </v:shape>
          <o:OLEObject Type="Embed" ProgID="Visio.Drawing.15" ShapeID="_x0000_i1025" DrawAspect="Content" ObjectID="_1678866363" r:id="rId13"/>
        </w:object>
      </w:r>
    </w:p>
    <w:p w14:paraId="158DFF21" w14:textId="14ABE184" w:rsidR="007B3EFB" w:rsidRPr="00272464" w:rsidRDefault="00272464" w:rsidP="00272464">
      <w:pPr>
        <w:pStyle w:val="TF"/>
        <w:rPr>
          <w:rStyle w:val="FollowedHyperlink"/>
        </w:rPr>
      </w:pPr>
      <w:bookmarkStart w:id="3" w:name="_Ref47291627"/>
      <w:r>
        <w:t xml:space="preserve">Figure </w:t>
      </w:r>
      <w:r w:rsidR="00293A8A">
        <w:fldChar w:fldCharType="begin"/>
      </w:r>
      <w:r w:rsidR="00293A8A">
        <w:instrText xml:space="preserve"> SEQ Figure \* ARABIC </w:instrText>
      </w:r>
      <w:r w:rsidR="00293A8A">
        <w:fldChar w:fldCharType="separate"/>
      </w:r>
      <w:r>
        <w:rPr>
          <w:noProof/>
        </w:rPr>
        <w:t>1</w:t>
      </w:r>
      <w:r w:rsidR="00293A8A">
        <w:rPr>
          <w:noProof/>
        </w:rPr>
        <w:fldChar w:fldCharType="end"/>
      </w:r>
      <w:bookmarkEnd w:id="3"/>
      <w:r>
        <w:t xml:space="preserve">: </w:t>
      </w:r>
      <w:r w:rsidRPr="00272464">
        <w:t>UE-to-UE interference at DL to UL switch</w:t>
      </w:r>
    </w:p>
    <w:p w14:paraId="03815B0D" w14:textId="77777777" w:rsidR="007B3EFB" w:rsidRPr="00194DCB" w:rsidRDefault="007B3EFB" w:rsidP="007B3EFB">
      <w:pPr>
        <w:keepLines/>
        <w:tabs>
          <w:tab w:val="left" w:pos="2552"/>
          <w:tab w:val="left" w:pos="3856"/>
          <w:tab w:val="left" w:pos="5216"/>
          <w:tab w:val="left" w:pos="6464"/>
          <w:tab w:val="left" w:pos="7768"/>
          <w:tab w:val="left" w:pos="9072"/>
          <w:tab w:val="left" w:pos="9639"/>
        </w:tabs>
        <w:spacing w:before="240" w:after="0"/>
        <w:rPr>
          <w:spacing w:val="2"/>
          <w:lang w:val="en-US"/>
        </w:rPr>
      </w:pPr>
      <w:r w:rsidRPr="00194DCB">
        <w:rPr>
          <w:spacing w:val="2"/>
          <w:lang w:val="en-US"/>
        </w:rPr>
        <w:t>The guard period in the DL to UL switch must include sufficient time for:</w:t>
      </w:r>
    </w:p>
    <w:p w14:paraId="148EAED5" w14:textId="77777777" w:rsidR="007B3EFB" w:rsidRPr="00354DF9"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Time synchronization error (T</w:t>
      </w:r>
      <w:r w:rsidRPr="00194DCB">
        <w:rPr>
          <w:rFonts w:ascii="Times New Roman" w:hAnsi="Times New Roman" w:cs="Times New Roman"/>
          <w:spacing w:val="2"/>
          <w:sz w:val="20"/>
          <w:szCs w:val="20"/>
          <w:vertAlign w:val="subscript"/>
          <w:lang w:val="en-US"/>
        </w:rPr>
        <w:t>Sync</w:t>
      </w:r>
      <w:r w:rsidRPr="00194DCB">
        <w:rPr>
          <w:rFonts w:ascii="Times New Roman" w:hAnsi="Times New Roman" w:cs="Times New Roman"/>
          <w:spacing w:val="2"/>
          <w:sz w:val="20"/>
          <w:szCs w:val="20"/>
          <w:lang w:val="en-US"/>
        </w:rPr>
        <w:t>) between UE´s connected to different base stations, in this case UE A is T</w:t>
      </w:r>
      <w:r w:rsidRPr="00194DCB">
        <w:rPr>
          <w:rFonts w:ascii="Times New Roman" w:hAnsi="Times New Roman" w:cs="Times New Roman"/>
          <w:spacing w:val="2"/>
          <w:sz w:val="20"/>
          <w:szCs w:val="20"/>
          <w:vertAlign w:val="subscript"/>
          <w:lang w:val="en-US"/>
        </w:rPr>
        <w:t>Sync</w:t>
      </w:r>
      <w:r w:rsidRPr="00194DCB">
        <w:rPr>
          <w:rFonts w:ascii="Times New Roman" w:hAnsi="Times New Roman" w:cs="Times New Roman"/>
          <w:spacing w:val="2"/>
          <w:sz w:val="20"/>
          <w:szCs w:val="20"/>
          <w:lang w:val="en-US"/>
        </w:rPr>
        <w:t xml:space="preserve"> early in relation to UE B. UE A waits at least T</w:t>
      </w:r>
      <w:r w:rsidRPr="00194DCB">
        <w:rPr>
          <w:rFonts w:ascii="Times New Roman" w:hAnsi="Times New Roman" w:cs="Times New Roman"/>
          <w:spacing w:val="2"/>
          <w:sz w:val="20"/>
          <w:szCs w:val="20"/>
          <w:vertAlign w:val="subscript"/>
          <w:lang w:val="en-US"/>
        </w:rPr>
        <w:t>Sync</w:t>
      </w:r>
      <w:r w:rsidRPr="00194DCB">
        <w:rPr>
          <w:rFonts w:ascii="Times New Roman" w:hAnsi="Times New Roman" w:cs="Times New Roman"/>
          <w:spacing w:val="2"/>
          <w:sz w:val="20"/>
          <w:szCs w:val="20"/>
          <w:lang w:val="en-US"/>
        </w:rPr>
        <w:t xml:space="preserve"> before ramping its transmitter. </w:t>
      </w:r>
      <w:r>
        <w:rPr>
          <w:rFonts w:ascii="Times New Roman" w:hAnsi="Times New Roman" w:cs="Times New Roman"/>
          <w:spacing w:val="2"/>
          <w:sz w:val="20"/>
          <w:szCs w:val="20"/>
          <w:lang w:val="en-US"/>
        </w:rPr>
        <w:br/>
      </w:r>
    </w:p>
    <w:p w14:paraId="40D5E231" w14:textId="77777777" w:rsidR="007B3EFB" w:rsidRPr="00194DCB"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Transition time for turning on the transmitter (T</w:t>
      </w:r>
      <w:r w:rsidRPr="00194DCB">
        <w:rPr>
          <w:rFonts w:ascii="Times New Roman" w:hAnsi="Times New Roman" w:cs="Times New Roman"/>
          <w:spacing w:val="2"/>
          <w:sz w:val="20"/>
          <w:szCs w:val="20"/>
          <w:vertAlign w:val="subscript"/>
          <w:lang w:val="en-US"/>
        </w:rPr>
        <w:t>UE off</w:t>
      </w:r>
      <w:r w:rsidRPr="00194DCB">
        <w:rPr>
          <w:rFonts w:ascii="Times New Roman" w:hAnsi="Times New Roman" w:cs="Times New Roman"/>
          <w:sz w:val="20"/>
          <w:szCs w:val="20"/>
          <w:vertAlign w:val="subscript"/>
          <w:lang w:val="en-US"/>
        </w:rPr>
        <w:sym w:font="Wingdings" w:char="F0E8"/>
      </w:r>
      <w:r w:rsidRPr="00194DCB">
        <w:rPr>
          <w:rFonts w:ascii="Times New Roman" w:hAnsi="Times New Roman" w:cs="Times New Roman"/>
          <w:spacing w:val="2"/>
          <w:sz w:val="20"/>
          <w:szCs w:val="20"/>
          <w:vertAlign w:val="subscript"/>
          <w:lang w:val="en-US"/>
        </w:rPr>
        <w:t xml:space="preserve"> on</w:t>
      </w:r>
      <w:r w:rsidRPr="00194DCB">
        <w:rPr>
          <w:rFonts w:ascii="Times New Roman" w:hAnsi="Times New Roman" w:cs="Times New Roman"/>
          <w:spacing w:val="2"/>
          <w:sz w:val="20"/>
          <w:szCs w:val="20"/>
          <w:lang w:val="en-US"/>
        </w:rPr>
        <w:t>).</w:t>
      </w:r>
    </w:p>
    <w:p w14:paraId="68535035" w14:textId="77777777" w:rsidR="007B3EFB" w:rsidRPr="00354DF9" w:rsidRDefault="007B3EFB" w:rsidP="007B3EFB">
      <w:pPr>
        <w:pStyle w:val="ListParagraph"/>
        <w:keepLines/>
        <w:numPr>
          <w:ilvl w:val="1"/>
          <w:numId w:val="10"/>
        </w:numPr>
        <w:tabs>
          <w:tab w:val="left" w:pos="1560"/>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 xml:space="preserve">The time relates to a specified TX OFF level </w:t>
      </w:r>
      <w:r>
        <w:rPr>
          <w:rFonts w:ascii="Times New Roman" w:hAnsi="Times New Roman" w:cs="Times New Roman"/>
          <w:spacing w:val="2"/>
          <w:sz w:val="20"/>
          <w:szCs w:val="20"/>
          <w:lang w:val="en-US"/>
        </w:rPr>
        <w:br/>
      </w:r>
    </w:p>
    <w:p w14:paraId="5F38FC5C" w14:textId="77777777" w:rsidR="007B3EFB" w:rsidRPr="00194DCB"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Propagation time between base station and UE´s at cell edge (T</w:t>
      </w:r>
      <w:r w:rsidRPr="00194DCB">
        <w:rPr>
          <w:rFonts w:ascii="Times New Roman" w:hAnsi="Times New Roman" w:cs="Times New Roman"/>
          <w:spacing w:val="2"/>
          <w:sz w:val="20"/>
          <w:szCs w:val="20"/>
          <w:vertAlign w:val="subscript"/>
          <w:lang w:val="en-US"/>
        </w:rPr>
        <w:t>prop_cell_edge</w:t>
      </w:r>
      <w:r w:rsidRPr="00194DCB">
        <w:rPr>
          <w:rFonts w:ascii="Times New Roman" w:hAnsi="Times New Roman" w:cs="Times New Roman"/>
          <w:spacing w:val="2"/>
          <w:sz w:val="20"/>
          <w:szCs w:val="20"/>
          <w:lang w:val="en-US"/>
        </w:rPr>
        <w:t xml:space="preserve">). </w:t>
      </w:r>
    </w:p>
    <w:p w14:paraId="28363FF9" w14:textId="6EB278A4" w:rsidR="007B3EFB" w:rsidRPr="00194DCB" w:rsidRDefault="007B3EFB" w:rsidP="007B3EFB">
      <w:pPr>
        <w:rPr>
          <w:lang w:val="en-US"/>
        </w:rPr>
      </w:pPr>
      <w:r w:rsidRPr="00194DCB">
        <w:rPr>
          <w:lang w:val="en-US"/>
        </w:rPr>
        <w:br/>
        <w:t>To simplify and to get a direct relation towards cell edge we define this as LOS propagation and multiply with a NLOS path compensation factor α</w:t>
      </w:r>
      <w:r w:rsidRPr="00194DCB">
        <w:rPr>
          <w:vertAlign w:val="subscript"/>
          <w:lang w:val="en-US"/>
        </w:rPr>
        <w:t xml:space="preserve">NLOS </w:t>
      </w:r>
      <w:r w:rsidRPr="00194DCB">
        <w:rPr>
          <w:lang w:val="en-US"/>
        </w:rPr>
        <w:t>(α</w:t>
      </w:r>
      <w:r w:rsidRPr="00194DCB">
        <w:rPr>
          <w:vertAlign w:val="subscript"/>
          <w:lang w:val="en-US"/>
        </w:rPr>
        <w:t>NLOS</w:t>
      </w:r>
      <w:r w:rsidRPr="00194DCB">
        <w:rPr>
          <w:lang w:val="en-US"/>
        </w:rPr>
        <w:t xml:space="preserve"> &gt;1).  </w:t>
      </w:r>
      <w:r w:rsidRPr="00194DCB">
        <w:rPr>
          <w:lang w:val="en-US"/>
        </w:rPr>
        <w:br/>
      </w:r>
      <w:r w:rsidRPr="00194DCB">
        <w:rPr>
          <w:lang w:val="en-US"/>
        </w:rPr>
        <w:br/>
      </w:r>
      <w:r w:rsidRPr="00194DCB">
        <w:rPr>
          <w:spacing w:val="2"/>
          <w:lang w:val="en-US"/>
        </w:rPr>
        <w:t xml:space="preserve">In </w:t>
      </w:r>
      <w:r w:rsidR="00B95460">
        <w:rPr>
          <w:spacing w:val="2"/>
          <w:lang w:val="en-US"/>
        </w:rPr>
        <w:fldChar w:fldCharType="begin"/>
      </w:r>
      <w:r w:rsidR="00B95460">
        <w:rPr>
          <w:spacing w:val="2"/>
          <w:lang w:val="en-US"/>
        </w:rPr>
        <w:instrText xml:space="preserve"> REF _Ref47291627 \h </w:instrText>
      </w:r>
      <w:r w:rsidR="00B95460">
        <w:rPr>
          <w:spacing w:val="2"/>
          <w:lang w:val="en-US"/>
        </w:rPr>
      </w:r>
      <w:r w:rsidR="00B95460">
        <w:rPr>
          <w:spacing w:val="2"/>
          <w:lang w:val="en-US"/>
        </w:rPr>
        <w:fldChar w:fldCharType="separate"/>
      </w:r>
      <w:r w:rsidR="00B95460">
        <w:t xml:space="preserve">Figure </w:t>
      </w:r>
      <w:r w:rsidR="00B95460">
        <w:rPr>
          <w:noProof/>
        </w:rPr>
        <w:t>1</w:t>
      </w:r>
      <w:r w:rsidR="00B95460">
        <w:rPr>
          <w:spacing w:val="2"/>
          <w:lang w:val="en-US"/>
        </w:rPr>
        <w:fldChar w:fldCharType="end"/>
      </w:r>
      <w:r w:rsidRPr="00194DCB">
        <w:rPr>
          <w:spacing w:val="2"/>
          <w:lang w:val="en-US"/>
        </w:rPr>
        <w:t>, a small distance and thereby small propagation time between the UEs (T</w:t>
      </w:r>
      <w:r w:rsidRPr="00194DCB">
        <w:rPr>
          <w:spacing w:val="2"/>
          <w:vertAlign w:val="subscript"/>
          <w:lang w:val="en-US"/>
        </w:rPr>
        <w:t xml:space="preserve">prop_UE2UE </w:t>
      </w:r>
      <w:r w:rsidRPr="00194DCB">
        <w:rPr>
          <w:spacing w:val="2"/>
          <w:lang w:val="en-US"/>
        </w:rPr>
        <w:t xml:space="preserve">~0) is a disadvantage both from a timing view (the interference from UE A would arrive “earlier” at UE B) and from an interference view (short distance also means higher level of interference). </w:t>
      </w:r>
      <w:r w:rsidR="007C573F" w:rsidRPr="00194DCB">
        <w:rPr>
          <w:spacing w:val="2"/>
          <w:lang w:val="en-US"/>
        </w:rPr>
        <w:t>Also,</w:t>
      </w:r>
      <w:r w:rsidRPr="00194DCB">
        <w:rPr>
          <w:spacing w:val="2"/>
          <w:lang w:val="en-US"/>
        </w:rPr>
        <w:t xml:space="preserve"> early UL transmission of aggressor UE A (large TA) and late DL reception of UE B is a disadvantage timing wise i.e. worst situation is when UEs at cell edge and close to each other (motivation why T</w:t>
      </w:r>
      <w:r w:rsidRPr="00194DCB">
        <w:rPr>
          <w:spacing w:val="2"/>
          <w:vertAlign w:val="subscript"/>
          <w:lang w:val="en-US"/>
        </w:rPr>
        <w:t xml:space="preserve">prop_UE2UE </w:t>
      </w:r>
      <w:r w:rsidRPr="00194DCB">
        <w:rPr>
          <w:spacing w:val="2"/>
          <w:lang w:val="en-US"/>
        </w:rPr>
        <w:t xml:space="preserve">not subtracted in formula below). </w:t>
      </w:r>
    </w:p>
    <w:p w14:paraId="4440F22C" w14:textId="77777777" w:rsidR="007B3EFB" w:rsidRPr="007347DD" w:rsidRDefault="007B3EFB" w:rsidP="007B3EFB">
      <w:pPr>
        <w:pStyle w:val="ListParagraph"/>
        <w:keepLines/>
        <w:numPr>
          <w:ilvl w:val="0"/>
          <w:numId w:val="9"/>
        </w:numPr>
        <w:tabs>
          <w:tab w:val="left" w:pos="2552"/>
          <w:tab w:val="left" w:pos="3856"/>
          <w:tab w:val="left" w:pos="5216"/>
          <w:tab w:val="left" w:pos="6464"/>
          <w:tab w:val="left" w:pos="7768"/>
          <w:tab w:val="left" w:pos="9072"/>
          <w:tab w:val="left" w:pos="9639"/>
        </w:tabs>
        <w:spacing w:before="240" w:after="0" w:line="276" w:lineRule="auto"/>
        <w:contextualSpacing/>
        <w:rPr>
          <w:rFonts w:ascii="Arial" w:hAnsi="Arial" w:cs="Arial"/>
          <w:b/>
          <w:spacing w:val="2"/>
          <w:sz w:val="24"/>
          <w:szCs w:val="24"/>
          <w:lang w:val="en-US"/>
        </w:rPr>
      </w:pPr>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 xml:space="preserve">DL_UL </w:t>
      </w:r>
      <w:r w:rsidRPr="007347DD">
        <w:rPr>
          <w:rFonts w:ascii="Arial" w:hAnsi="Arial" w:cs="Arial"/>
          <w:b/>
          <w:spacing w:val="2"/>
          <w:sz w:val="24"/>
          <w:szCs w:val="24"/>
          <w:lang w:val="en-US"/>
        </w:rPr>
        <w:t>≥ T</w:t>
      </w:r>
      <w:r w:rsidRPr="007347DD">
        <w:rPr>
          <w:rFonts w:ascii="Arial" w:hAnsi="Arial" w:cs="Arial"/>
          <w:b/>
          <w:spacing w:val="2"/>
          <w:sz w:val="24"/>
          <w:szCs w:val="24"/>
          <w:vertAlign w:val="subscript"/>
          <w:lang w:val="en-US"/>
        </w:rPr>
        <w:t>Sync</w:t>
      </w:r>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UE off</w:t>
      </w:r>
      <w:r w:rsidRPr="007347DD">
        <w:rPr>
          <w:rFonts w:ascii="Arial" w:hAnsi="Arial" w:cs="Arial"/>
          <w:sz w:val="24"/>
          <w:szCs w:val="24"/>
          <w:vertAlign w:val="subscript"/>
          <w:lang w:val="en-US"/>
        </w:rPr>
        <w:sym w:font="Wingdings" w:char="F0E8"/>
      </w:r>
      <w:r w:rsidRPr="007347DD">
        <w:rPr>
          <w:rFonts w:ascii="Arial" w:hAnsi="Arial" w:cs="Arial"/>
          <w:b/>
          <w:spacing w:val="2"/>
          <w:sz w:val="24"/>
          <w:szCs w:val="24"/>
          <w:vertAlign w:val="subscript"/>
          <w:lang w:val="en-US"/>
        </w:rPr>
        <w:t xml:space="preserve"> on </w:t>
      </w:r>
      <w:r w:rsidRPr="007347DD">
        <w:rPr>
          <w:rFonts w:ascii="Arial" w:hAnsi="Arial" w:cs="Arial"/>
          <w:b/>
          <w:spacing w:val="2"/>
          <w:sz w:val="24"/>
          <w:szCs w:val="24"/>
          <w:lang w:val="en-US"/>
        </w:rPr>
        <w:t xml:space="preserve">+ </w:t>
      </w:r>
      <w:r w:rsidRPr="007347DD">
        <w:rPr>
          <w:spacing w:val="2"/>
          <w:sz w:val="24"/>
          <w:szCs w:val="24"/>
          <w:lang w:val="en-US"/>
        </w:rPr>
        <w:t>α</w:t>
      </w:r>
      <w:r w:rsidRPr="007347DD">
        <w:rPr>
          <w:spacing w:val="2"/>
          <w:vertAlign w:val="subscript"/>
          <w:lang w:val="en-US"/>
        </w:rPr>
        <w:t>NLOS</w:t>
      </w:r>
      <w:r w:rsidRPr="007347DD">
        <w:rPr>
          <w:rFonts w:ascii="Arial" w:hAnsi="Arial" w:cs="Arial"/>
          <w:b/>
          <w:spacing w:val="2"/>
          <w:sz w:val="24"/>
          <w:szCs w:val="24"/>
          <w:lang w:val="en-US"/>
        </w:rPr>
        <w:t xml:space="preserve"> *2*T</w:t>
      </w:r>
      <w:r w:rsidRPr="007347DD">
        <w:rPr>
          <w:rFonts w:ascii="Arial" w:hAnsi="Arial" w:cs="Arial"/>
          <w:b/>
          <w:spacing w:val="2"/>
          <w:sz w:val="24"/>
          <w:szCs w:val="24"/>
          <w:vertAlign w:val="subscript"/>
          <w:lang w:val="en-US"/>
        </w:rPr>
        <w:t>prop_cell edge</w:t>
      </w:r>
      <w:r w:rsidRPr="007347DD">
        <w:rPr>
          <w:rFonts w:ascii="Arial" w:hAnsi="Arial" w:cs="Arial"/>
          <w:b/>
          <w:spacing w:val="2"/>
          <w:sz w:val="24"/>
          <w:szCs w:val="24"/>
          <w:vertAlign w:val="subscript"/>
          <w:lang w:val="en-US"/>
        </w:rPr>
        <w:tab/>
      </w:r>
      <w:r w:rsidRPr="007347DD">
        <w:rPr>
          <w:rFonts w:ascii="Arial" w:hAnsi="Arial" w:cs="Arial"/>
          <w:b/>
          <w:spacing w:val="2"/>
          <w:sz w:val="24"/>
          <w:szCs w:val="24"/>
          <w:lang w:val="en-US"/>
        </w:rPr>
        <w:t>(UE2UE-DL2UL)</w:t>
      </w:r>
    </w:p>
    <w:p w14:paraId="0A975D1A" w14:textId="0C4213F2" w:rsidR="007B3EFB" w:rsidRDefault="007B3EFB" w:rsidP="007B3EFB">
      <w:r>
        <w:br/>
        <w:t xml:space="preserve">To summarise: </w:t>
      </w:r>
      <w:r w:rsidRPr="00E65F5B">
        <w:t>For TDD the UL transmission after DL reception can anyway not start until after 3</w:t>
      </w:r>
      <w:r w:rsidR="00AC1847">
        <w:t xml:space="preserve"> µ</w:t>
      </w:r>
      <w:r w:rsidRPr="00E65F5B">
        <w:t>s after its last DL reception (assuming worst case operating at cell edge with max dimension RF propagation , even more time if closer)</w:t>
      </w:r>
      <w:r w:rsidR="00AC1A7C">
        <w:t>.</w:t>
      </w:r>
      <w:r w:rsidRPr="00E65F5B">
        <w:t xml:space="preserve"> </w:t>
      </w:r>
      <w:r w:rsidR="00AC1A7C">
        <w:t>T</w:t>
      </w:r>
      <w:r w:rsidRPr="00E65F5B">
        <w:t xml:space="preserve">his </w:t>
      </w:r>
      <w:r w:rsidR="00AC1A7C">
        <w:t xml:space="preserve">is </w:t>
      </w:r>
      <w:r w:rsidRPr="00E65F5B">
        <w:t>needed to prevent UE2UE TDD inter cell interference</w:t>
      </w:r>
      <w:r w:rsidR="00AC1A7C">
        <w:t>.</w:t>
      </w:r>
      <w:r w:rsidRPr="00E65F5B">
        <w:t xml:space="preserve"> </w:t>
      </w:r>
      <w:r w:rsidR="00AC1A7C">
        <w:t>Then, a</w:t>
      </w:r>
      <w:r w:rsidRPr="00E65F5B">
        <w:t>fter this</w:t>
      </w:r>
      <w:r w:rsidR="00AC1A7C">
        <w:t>,</w:t>
      </w:r>
      <w:r w:rsidRPr="00E65F5B">
        <w:t xml:space="preserve"> there is an allowed specified TX transient</w:t>
      </w:r>
      <w:r>
        <w:t>. In our case of collocated TDD for Carrier aggregation we have T</w:t>
      </w:r>
      <w:r>
        <w:rPr>
          <w:vertAlign w:val="subscript"/>
        </w:rPr>
        <w:t>Sync</w:t>
      </w:r>
      <w:r>
        <w:t xml:space="preserve"> = TAE = 3 µs and the transient T</w:t>
      </w:r>
      <w:r>
        <w:rPr>
          <w:vertAlign w:val="subscript"/>
        </w:rPr>
        <w:t>UEoff-&gt;on</w:t>
      </w:r>
      <w:r>
        <w:t xml:space="preserve"> = 5 µs</w:t>
      </w:r>
      <w:r w:rsidR="00AC1A7C">
        <w:t>, for FR2</w:t>
      </w:r>
      <w:r>
        <w:t>. The guard period component T</w:t>
      </w:r>
      <w:r>
        <w:rPr>
          <w:vertAlign w:val="subscript"/>
        </w:rPr>
        <w:t>DL_UL</w:t>
      </w:r>
      <w:r>
        <w:t xml:space="preserve"> must consider the cell size for proper dimensioning, i.e. T</w:t>
      </w:r>
      <w:r>
        <w:rPr>
          <w:vertAlign w:val="subscript"/>
        </w:rPr>
        <w:t>prop_cell_edge</w:t>
      </w:r>
      <w:r>
        <w:t xml:space="preserve"> ≠ 0. However</w:t>
      </w:r>
      <w:r w:rsidR="008C74C5">
        <w:t>,</w:t>
      </w:r>
      <w:r>
        <w:t xml:space="preserve"> this means that we have at least T</w:t>
      </w:r>
      <w:r>
        <w:rPr>
          <w:vertAlign w:val="subscript"/>
        </w:rPr>
        <w:t>Sync</w:t>
      </w:r>
      <w:r>
        <w:t xml:space="preserve"> + T</w:t>
      </w:r>
      <w:r>
        <w:rPr>
          <w:vertAlign w:val="subscript"/>
        </w:rPr>
        <w:t>UEoff-&gt;on</w:t>
      </w:r>
      <w:r>
        <w:t xml:space="preserve"> = 3 + 5 µs </w:t>
      </w:r>
      <w:r w:rsidR="008C74C5">
        <w:t xml:space="preserve">= 8 µs </w:t>
      </w:r>
      <w:r>
        <w:t>of T</w:t>
      </w:r>
      <w:r>
        <w:rPr>
          <w:vertAlign w:val="subscript"/>
        </w:rPr>
        <w:t>DL-UL</w:t>
      </w:r>
      <w:r>
        <w:t xml:space="preserve"> guard period and a beam switch change would not impact reception of another 3 µs late DL carrier.</w:t>
      </w:r>
    </w:p>
    <w:p w14:paraId="5E03DCAA" w14:textId="126646AC" w:rsidR="001F27FA" w:rsidRDefault="001F27FA" w:rsidP="001F27FA">
      <w:pPr>
        <w:pStyle w:val="Heading3"/>
      </w:pPr>
      <w:r>
        <w:t xml:space="preserve">2.2.1 </w:t>
      </w:r>
      <w:r>
        <w:tab/>
        <w:t>Analysis</w:t>
      </w:r>
    </w:p>
    <w:p w14:paraId="40E0AE07" w14:textId="381D8026" w:rsidR="00AF31E3" w:rsidRDefault="001F27FA" w:rsidP="00B93FB3">
      <w:pPr>
        <w:rPr>
          <w:lang w:val="en-US"/>
        </w:rPr>
      </w:pPr>
      <w:r>
        <w:rPr>
          <w:lang w:val="en-US"/>
        </w:rPr>
        <w:t>If we assume that the UE w</w:t>
      </w:r>
      <w:r w:rsidRPr="001F27FA">
        <w:rPr>
          <w:lang w:val="en-US"/>
        </w:rPr>
        <w:t>ait for UE DL to UL switch</w:t>
      </w:r>
      <w:r>
        <w:rPr>
          <w:lang w:val="en-US"/>
        </w:rPr>
        <w:t xml:space="preserve"> before changing beams, then we can analyze how big an error can accumulate whilst waiting for the </w:t>
      </w:r>
      <w:r w:rsidRPr="001F27FA">
        <w:rPr>
          <w:lang w:val="en-US"/>
        </w:rPr>
        <w:t>DL to UL switch</w:t>
      </w:r>
      <w:r>
        <w:rPr>
          <w:lang w:val="en-US"/>
        </w:rPr>
        <w:t xml:space="preserve"> point</w:t>
      </w:r>
      <w:r w:rsidRPr="001F27FA">
        <w:rPr>
          <w:lang w:val="en-US"/>
        </w:rPr>
        <w:t>. If upper bound for UE rotation is 2 revolutions/second and max waiting time for DL/UL switch is 62.5% of a 1 ms slot, then pessimistic upper bound for beam angle change = 2*360*625*10</w:t>
      </w:r>
      <w:r w:rsidRPr="001F27FA">
        <w:rPr>
          <w:vertAlign w:val="superscript"/>
          <w:lang w:val="en-US"/>
        </w:rPr>
        <w:t>-6</w:t>
      </w:r>
      <w:r w:rsidRPr="001F27FA">
        <w:rPr>
          <w:lang w:val="en-US"/>
        </w:rPr>
        <w:t xml:space="preserve"> degrees = 0.45 degrees</w:t>
      </w:r>
      <w:r w:rsidR="008C0F8F">
        <w:rPr>
          <w:lang w:val="en-US"/>
        </w:rPr>
        <w:t xml:space="preserve"> [2]</w:t>
      </w:r>
      <w:r w:rsidRPr="001F27FA">
        <w:rPr>
          <w:lang w:val="en-US"/>
        </w:rPr>
        <w:t xml:space="preserve">. </w:t>
      </w:r>
    </w:p>
    <w:p w14:paraId="39D9F0A7" w14:textId="41E67343" w:rsidR="007B3EFB" w:rsidRPr="00B90B65" w:rsidRDefault="007B3EFB" w:rsidP="00B93FB3">
      <w:pPr>
        <w:rPr>
          <w:b/>
          <w:bCs/>
          <w:i/>
          <w:iCs/>
        </w:rPr>
      </w:pPr>
      <w:r w:rsidRPr="00B90B65">
        <w:rPr>
          <w:b/>
          <w:bCs/>
          <w:i/>
          <w:iCs/>
        </w:rPr>
        <w:lastRenderedPageBreak/>
        <w:t>Observation-</w:t>
      </w:r>
      <w:r w:rsidR="006B1BCE" w:rsidRPr="00B90B65">
        <w:rPr>
          <w:b/>
          <w:bCs/>
          <w:i/>
          <w:iCs/>
        </w:rPr>
        <w:t>2</w:t>
      </w:r>
      <w:r w:rsidRPr="00B90B65">
        <w:rPr>
          <w:b/>
          <w:bCs/>
          <w:i/>
          <w:iCs/>
        </w:rPr>
        <w:t xml:space="preserve">: </w:t>
      </w:r>
      <w:r w:rsidR="00231192" w:rsidRPr="005B0876">
        <w:rPr>
          <w:b/>
          <w:bCs/>
          <w:i/>
          <w:iCs/>
        </w:rPr>
        <w:t>A beam switch could be performed safe within the DL2UL guard if properly performed</w:t>
      </w:r>
      <w:r w:rsidRPr="000D62AB">
        <w:rPr>
          <w:b/>
          <w:bCs/>
          <w:i/>
          <w:iCs/>
        </w:rPr>
        <w:t>.</w:t>
      </w:r>
    </w:p>
    <w:p w14:paraId="6C1CECAB" w14:textId="64B77F3B" w:rsidR="00256876" w:rsidRDefault="007B3EFB" w:rsidP="00256876">
      <w:pPr>
        <w:pStyle w:val="Heading1"/>
      </w:pPr>
      <w:bookmarkStart w:id="4" w:name="_Ref47448875"/>
      <w:r>
        <w:t>3</w:t>
      </w:r>
      <w:r w:rsidR="00256876" w:rsidRPr="00256876">
        <w:tab/>
        <w:t>MRTD from network perspective for co-located deployments</w:t>
      </w:r>
      <w:bookmarkEnd w:id="4"/>
    </w:p>
    <w:p w14:paraId="5B0FE5CC" w14:textId="77777777" w:rsidR="00371A0E" w:rsidRDefault="00371A0E" w:rsidP="00371A0E">
      <w:r w:rsidRPr="00371A0E">
        <w:t>MRTD from network perspective for co-located deployments</w:t>
      </w:r>
      <w:r>
        <w:t xml:space="preserve"> can be analysed starting from the fact that we have:</w:t>
      </w:r>
    </w:p>
    <w:p w14:paraId="16FFE3D7" w14:textId="44976DA3" w:rsidR="00371A0E" w:rsidRDefault="00E313F6" w:rsidP="00371A0E">
      <w:pPr>
        <w:jc w:val="center"/>
      </w:pPr>
      <w:r w:rsidRPr="00E313F6">
        <w:t>MRTD = TAE + Δ_propagation</w:t>
      </w:r>
      <w:r w:rsidR="007C573F">
        <w:t>_</w:t>
      </w:r>
      <w:r w:rsidRPr="00E313F6">
        <w:t>time</w:t>
      </w:r>
    </w:p>
    <w:p w14:paraId="0222CAEE" w14:textId="0746D50B" w:rsidR="00371A0E" w:rsidRDefault="00E313F6" w:rsidP="00FA514A">
      <w:r>
        <w:t xml:space="preserve">where </w:t>
      </w:r>
      <w:r w:rsidRPr="00E313F6">
        <w:t>Δ_propagation</w:t>
      </w:r>
      <w:r w:rsidR="007C573F">
        <w:t>_</w:t>
      </w:r>
      <w:r w:rsidRPr="00E313F6">
        <w:t>time</w:t>
      </w:r>
      <w:r>
        <w:t xml:space="preserve"> is the relative propagation time difference from the gNB</w:t>
      </w:r>
      <w:r w:rsidR="00F14A1D">
        <w:t>s</w:t>
      </w:r>
      <w:r>
        <w:t xml:space="preserve"> to the UE</w:t>
      </w:r>
      <w:r w:rsidRPr="00E313F6">
        <w:t xml:space="preserve">. </w:t>
      </w:r>
    </w:p>
    <w:p w14:paraId="520FFC94" w14:textId="0AE03915" w:rsidR="00C666DD" w:rsidRDefault="00E313F6" w:rsidP="00FA514A">
      <w:r w:rsidRPr="00E313F6">
        <w:t xml:space="preserve">This means that MRTD ≥ TAE. If </w:t>
      </w:r>
      <w:r w:rsidR="00B47FA3">
        <w:t xml:space="preserve">the cannels of the different bands </w:t>
      </w:r>
      <w:r w:rsidR="00D53A23">
        <w:t xml:space="preserve">of the Component Carriers (CC) </w:t>
      </w:r>
      <w:r w:rsidR="00B47FA3">
        <w:t>are sufficiently close together to have the same channel model and propagation, the band combination signals that CBM is allowed and the UE is only capable of CBM</w:t>
      </w:r>
      <w:r w:rsidR="000D62AB">
        <w:t xml:space="preserve"> (Section 2.1)</w:t>
      </w:r>
      <w:r w:rsidR="00B47FA3">
        <w:t xml:space="preserve">, then we can assume </w:t>
      </w:r>
      <w:r w:rsidRPr="00E313F6">
        <w:t>co</w:t>
      </w:r>
      <w:r w:rsidR="00371A0E">
        <w:t>-</w:t>
      </w:r>
      <w:r w:rsidRPr="00E313F6">
        <w:t>locat</w:t>
      </w:r>
      <w:r w:rsidR="00B47FA3">
        <w:t>ion.</w:t>
      </w:r>
      <w:r w:rsidRPr="00E313F6">
        <w:t xml:space="preserve"> </w:t>
      </w:r>
      <w:r w:rsidR="00B47FA3">
        <w:t>T</w:t>
      </w:r>
      <w:r w:rsidRPr="00E313F6">
        <w:t>hen Δ_propagation = 0 and MRTD = TAE. We have TAE = 3 µs for inter-band CA in existing specification. This gives us an MRTD of 3 µs</w:t>
      </w:r>
      <w:r w:rsidR="00040834">
        <w:t>.</w:t>
      </w:r>
    </w:p>
    <w:p w14:paraId="4342C133" w14:textId="04CE3353" w:rsidR="00F372EC" w:rsidRPr="002C4C1D" w:rsidRDefault="00025BB1" w:rsidP="00CA01CB">
      <w:pPr>
        <w:rPr>
          <w:rFonts w:eastAsiaTheme="minorEastAsia"/>
        </w:rPr>
      </w:pPr>
      <w:r>
        <w:t>Even s</w:t>
      </w:r>
      <w:r w:rsidR="00E313F6" w:rsidRPr="00E313F6">
        <w:t xml:space="preserve">maller MRTD means smaller TAE </w:t>
      </w:r>
      <w:r w:rsidR="00F372EC">
        <w:t>for the</w:t>
      </w:r>
      <w:r w:rsidR="00E313F6" w:rsidRPr="00E313F6">
        <w:t xml:space="preserve"> collocated case. Operator network deployment of transmission network presuppose</w:t>
      </w:r>
      <w:r w:rsidR="00CA01CB">
        <w:t xml:space="preserve"> existing </w:t>
      </w:r>
      <w:r w:rsidR="00E313F6" w:rsidRPr="00E313F6">
        <w:t>TAE = 3 µs for CA inter-band and a restriction to smaller TAE would imply operator cost, in order to reconfigure transmission network to meet and maintain new stricter TAE</w:t>
      </w:r>
      <w:r w:rsidR="00F62AD7">
        <w:t>, since a new</w:t>
      </w:r>
      <w:r w:rsidR="00D21046">
        <w:t>,</w:t>
      </w:r>
      <w:r w:rsidR="00F62AD7">
        <w:t xml:space="preserve"> stricter TAE</w:t>
      </w:r>
      <w:r w:rsidR="00D21046">
        <w:t>,</w:t>
      </w:r>
      <w:r w:rsidR="00F62AD7">
        <w:t xml:space="preserve"> is not compatible with existing </w:t>
      </w:r>
      <w:r w:rsidR="009B037C">
        <w:t>requirements</w:t>
      </w:r>
      <w:r w:rsidR="00E313F6" w:rsidRPr="00E313F6">
        <w:t xml:space="preserve">. </w:t>
      </w:r>
      <w:r w:rsidR="00F372EC" w:rsidRPr="002C4C1D">
        <w:rPr>
          <w:rFonts w:eastAsiaTheme="minorEastAsia"/>
        </w:rPr>
        <w:t xml:space="preserve">So, we propose as follows: </w:t>
      </w:r>
    </w:p>
    <w:p w14:paraId="72FAA388" w14:textId="77777777" w:rsidR="00F372EC" w:rsidRPr="00501ECA" w:rsidRDefault="00F372EC" w:rsidP="00F372EC">
      <w:pPr>
        <w:rPr>
          <w:lang w:eastAsia="ja-JP"/>
        </w:rPr>
      </w:pPr>
      <w:bookmarkStart w:id="5" w:name="_Hlk47292503"/>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for FR2 inter-band CA</w:t>
      </w:r>
      <w:r>
        <w:rPr>
          <w:rFonts w:eastAsiaTheme="minorEastAsia"/>
          <w:b/>
          <w:bCs/>
          <w:i/>
          <w:iCs/>
        </w:rPr>
        <w:t>; i.e. keep Rel-15 values for BS TAE unchanged</w:t>
      </w:r>
      <w:r w:rsidRPr="00C841E9">
        <w:rPr>
          <w:rFonts w:eastAsiaTheme="minorEastAsia"/>
          <w:b/>
          <w:bCs/>
          <w:i/>
          <w:iCs/>
        </w:rPr>
        <w:t>.</w:t>
      </w:r>
    </w:p>
    <w:p w14:paraId="4FEBBE51" w14:textId="77777777" w:rsidR="00F372EC" w:rsidRPr="00D36FCC" w:rsidRDefault="00F372EC" w:rsidP="00F372EC">
      <w:pPr>
        <w:rPr>
          <w:b/>
          <w:bCs/>
          <w:i/>
          <w:iCs/>
        </w:rPr>
      </w:pPr>
      <w:r>
        <w:rPr>
          <w:b/>
          <w:bCs/>
          <w:i/>
          <w:iCs/>
        </w:rPr>
        <w:t>Proposal</w:t>
      </w:r>
      <w:r w:rsidRPr="00D36FCC">
        <w:rPr>
          <w:b/>
          <w:bCs/>
          <w:i/>
          <w:iCs/>
        </w:rPr>
        <w:t>-</w:t>
      </w:r>
      <w:r>
        <w:rPr>
          <w:b/>
          <w:bCs/>
          <w:i/>
          <w:iCs/>
        </w:rPr>
        <w:t>2</w:t>
      </w:r>
      <w:r w:rsidRPr="00D36FCC">
        <w:rPr>
          <w:b/>
          <w:bCs/>
          <w:i/>
          <w:iCs/>
        </w:rPr>
        <w:t xml:space="preserve">: </w:t>
      </w:r>
    </w:p>
    <w:p w14:paraId="21F109DC"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37140DFF"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1769B7A5"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4DB6FDC5" w14:textId="77777777" w:rsidR="00F372EC" w:rsidRPr="00501ECA" w:rsidRDefault="00F372EC" w:rsidP="00F372EC">
      <w:pPr>
        <w:rPr>
          <w:b/>
          <w:bCs/>
          <w:i/>
          <w:iCs/>
        </w:rPr>
      </w:pPr>
      <w:r w:rsidRPr="00501ECA">
        <w:rPr>
          <w:b/>
          <w:bCs/>
          <w:i/>
          <w:iCs/>
        </w:rPr>
        <w:t>Proposal-3:</w:t>
      </w:r>
      <w:r>
        <w:rPr>
          <w:b/>
          <w:bCs/>
          <w:i/>
          <w:iCs/>
        </w:rPr>
        <w:t xml:space="preserve"> Define MRTD for inter-band FR2 NR CA with common beam management as </w:t>
      </w:r>
      <w:r>
        <w:rPr>
          <w:rFonts w:eastAsiaTheme="minorEastAsia"/>
          <w:b/>
          <w:bCs/>
          <w:i/>
          <w:iCs/>
        </w:rPr>
        <w:t xml:space="preserve">3 </w:t>
      </w:r>
      <w:r w:rsidRPr="00BB2234">
        <w:rPr>
          <w:rFonts w:eastAsiaTheme="minorEastAsia"/>
          <w:b/>
          <w:bCs/>
          <w:i/>
          <w:iCs/>
        </w:rPr>
        <w:t>µ</w:t>
      </w:r>
      <w:r>
        <w:rPr>
          <w:rFonts w:eastAsiaTheme="minorEastAsia"/>
          <w:b/>
          <w:bCs/>
          <w:i/>
          <w:iCs/>
        </w:rPr>
        <w:t>s.</w:t>
      </w:r>
    </w:p>
    <w:p w14:paraId="5367474D" w14:textId="411AD167" w:rsidR="00F372EC" w:rsidRDefault="00F372EC" w:rsidP="00FA514A">
      <w:pPr>
        <w:rPr>
          <w:b/>
          <w:bCs/>
          <w:i/>
          <w:iCs/>
        </w:rPr>
      </w:pPr>
      <w:r w:rsidRPr="00073E8A">
        <w:rPr>
          <w:b/>
          <w:bCs/>
          <w:i/>
          <w:iCs/>
        </w:rPr>
        <w:t>Proposal</w:t>
      </w:r>
      <w:r w:rsidR="00CA01CB">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bookmarkEnd w:id="5"/>
    <w:p w14:paraId="7DE08BE8" w14:textId="3A7E3AA0" w:rsidR="00B93FB3" w:rsidRDefault="00FA514A" w:rsidP="00B93FB3">
      <w:pPr>
        <w:pStyle w:val="Heading1"/>
        <w:rPr>
          <w:lang w:val="en-US"/>
        </w:rPr>
      </w:pPr>
      <w:r>
        <w:rPr>
          <w:lang w:val="en-US"/>
        </w:rPr>
        <w:t>4</w:t>
      </w:r>
      <w:r w:rsidR="00B93FB3">
        <w:rPr>
          <w:lang w:val="en-US"/>
        </w:rPr>
        <w:tab/>
        <w:t>Summary</w:t>
      </w:r>
    </w:p>
    <w:p w14:paraId="04BD675C" w14:textId="56FA9812" w:rsidR="00992A84" w:rsidRPr="00850428" w:rsidRDefault="00992A84" w:rsidP="00992A84">
      <w:r>
        <w:rPr>
          <w:b/>
          <w:bCs/>
          <w:i/>
          <w:iCs/>
        </w:rPr>
        <w:t>Observation</w:t>
      </w:r>
      <w:r w:rsidRPr="00501ECA">
        <w:rPr>
          <w:b/>
          <w:bCs/>
          <w:i/>
          <w:iCs/>
        </w:rPr>
        <w:t>-</w:t>
      </w:r>
      <w:r>
        <w:rPr>
          <w:b/>
          <w:bCs/>
          <w:i/>
          <w:iCs/>
        </w:rPr>
        <w:t xml:space="preserve">1: </w:t>
      </w:r>
      <w:r w:rsidRPr="00611597">
        <w:rPr>
          <w:b/>
          <w:bCs/>
          <w:i/>
          <w:iCs/>
          <w:lang w:val="en-US"/>
        </w:rPr>
        <w:t>There are many options before scheduling restrictions are needed</w:t>
      </w:r>
      <w:r w:rsidR="008674F7">
        <w:rPr>
          <w:b/>
          <w:bCs/>
          <w:i/>
          <w:iCs/>
          <w:lang w:val="en-US"/>
        </w:rPr>
        <w:t>, like available time in UL and DL (if carriers not full) and UL to DL switch, where UE could safely switch beams.</w:t>
      </w:r>
    </w:p>
    <w:p w14:paraId="6CB1827C" w14:textId="31643B3B" w:rsidR="00992A84" w:rsidRDefault="00992A84" w:rsidP="00992A84">
      <w:pPr>
        <w:rPr>
          <w:b/>
          <w:bCs/>
          <w:i/>
          <w:iCs/>
        </w:rPr>
      </w:pPr>
      <w:r>
        <w:rPr>
          <w:b/>
          <w:bCs/>
          <w:i/>
          <w:iCs/>
        </w:rPr>
        <w:t>Observation</w:t>
      </w:r>
      <w:r w:rsidRPr="00501ECA">
        <w:rPr>
          <w:b/>
          <w:bCs/>
          <w:i/>
          <w:iCs/>
        </w:rPr>
        <w:t>-</w:t>
      </w:r>
      <w:r>
        <w:rPr>
          <w:b/>
          <w:bCs/>
          <w:i/>
          <w:iCs/>
        </w:rPr>
        <w:t>2: A</w:t>
      </w:r>
      <w:r w:rsidRPr="00BA03BF">
        <w:rPr>
          <w:b/>
          <w:bCs/>
          <w:i/>
          <w:iCs/>
        </w:rPr>
        <w:t xml:space="preserve"> beam switch change </w:t>
      </w:r>
      <w:r>
        <w:rPr>
          <w:b/>
          <w:bCs/>
          <w:i/>
          <w:iCs/>
        </w:rPr>
        <w:t xml:space="preserve">during </w:t>
      </w:r>
      <w:r w:rsidRPr="0067596C">
        <w:rPr>
          <w:b/>
          <w:bCs/>
          <w:i/>
          <w:iCs/>
        </w:rPr>
        <w:t>T</w:t>
      </w:r>
      <w:r w:rsidRPr="008C74C5">
        <w:rPr>
          <w:b/>
          <w:bCs/>
          <w:i/>
          <w:iCs/>
          <w:vertAlign w:val="subscript"/>
        </w:rPr>
        <w:t xml:space="preserve">DL-UL </w:t>
      </w:r>
      <w:r w:rsidRPr="0067596C">
        <w:rPr>
          <w:b/>
          <w:bCs/>
          <w:i/>
          <w:iCs/>
        </w:rPr>
        <w:t xml:space="preserve">guard period </w:t>
      </w:r>
      <w:r w:rsidRPr="00BA03BF">
        <w:rPr>
          <w:b/>
          <w:bCs/>
          <w:i/>
          <w:iCs/>
        </w:rPr>
        <w:t>would not impact reception of another 3 µs late DL carrier.</w:t>
      </w:r>
    </w:p>
    <w:p w14:paraId="6D41011A" w14:textId="6B508724" w:rsidR="00992A84" w:rsidRPr="00992A84" w:rsidRDefault="00992A84" w:rsidP="00992A84">
      <w:r>
        <w:t>Given these observations, we propose the following:</w:t>
      </w:r>
    </w:p>
    <w:p w14:paraId="7A0DB5B6" w14:textId="77777777" w:rsidR="00992A84" w:rsidRPr="00501ECA" w:rsidRDefault="00992A84" w:rsidP="00992A84">
      <w:pPr>
        <w:rPr>
          <w:lang w:eastAsia="ja-JP"/>
        </w:rPr>
      </w:pPr>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for FR2 inter-band CA</w:t>
      </w:r>
      <w:r>
        <w:rPr>
          <w:rFonts w:eastAsiaTheme="minorEastAsia"/>
          <w:b/>
          <w:bCs/>
          <w:i/>
          <w:iCs/>
        </w:rPr>
        <w:t>; i.e. keep Rel-15 values for BS TAE unchanged</w:t>
      </w:r>
      <w:r w:rsidRPr="00C841E9">
        <w:rPr>
          <w:rFonts w:eastAsiaTheme="minorEastAsia"/>
          <w:b/>
          <w:bCs/>
          <w:i/>
          <w:iCs/>
        </w:rPr>
        <w:t>.</w:t>
      </w:r>
    </w:p>
    <w:p w14:paraId="7B00FD5A" w14:textId="77777777" w:rsidR="00992A84" w:rsidRPr="00D36FCC" w:rsidRDefault="00992A84" w:rsidP="00992A84">
      <w:pPr>
        <w:rPr>
          <w:b/>
          <w:bCs/>
          <w:i/>
          <w:iCs/>
        </w:rPr>
      </w:pPr>
      <w:r>
        <w:rPr>
          <w:b/>
          <w:bCs/>
          <w:i/>
          <w:iCs/>
        </w:rPr>
        <w:t>Proposal</w:t>
      </w:r>
      <w:r w:rsidRPr="00D36FCC">
        <w:rPr>
          <w:b/>
          <w:bCs/>
          <w:i/>
          <w:iCs/>
        </w:rPr>
        <w:t>-</w:t>
      </w:r>
      <w:r>
        <w:rPr>
          <w:b/>
          <w:bCs/>
          <w:i/>
          <w:iCs/>
        </w:rPr>
        <w:t>2</w:t>
      </w:r>
      <w:r w:rsidRPr="00D36FCC">
        <w:rPr>
          <w:b/>
          <w:bCs/>
          <w:i/>
          <w:iCs/>
        </w:rPr>
        <w:t xml:space="preserve">: </w:t>
      </w:r>
    </w:p>
    <w:p w14:paraId="700457CF"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71A9929D"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lastRenderedPageBreak/>
        <w:t>The relevant UEs should be identified and distinguished (e.g. via capability indication, etc.) and the restrictions shall not be applied (e.g. deployment restrictions, etc.) for all UEs and all band combinations for the future of NR.</w:t>
      </w:r>
    </w:p>
    <w:p w14:paraId="116A78F7"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3CAF4CCF" w14:textId="77777777" w:rsidR="00992A84" w:rsidRPr="00501ECA" w:rsidRDefault="00992A84" w:rsidP="00992A84">
      <w:pPr>
        <w:rPr>
          <w:b/>
          <w:bCs/>
          <w:i/>
          <w:iCs/>
        </w:rPr>
      </w:pPr>
      <w:r w:rsidRPr="00501ECA">
        <w:rPr>
          <w:b/>
          <w:bCs/>
          <w:i/>
          <w:iCs/>
        </w:rPr>
        <w:t>Proposal-3:</w:t>
      </w:r>
      <w:r>
        <w:rPr>
          <w:b/>
          <w:bCs/>
          <w:i/>
          <w:iCs/>
        </w:rPr>
        <w:t xml:space="preserve"> Define MRTD for inter-band FR2 NR CA with common beam management as </w:t>
      </w:r>
      <w:r>
        <w:rPr>
          <w:rFonts w:eastAsiaTheme="minorEastAsia"/>
          <w:b/>
          <w:bCs/>
          <w:i/>
          <w:iCs/>
        </w:rPr>
        <w:t xml:space="preserve">3 </w:t>
      </w:r>
      <w:r w:rsidRPr="00BB2234">
        <w:rPr>
          <w:rFonts w:eastAsiaTheme="minorEastAsia"/>
          <w:b/>
          <w:bCs/>
          <w:i/>
          <w:iCs/>
        </w:rPr>
        <w:t>µ</w:t>
      </w:r>
      <w:r>
        <w:rPr>
          <w:rFonts w:eastAsiaTheme="minorEastAsia"/>
          <w:b/>
          <w:bCs/>
          <w:i/>
          <w:iCs/>
        </w:rPr>
        <w:t>s.</w:t>
      </w:r>
    </w:p>
    <w:p w14:paraId="59701A59" w14:textId="3FD62B2A" w:rsidR="00992A84" w:rsidRDefault="00992A84" w:rsidP="00992A84">
      <w:pPr>
        <w:rPr>
          <w:rFonts w:eastAsiaTheme="minorEastAsia"/>
          <w:b/>
          <w:bCs/>
          <w:i/>
          <w:iCs/>
        </w:rPr>
      </w:pPr>
      <w:r w:rsidRPr="00073E8A">
        <w:rPr>
          <w:b/>
          <w:bCs/>
          <w:i/>
          <w:iCs/>
        </w:rPr>
        <w:t>Proposal</w:t>
      </w:r>
      <w:r>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p w14:paraId="42C2E795" w14:textId="1C544FD8" w:rsidR="003D429A" w:rsidRDefault="003D429A" w:rsidP="003D429A">
      <w:pPr>
        <w:pStyle w:val="Heading1"/>
        <w:rPr>
          <w:lang w:val="en-US"/>
        </w:rPr>
      </w:pPr>
      <w:r>
        <w:rPr>
          <w:lang w:val="en-US"/>
        </w:rPr>
        <w:t>References</w:t>
      </w:r>
    </w:p>
    <w:p w14:paraId="674B2841" w14:textId="5612A507" w:rsidR="00B63165" w:rsidRPr="008C0F8F" w:rsidRDefault="008C0F8F" w:rsidP="008C0F8F">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6" w:name="_Ref508638450"/>
      <w:bookmarkStart w:id="7" w:name="_Ref3386619"/>
      <w:r w:rsidRPr="008C0F8F">
        <w:rPr>
          <w:rFonts w:ascii="Times New Roman" w:hAnsi="Times New Roman" w:cs="Times New Roman"/>
          <w:sz w:val="20"/>
          <w:szCs w:val="20"/>
          <w:lang w:val="en-US"/>
        </w:rPr>
        <w:t>R4-1701084, TP for NR Rel-14 TR 38.803: TDD timing budget, Ericsson</w:t>
      </w:r>
      <w:r w:rsidRPr="008C0F8F">
        <w:rPr>
          <w:rFonts w:ascii="Times New Roman" w:hAnsi="Times New Roman" w:cs="Times New Roman"/>
          <w:sz w:val="20"/>
          <w:szCs w:val="20"/>
          <w:lang w:val="en-US"/>
        </w:rPr>
        <w:br/>
      </w:r>
    </w:p>
    <w:p w14:paraId="24D4AD0F" w14:textId="177467B4" w:rsidR="008C0F8F" w:rsidRPr="00293A8A" w:rsidRDefault="008C0F8F" w:rsidP="00293A8A">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8C0F8F">
        <w:rPr>
          <w:rFonts w:ascii="Times New Roman" w:hAnsi="Times New Roman" w:cs="Times New Roman"/>
          <w:sz w:val="20"/>
          <w:szCs w:val="20"/>
          <w:lang w:val="en-US"/>
        </w:rPr>
        <w:t>R4-2100570, Views on Applicability of CBM/IBM for different CA combinations, Sony, Ericsson</w:t>
      </w:r>
      <w:r w:rsidRPr="00293A8A">
        <w:rPr>
          <w:lang w:val="en-US"/>
        </w:rPr>
        <w:br/>
      </w:r>
    </w:p>
    <w:p w14:paraId="47AEC2A1" w14:textId="77777777" w:rsidR="008C0F8F" w:rsidRPr="008C0F8F" w:rsidRDefault="008C0F8F" w:rsidP="008C0F8F">
      <w:pPr>
        <w:overflowPunct w:val="0"/>
        <w:autoSpaceDE w:val="0"/>
        <w:autoSpaceDN w:val="0"/>
        <w:adjustRightInd w:val="0"/>
        <w:ind w:left="360"/>
        <w:contextualSpacing/>
        <w:textAlignment w:val="baseline"/>
        <w:rPr>
          <w:lang w:val="en-US"/>
        </w:rPr>
      </w:pPr>
    </w:p>
    <w:bookmarkEnd w:id="6"/>
    <w:bookmarkEnd w:id="7"/>
    <w:p w14:paraId="6987C0BF" w14:textId="77777777" w:rsidR="003D429A" w:rsidRPr="003D429A" w:rsidRDefault="003D429A" w:rsidP="003D429A">
      <w:pPr>
        <w:rPr>
          <w:lang w:val="en-US"/>
        </w:rPr>
      </w:pPr>
    </w:p>
    <w:sectPr w:rsidR="003D429A" w:rsidRPr="003D42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5F59EB" w:rsidRDefault="005F59EB">
      <w:r>
        <w:separator/>
      </w:r>
    </w:p>
  </w:endnote>
  <w:endnote w:type="continuationSeparator" w:id="0">
    <w:p w14:paraId="1A37C4FC" w14:textId="77777777" w:rsidR="005F59EB" w:rsidRDefault="005F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5F59EB" w:rsidRDefault="005F59EB"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F59EB" w:rsidRPr="006F61D7" w:rsidRDefault="005F59EB"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5F59EB" w:rsidRDefault="005F59EB">
      <w:r>
        <w:separator/>
      </w:r>
    </w:p>
  </w:footnote>
  <w:footnote w:type="continuationSeparator" w:id="0">
    <w:p w14:paraId="5691C85F" w14:textId="77777777" w:rsidR="005F59EB" w:rsidRDefault="005F5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03A33"/>
    <w:multiLevelType w:val="hybridMultilevel"/>
    <w:tmpl w:val="09905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57468F"/>
    <w:multiLevelType w:val="hybridMultilevel"/>
    <w:tmpl w:val="26725EFE"/>
    <w:lvl w:ilvl="0" w:tplc="C16E15E2">
      <w:start w:val="1"/>
      <w:numFmt w:val="bullet"/>
      <w:lvlText w:val="●"/>
      <w:lvlJc w:val="left"/>
      <w:pPr>
        <w:tabs>
          <w:tab w:val="num" w:pos="720"/>
        </w:tabs>
        <w:ind w:left="720" w:hanging="360"/>
      </w:pPr>
      <w:rPr>
        <w:rFonts w:ascii="Times New Roman" w:hAnsi="Times New Roman" w:hint="default"/>
      </w:rPr>
    </w:lvl>
    <w:lvl w:ilvl="1" w:tplc="C720B162" w:tentative="1">
      <w:start w:val="1"/>
      <w:numFmt w:val="bullet"/>
      <w:lvlText w:val="●"/>
      <w:lvlJc w:val="left"/>
      <w:pPr>
        <w:tabs>
          <w:tab w:val="num" w:pos="1440"/>
        </w:tabs>
        <w:ind w:left="1440" w:hanging="360"/>
      </w:pPr>
      <w:rPr>
        <w:rFonts w:ascii="Times New Roman" w:hAnsi="Times New Roman" w:hint="default"/>
      </w:rPr>
    </w:lvl>
    <w:lvl w:ilvl="2" w:tplc="6F5447EC" w:tentative="1">
      <w:start w:val="1"/>
      <w:numFmt w:val="bullet"/>
      <w:lvlText w:val="●"/>
      <w:lvlJc w:val="left"/>
      <w:pPr>
        <w:tabs>
          <w:tab w:val="num" w:pos="2160"/>
        </w:tabs>
        <w:ind w:left="2160" w:hanging="360"/>
      </w:pPr>
      <w:rPr>
        <w:rFonts w:ascii="Times New Roman" w:hAnsi="Times New Roman" w:hint="default"/>
      </w:rPr>
    </w:lvl>
    <w:lvl w:ilvl="3" w:tplc="8D707D30">
      <w:start w:val="1"/>
      <w:numFmt w:val="bullet"/>
      <w:lvlText w:val="●"/>
      <w:lvlJc w:val="left"/>
      <w:pPr>
        <w:tabs>
          <w:tab w:val="num" w:pos="2880"/>
        </w:tabs>
        <w:ind w:left="2880" w:hanging="360"/>
      </w:pPr>
      <w:rPr>
        <w:rFonts w:ascii="Times New Roman" w:hAnsi="Times New Roman" w:hint="default"/>
      </w:rPr>
    </w:lvl>
    <w:lvl w:ilvl="4" w:tplc="12DE331C" w:tentative="1">
      <w:start w:val="1"/>
      <w:numFmt w:val="bullet"/>
      <w:lvlText w:val="●"/>
      <w:lvlJc w:val="left"/>
      <w:pPr>
        <w:tabs>
          <w:tab w:val="num" w:pos="3600"/>
        </w:tabs>
        <w:ind w:left="3600" w:hanging="360"/>
      </w:pPr>
      <w:rPr>
        <w:rFonts w:ascii="Times New Roman" w:hAnsi="Times New Roman" w:hint="default"/>
      </w:rPr>
    </w:lvl>
    <w:lvl w:ilvl="5" w:tplc="3B94267E" w:tentative="1">
      <w:start w:val="1"/>
      <w:numFmt w:val="bullet"/>
      <w:lvlText w:val="●"/>
      <w:lvlJc w:val="left"/>
      <w:pPr>
        <w:tabs>
          <w:tab w:val="num" w:pos="4320"/>
        </w:tabs>
        <w:ind w:left="4320" w:hanging="360"/>
      </w:pPr>
      <w:rPr>
        <w:rFonts w:ascii="Times New Roman" w:hAnsi="Times New Roman" w:hint="default"/>
      </w:rPr>
    </w:lvl>
    <w:lvl w:ilvl="6" w:tplc="240C22C4" w:tentative="1">
      <w:start w:val="1"/>
      <w:numFmt w:val="bullet"/>
      <w:lvlText w:val="●"/>
      <w:lvlJc w:val="left"/>
      <w:pPr>
        <w:tabs>
          <w:tab w:val="num" w:pos="5040"/>
        </w:tabs>
        <w:ind w:left="5040" w:hanging="360"/>
      </w:pPr>
      <w:rPr>
        <w:rFonts w:ascii="Times New Roman" w:hAnsi="Times New Roman" w:hint="default"/>
      </w:rPr>
    </w:lvl>
    <w:lvl w:ilvl="7" w:tplc="14EADD82" w:tentative="1">
      <w:start w:val="1"/>
      <w:numFmt w:val="bullet"/>
      <w:lvlText w:val="●"/>
      <w:lvlJc w:val="left"/>
      <w:pPr>
        <w:tabs>
          <w:tab w:val="num" w:pos="5760"/>
        </w:tabs>
        <w:ind w:left="5760" w:hanging="360"/>
      </w:pPr>
      <w:rPr>
        <w:rFonts w:ascii="Times New Roman" w:hAnsi="Times New Roman" w:hint="default"/>
      </w:rPr>
    </w:lvl>
    <w:lvl w:ilvl="8" w:tplc="55D42772">
      <w:start w:val="1"/>
      <w:numFmt w:val="decimal"/>
      <w:lvlText w:val="%9."/>
      <w:lvlJc w:val="left"/>
      <w:pPr>
        <w:tabs>
          <w:tab w:val="num" w:pos="6480"/>
        </w:tabs>
        <w:ind w:left="6480" w:hanging="360"/>
      </w:p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6"/>
  </w:num>
  <w:num w:numId="7">
    <w:abstractNumId w:val="9"/>
  </w:num>
  <w:num w:numId="8">
    <w:abstractNumId w:val="3"/>
  </w:num>
  <w:num w:numId="9">
    <w:abstractNumId w:val="2"/>
  </w:num>
  <w:num w:numId="10">
    <w:abstractNumId w:val="4"/>
  </w:num>
  <w:num w:numId="11">
    <w:abstractNumId w:val="7"/>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E"/>
    <w:rsid w:val="00011C67"/>
    <w:rsid w:val="00025BB1"/>
    <w:rsid w:val="00033397"/>
    <w:rsid w:val="0003445E"/>
    <w:rsid w:val="00040095"/>
    <w:rsid w:val="00040834"/>
    <w:rsid w:val="000455F6"/>
    <w:rsid w:val="00051834"/>
    <w:rsid w:val="00054A22"/>
    <w:rsid w:val="00056A26"/>
    <w:rsid w:val="00062023"/>
    <w:rsid w:val="000655A6"/>
    <w:rsid w:val="0006672D"/>
    <w:rsid w:val="00080512"/>
    <w:rsid w:val="000C47C3"/>
    <w:rsid w:val="000D58AB"/>
    <w:rsid w:val="000D62AB"/>
    <w:rsid w:val="000F5AE0"/>
    <w:rsid w:val="00102DB8"/>
    <w:rsid w:val="00112D59"/>
    <w:rsid w:val="00120783"/>
    <w:rsid w:val="00133525"/>
    <w:rsid w:val="001616DB"/>
    <w:rsid w:val="00187FB0"/>
    <w:rsid w:val="00194DCB"/>
    <w:rsid w:val="001A4C42"/>
    <w:rsid w:val="001A7420"/>
    <w:rsid w:val="001B6637"/>
    <w:rsid w:val="001C21C3"/>
    <w:rsid w:val="001D02C2"/>
    <w:rsid w:val="001F0C1D"/>
    <w:rsid w:val="001F1132"/>
    <w:rsid w:val="001F168B"/>
    <w:rsid w:val="001F27FA"/>
    <w:rsid w:val="001F76E2"/>
    <w:rsid w:val="00225E48"/>
    <w:rsid w:val="00231192"/>
    <w:rsid w:val="002347A2"/>
    <w:rsid w:val="00256876"/>
    <w:rsid w:val="002675F0"/>
    <w:rsid w:val="00272464"/>
    <w:rsid w:val="002840A1"/>
    <w:rsid w:val="00293A8A"/>
    <w:rsid w:val="0029401E"/>
    <w:rsid w:val="002B6339"/>
    <w:rsid w:val="002E00EE"/>
    <w:rsid w:val="003172DC"/>
    <w:rsid w:val="0034057D"/>
    <w:rsid w:val="003463C5"/>
    <w:rsid w:val="0035462D"/>
    <w:rsid w:val="00354DF9"/>
    <w:rsid w:val="00371A0E"/>
    <w:rsid w:val="003765B8"/>
    <w:rsid w:val="003A05DD"/>
    <w:rsid w:val="003C3971"/>
    <w:rsid w:val="003D429A"/>
    <w:rsid w:val="003F3086"/>
    <w:rsid w:val="00423334"/>
    <w:rsid w:val="004345EC"/>
    <w:rsid w:val="0044364B"/>
    <w:rsid w:val="00447585"/>
    <w:rsid w:val="004536CC"/>
    <w:rsid w:val="00465515"/>
    <w:rsid w:val="004C7EBA"/>
    <w:rsid w:val="004D3578"/>
    <w:rsid w:val="004E213A"/>
    <w:rsid w:val="004E3F8C"/>
    <w:rsid w:val="004F0988"/>
    <w:rsid w:val="004F3340"/>
    <w:rsid w:val="0053388B"/>
    <w:rsid w:val="00535773"/>
    <w:rsid w:val="00543E6C"/>
    <w:rsid w:val="00565087"/>
    <w:rsid w:val="0057305F"/>
    <w:rsid w:val="00593A86"/>
    <w:rsid w:val="00597B11"/>
    <w:rsid w:val="005B0876"/>
    <w:rsid w:val="005D2E01"/>
    <w:rsid w:val="005D7526"/>
    <w:rsid w:val="005E4BB2"/>
    <w:rsid w:val="005F35F5"/>
    <w:rsid w:val="005F59EB"/>
    <w:rsid w:val="0060001A"/>
    <w:rsid w:val="00602AEA"/>
    <w:rsid w:val="00611597"/>
    <w:rsid w:val="00614FDF"/>
    <w:rsid w:val="00627E42"/>
    <w:rsid w:val="0063543D"/>
    <w:rsid w:val="0064500E"/>
    <w:rsid w:val="00647114"/>
    <w:rsid w:val="0067596C"/>
    <w:rsid w:val="0069743E"/>
    <w:rsid w:val="006A1DF5"/>
    <w:rsid w:val="006A323F"/>
    <w:rsid w:val="006B1BCE"/>
    <w:rsid w:val="006B30D0"/>
    <w:rsid w:val="006C1584"/>
    <w:rsid w:val="006C3D95"/>
    <w:rsid w:val="006C4241"/>
    <w:rsid w:val="006E2087"/>
    <w:rsid w:val="006E5C86"/>
    <w:rsid w:val="006F61D7"/>
    <w:rsid w:val="00700C1D"/>
    <w:rsid w:val="00701116"/>
    <w:rsid w:val="00713C44"/>
    <w:rsid w:val="00733096"/>
    <w:rsid w:val="00734A5B"/>
    <w:rsid w:val="0074026F"/>
    <w:rsid w:val="007429F6"/>
    <w:rsid w:val="00743C79"/>
    <w:rsid w:val="00744E76"/>
    <w:rsid w:val="00774DA4"/>
    <w:rsid w:val="00781F0F"/>
    <w:rsid w:val="00782D6E"/>
    <w:rsid w:val="007B3EFB"/>
    <w:rsid w:val="007B59D6"/>
    <w:rsid w:val="007B600E"/>
    <w:rsid w:val="007B7EDD"/>
    <w:rsid w:val="007C1648"/>
    <w:rsid w:val="007C573F"/>
    <w:rsid w:val="007C7F2E"/>
    <w:rsid w:val="007F0F4A"/>
    <w:rsid w:val="008028A4"/>
    <w:rsid w:val="00830747"/>
    <w:rsid w:val="0083684A"/>
    <w:rsid w:val="00850428"/>
    <w:rsid w:val="008674F7"/>
    <w:rsid w:val="008768CA"/>
    <w:rsid w:val="00882C13"/>
    <w:rsid w:val="00885367"/>
    <w:rsid w:val="008A3AC0"/>
    <w:rsid w:val="008A5FC0"/>
    <w:rsid w:val="008C0F8F"/>
    <w:rsid w:val="008C384C"/>
    <w:rsid w:val="008C74C5"/>
    <w:rsid w:val="008D0120"/>
    <w:rsid w:val="008E542D"/>
    <w:rsid w:val="0090271F"/>
    <w:rsid w:val="00902E23"/>
    <w:rsid w:val="009114D7"/>
    <w:rsid w:val="0091348E"/>
    <w:rsid w:val="00917CCB"/>
    <w:rsid w:val="00942EC2"/>
    <w:rsid w:val="00985F99"/>
    <w:rsid w:val="00992A84"/>
    <w:rsid w:val="009B037C"/>
    <w:rsid w:val="009C3E5A"/>
    <w:rsid w:val="009D0CD3"/>
    <w:rsid w:val="009F37B7"/>
    <w:rsid w:val="00A05C66"/>
    <w:rsid w:val="00A10F02"/>
    <w:rsid w:val="00A164B4"/>
    <w:rsid w:val="00A170F3"/>
    <w:rsid w:val="00A26956"/>
    <w:rsid w:val="00A27486"/>
    <w:rsid w:val="00A53724"/>
    <w:rsid w:val="00A56066"/>
    <w:rsid w:val="00A724B9"/>
    <w:rsid w:val="00A73129"/>
    <w:rsid w:val="00A7325E"/>
    <w:rsid w:val="00A82346"/>
    <w:rsid w:val="00A86A6B"/>
    <w:rsid w:val="00A92BA1"/>
    <w:rsid w:val="00AA1B16"/>
    <w:rsid w:val="00AC1847"/>
    <w:rsid w:val="00AC1A7C"/>
    <w:rsid w:val="00AC6BC6"/>
    <w:rsid w:val="00AD16EE"/>
    <w:rsid w:val="00AE65E2"/>
    <w:rsid w:val="00AF31E3"/>
    <w:rsid w:val="00B15449"/>
    <w:rsid w:val="00B36A20"/>
    <w:rsid w:val="00B47FA3"/>
    <w:rsid w:val="00B63165"/>
    <w:rsid w:val="00B90B65"/>
    <w:rsid w:val="00B93086"/>
    <w:rsid w:val="00B93FB3"/>
    <w:rsid w:val="00B95460"/>
    <w:rsid w:val="00BA03BF"/>
    <w:rsid w:val="00BA19ED"/>
    <w:rsid w:val="00BA4B8D"/>
    <w:rsid w:val="00BC0F7D"/>
    <w:rsid w:val="00BC44DC"/>
    <w:rsid w:val="00BD7D31"/>
    <w:rsid w:val="00BE3255"/>
    <w:rsid w:val="00BF128E"/>
    <w:rsid w:val="00BF21AB"/>
    <w:rsid w:val="00C074DD"/>
    <w:rsid w:val="00C1496A"/>
    <w:rsid w:val="00C179D7"/>
    <w:rsid w:val="00C33079"/>
    <w:rsid w:val="00C41F2A"/>
    <w:rsid w:val="00C45231"/>
    <w:rsid w:val="00C666DD"/>
    <w:rsid w:val="00C72833"/>
    <w:rsid w:val="00C80F1D"/>
    <w:rsid w:val="00C93F40"/>
    <w:rsid w:val="00CA01CB"/>
    <w:rsid w:val="00CA0F2E"/>
    <w:rsid w:val="00CA3D0C"/>
    <w:rsid w:val="00CB0749"/>
    <w:rsid w:val="00CC334F"/>
    <w:rsid w:val="00CD5ADA"/>
    <w:rsid w:val="00CF7615"/>
    <w:rsid w:val="00D12A57"/>
    <w:rsid w:val="00D21046"/>
    <w:rsid w:val="00D53A23"/>
    <w:rsid w:val="00D57972"/>
    <w:rsid w:val="00D675A9"/>
    <w:rsid w:val="00D738D6"/>
    <w:rsid w:val="00D755EB"/>
    <w:rsid w:val="00D76048"/>
    <w:rsid w:val="00D87E00"/>
    <w:rsid w:val="00D9134D"/>
    <w:rsid w:val="00D91F01"/>
    <w:rsid w:val="00DA7A03"/>
    <w:rsid w:val="00DB1818"/>
    <w:rsid w:val="00DC309B"/>
    <w:rsid w:val="00DC4DA2"/>
    <w:rsid w:val="00DD4B0C"/>
    <w:rsid w:val="00DD4C17"/>
    <w:rsid w:val="00DD74A5"/>
    <w:rsid w:val="00DF06B2"/>
    <w:rsid w:val="00DF09FF"/>
    <w:rsid w:val="00DF2B1F"/>
    <w:rsid w:val="00DF62CD"/>
    <w:rsid w:val="00E000A7"/>
    <w:rsid w:val="00E16509"/>
    <w:rsid w:val="00E17EE7"/>
    <w:rsid w:val="00E313F6"/>
    <w:rsid w:val="00E44582"/>
    <w:rsid w:val="00E544DD"/>
    <w:rsid w:val="00E63DEB"/>
    <w:rsid w:val="00E65F5B"/>
    <w:rsid w:val="00E660FC"/>
    <w:rsid w:val="00E77645"/>
    <w:rsid w:val="00EA15B0"/>
    <w:rsid w:val="00EA5EA7"/>
    <w:rsid w:val="00EB348B"/>
    <w:rsid w:val="00EB3F74"/>
    <w:rsid w:val="00EC4A25"/>
    <w:rsid w:val="00EE3A93"/>
    <w:rsid w:val="00F025A2"/>
    <w:rsid w:val="00F04712"/>
    <w:rsid w:val="00F13360"/>
    <w:rsid w:val="00F14A1D"/>
    <w:rsid w:val="00F22EC7"/>
    <w:rsid w:val="00F24FC3"/>
    <w:rsid w:val="00F325C8"/>
    <w:rsid w:val="00F372EC"/>
    <w:rsid w:val="00F43F0B"/>
    <w:rsid w:val="00F56C7B"/>
    <w:rsid w:val="00F57C6E"/>
    <w:rsid w:val="00F62AD7"/>
    <w:rsid w:val="00F653B8"/>
    <w:rsid w:val="00F76708"/>
    <w:rsid w:val="00F9008D"/>
    <w:rsid w:val="00FA1266"/>
    <w:rsid w:val="00FA514A"/>
    <w:rsid w:val="00FB1C7B"/>
    <w:rsid w:val="00FC1192"/>
    <w:rsid w:val="00FC3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E65F5B"/>
    <w:rPr>
      <w:color w:val="808080"/>
    </w:rPr>
  </w:style>
  <w:style w:type="paragraph" w:styleId="Caption">
    <w:name w:val="caption"/>
    <w:basedOn w:val="Normal"/>
    <w:next w:val="Normal"/>
    <w:unhideWhenUsed/>
    <w:qFormat/>
    <w:rsid w:val="00272464"/>
    <w:pPr>
      <w:spacing w:after="200"/>
    </w:pPr>
    <w:rPr>
      <w:i/>
      <w:iCs/>
      <w:color w:val="44546A" w:themeColor="text2"/>
      <w:sz w:val="18"/>
      <w:szCs w:val="18"/>
    </w:rPr>
  </w:style>
  <w:style w:type="character" w:styleId="CommentReference">
    <w:name w:val="annotation reference"/>
    <w:basedOn w:val="DefaultParagraphFont"/>
    <w:rsid w:val="00E544DD"/>
    <w:rPr>
      <w:sz w:val="16"/>
      <w:szCs w:val="16"/>
    </w:rPr>
  </w:style>
  <w:style w:type="paragraph" w:styleId="CommentText">
    <w:name w:val="annotation text"/>
    <w:basedOn w:val="Normal"/>
    <w:link w:val="CommentTextChar"/>
    <w:rsid w:val="00E544DD"/>
  </w:style>
  <w:style w:type="character" w:customStyle="1" w:styleId="CommentTextChar">
    <w:name w:val="Comment Text Char"/>
    <w:basedOn w:val="DefaultParagraphFont"/>
    <w:link w:val="CommentText"/>
    <w:rsid w:val="00E544DD"/>
    <w:rPr>
      <w:lang w:eastAsia="en-US"/>
    </w:rPr>
  </w:style>
  <w:style w:type="paragraph" w:styleId="CommentSubject">
    <w:name w:val="annotation subject"/>
    <w:basedOn w:val="CommentText"/>
    <w:next w:val="CommentText"/>
    <w:link w:val="CommentSubjectChar"/>
    <w:rsid w:val="00E544DD"/>
    <w:rPr>
      <w:b/>
      <w:bCs/>
    </w:rPr>
  </w:style>
  <w:style w:type="character" w:customStyle="1" w:styleId="CommentSubjectChar">
    <w:name w:val="Comment Subject Char"/>
    <w:basedOn w:val="CommentTextChar"/>
    <w:link w:val="CommentSubject"/>
    <w:rsid w:val="00E544DD"/>
    <w:rPr>
      <w:b/>
      <w:bCs/>
      <w:lang w:eastAsia="en-US"/>
    </w:rPr>
  </w:style>
  <w:style w:type="paragraph" w:customStyle="1" w:styleId="CRCoverPage">
    <w:name w:val="CR Cover Page"/>
    <w:link w:val="CRCoverPageChar"/>
    <w:rsid w:val="00E660FC"/>
    <w:pPr>
      <w:spacing w:after="120"/>
    </w:pPr>
    <w:rPr>
      <w:rFonts w:ascii="Arial" w:hAnsi="Arial"/>
      <w:lang w:eastAsia="en-US"/>
    </w:rPr>
  </w:style>
  <w:style w:type="character" w:customStyle="1" w:styleId="CRCoverPageChar">
    <w:name w:val="CR Cover Page Char"/>
    <w:link w:val="CRCoverPage"/>
    <w:rsid w:val="00E660F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269920">
      <w:bodyDiv w:val="1"/>
      <w:marLeft w:val="0"/>
      <w:marRight w:val="0"/>
      <w:marTop w:val="0"/>
      <w:marBottom w:val="0"/>
      <w:divBdr>
        <w:top w:val="none" w:sz="0" w:space="0" w:color="auto"/>
        <w:left w:val="none" w:sz="0" w:space="0" w:color="auto"/>
        <w:bottom w:val="none" w:sz="0" w:space="0" w:color="auto"/>
        <w:right w:val="none" w:sz="0" w:space="0" w:color="auto"/>
      </w:divBdr>
      <w:divsChild>
        <w:div w:id="241262928">
          <w:marLeft w:val="1138"/>
          <w:marRight w:val="0"/>
          <w:marTop w:val="160"/>
          <w:marBottom w:val="0"/>
          <w:divBdr>
            <w:top w:val="none" w:sz="0" w:space="0" w:color="auto"/>
            <w:left w:val="none" w:sz="0" w:space="0" w:color="auto"/>
            <w:bottom w:val="none" w:sz="0" w:space="0" w:color="auto"/>
            <w:right w:val="none" w:sz="0" w:space="0" w:color="auto"/>
          </w:divBdr>
        </w:div>
        <w:div w:id="493230178">
          <w:marLeft w:val="1858"/>
          <w:marRight w:val="0"/>
          <w:marTop w:val="160"/>
          <w:marBottom w:val="0"/>
          <w:divBdr>
            <w:top w:val="none" w:sz="0" w:space="0" w:color="auto"/>
            <w:left w:val="none" w:sz="0" w:space="0" w:color="auto"/>
            <w:bottom w:val="none" w:sz="0" w:space="0" w:color="auto"/>
            <w:right w:val="none" w:sz="0" w:space="0" w:color="auto"/>
          </w:divBdr>
        </w:div>
        <w:div w:id="1221744808">
          <w:marLeft w:val="1858"/>
          <w:marRight w:val="0"/>
          <w:marTop w:val="160"/>
          <w:marBottom w:val="0"/>
          <w:divBdr>
            <w:top w:val="none" w:sz="0" w:space="0" w:color="auto"/>
            <w:left w:val="none" w:sz="0" w:space="0" w:color="auto"/>
            <w:bottom w:val="none" w:sz="0" w:space="0" w:color="auto"/>
            <w:right w:val="none" w:sz="0" w:space="0" w:color="auto"/>
          </w:divBdr>
        </w:div>
        <w:div w:id="501284880">
          <w:marLeft w:val="1858"/>
          <w:marRight w:val="0"/>
          <w:marTop w:val="160"/>
          <w:marBottom w:val="0"/>
          <w:divBdr>
            <w:top w:val="none" w:sz="0" w:space="0" w:color="auto"/>
            <w:left w:val="none" w:sz="0" w:space="0" w:color="auto"/>
            <w:bottom w:val="none" w:sz="0" w:space="0" w:color="auto"/>
            <w:right w:val="none" w:sz="0" w:space="0" w:color="auto"/>
          </w:divBdr>
        </w:div>
        <w:div w:id="988174867">
          <w:marLeft w:val="1858"/>
          <w:marRight w:val="0"/>
          <w:marTop w:val="160"/>
          <w:marBottom w:val="0"/>
          <w:divBdr>
            <w:top w:val="none" w:sz="0" w:space="0" w:color="auto"/>
            <w:left w:val="none" w:sz="0" w:space="0" w:color="auto"/>
            <w:bottom w:val="none" w:sz="0" w:space="0" w:color="auto"/>
            <w:right w:val="none" w:sz="0" w:space="0" w:color="auto"/>
          </w:divBdr>
        </w:div>
        <w:div w:id="1396852831">
          <w:marLeft w:val="1858"/>
          <w:marRight w:val="0"/>
          <w:marTop w:val="160"/>
          <w:marBottom w:val="0"/>
          <w:divBdr>
            <w:top w:val="none" w:sz="0" w:space="0" w:color="auto"/>
            <w:left w:val="none" w:sz="0" w:space="0" w:color="auto"/>
            <w:bottom w:val="none" w:sz="0" w:space="0" w:color="auto"/>
            <w:right w:val="none" w:sz="0" w:space="0" w:color="auto"/>
          </w:divBdr>
        </w:div>
        <w:div w:id="56563138">
          <w:marLeft w:val="185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FA22C-2CD1-4808-A005-69A4638672FA}">
  <ds:schemaRefs>
    <ds:schemaRef ds:uri="http://schemas.openxmlformats.org/officeDocument/2006/bibliography"/>
  </ds:schemaRefs>
</ds:datastoreItem>
</file>

<file path=customXml/itemProps2.xml><?xml version="1.0" encoding="utf-8"?>
<ds:datastoreItem xmlns:ds="http://schemas.openxmlformats.org/officeDocument/2006/customXml" ds:itemID="{496CFF5F-81E2-4166-B68A-1748586994E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CD998E6-F574-42B1-9AFD-CB416452D7BE}">
  <ds:schemaRefs>
    <ds:schemaRef ds:uri="http://schemas.microsoft.com/sharepoint/v3/contenttype/forms"/>
  </ds:schemaRefs>
</ds:datastoreItem>
</file>

<file path=customXml/itemProps4.xml><?xml version="1.0" encoding="utf-8"?>
<ds:datastoreItem xmlns:ds="http://schemas.openxmlformats.org/officeDocument/2006/customXml" ds:itemID="{B8DFA65D-20F6-49E2-811B-41A2A4B0D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1395</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2021-04-01T12:17:00Z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0x010100F3E9551B3FDDA24EBF0A209BAAD637CA</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f4f0d7ca-98c2-4e0a-8366-949aeeed35c5</vt:lpwstr>
  </property>
  <property fmtid="{D5CDD505-2E9C-101B-9397-08002B2CF9AE}" pid="11" name="EriCOLLProjects">
    <vt:lpwstr/>
  </property>
  <property fmtid="{D5CDD505-2E9C-101B-9397-08002B2CF9AE}" pid="12" name="EriCOLLProcess">
    <vt:lpwstr/>
  </property>
</Properties>
</file>