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4E5F5C">
        <w:rPr>
          <w:rFonts w:ascii="Arial" w:hAnsi="Arial" w:cs="Arial"/>
          <w:b/>
          <w:sz w:val="24"/>
          <w:szCs w:val="24"/>
        </w:rPr>
        <w:t>8</w:t>
      </w:r>
      <w:r w:rsidR="00A43149" w:rsidRPr="00277FAB">
        <w:rPr>
          <w:rFonts w:ascii="Arial" w:hAnsi="Arial" w:cs="Arial"/>
          <w:b/>
          <w:sz w:val="24"/>
          <w:szCs w:val="24"/>
        </w:rPr>
        <w:t>-</w:t>
      </w:r>
      <w:r w:rsidR="001F255B">
        <w:rPr>
          <w:rFonts w:ascii="Arial" w:hAnsi="Arial" w:cs="Arial" w:hint="eastAsia"/>
          <w:b/>
          <w:sz w:val="24"/>
          <w:szCs w:val="24"/>
          <w:lang w:eastAsia="ko-KR"/>
        </w:rPr>
        <w:t>bis-</w:t>
      </w:r>
      <w:r w:rsidR="00A43149" w:rsidRPr="00277FAB">
        <w:rPr>
          <w:rFonts w:ascii="Arial" w:hAnsi="Arial" w:cs="Arial"/>
          <w:b/>
          <w:sz w:val="24"/>
          <w:szCs w:val="24"/>
        </w:rPr>
        <w:t>e</w:t>
      </w:r>
      <w:r w:rsidRPr="00F644CF">
        <w:rPr>
          <w:rFonts w:ascii="Arial" w:hAnsi="Arial" w:cs="Arial"/>
          <w:b/>
          <w:sz w:val="24"/>
          <w:szCs w:val="24"/>
        </w:rPr>
        <w:tab/>
        <w:t>R4-</w:t>
      </w:r>
      <w:r w:rsidR="00D7641A" w:rsidRPr="00D7641A">
        <w:rPr>
          <w:rFonts w:ascii="Arial" w:hAnsi="Arial" w:cs="Arial"/>
          <w:b/>
          <w:sz w:val="24"/>
          <w:szCs w:val="24"/>
        </w:rPr>
        <w:t>210500</w:t>
      </w:r>
      <w:r w:rsidR="00D7641A">
        <w:rPr>
          <w:rFonts w:ascii="Arial" w:hAnsi="Arial" w:cs="Arial"/>
          <w:b/>
          <w:sz w:val="24"/>
          <w:szCs w:val="24"/>
        </w:rPr>
        <w:t>1</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F255B">
        <w:rPr>
          <w:rFonts w:ascii="Arial" w:eastAsia="SimSun" w:hAnsi="Arial"/>
          <w:b/>
          <w:sz w:val="24"/>
          <w:szCs w:val="24"/>
          <w:lang w:eastAsia="zh-CN"/>
        </w:rPr>
        <w:t>12</w:t>
      </w:r>
      <w:r w:rsidR="00D7044B">
        <w:rPr>
          <w:rFonts w:ascii="Arial" w:eastAsia="SimSun" w:hAnsi="Arial"/>
          <w:b/>
          <w:sz w:val="24"/>
          <w:szCs w:val="24"/>
          <w:lang w:eastAsia="zh-CN"/>
        </w:rPr>
        <w:t xml:space="preserve"> - </w:t>
      </w:r>
      <w:r w:rsidR="001F255B">
        <w:rPr>
          <w:rFonts w:ascii="Arial" w:eastAsia="SimSun" w:hAnsi="Arial"/>
          <w:b/>
          <w:sz w:val="24"/>
          <w:szCs w:val="24"/>
          <w:lang w:eastAsia="zh-CN"/>
        </w:rPr>
        <w:t>20</w:t>
      </w:r>
      <w:r>
        <w:rPr>
          <w:rFonts w:ascii="Arial" w:eastAsia="SimSun" w:hAnsi="Arial"/>
          <w:b/>
          <w:sz w:val="24"/>
          <w:szCs w:val="24"/>
          <w:lang w:eastAsia="zh-CN"/>
        </w:rPr>
        <w:t xml:space="preserve"> </w:t>
      </w:r>
      <w:r w:rsidR="001F255B">
        <w:rPr>
          <w:rFonts w:ascii="Arial" w:eastAsia="SimSun" w:hAnsi="Arial"/>
          <w:b/>
          <w:sz w:val="24"/>
          <w:szCs w:val="24"/>
          <w:lang w:eastAsia="zh-CN"/>
        </w:rPr>
        <w:t>April</w:t>
      </w:r>
      <w:bookmarkStart w:id="0" w:name="_GoBack"/>
      <w:bookmarkEnd w:id="0"/>
      <w:r w:rsidRPr="00F644CF">
        <w:rPr>
          <w:rFonts w:ascii="Arial" w:eastAsia="SimSun" w:hAnsi="Arial"/>
          <w:b/>
          <w:sz w:val="24"/>
          <w:szCs w:val="24"/>
          <w:lang w:eastAsia="zh-CN"/>
        </w:rPr>
        <w:t>, 20</w:t>
      </w:r>
      <w:r>
        <w:rPr>
          <w:rFonts w:ascii="Arial" w:eastAsia="SimSun" w:hAnsi="Arial"/>
          <w:b/>
          <w:sz w:val="24"/>
          <w:szCs w:val="24"/>
          <w:lang w:eastAsia="zh-CN"/>
        </w:rPr>
        <w:t>2</w:t>
      </w:r>
      <w:r w:rsidR="004E5F5C">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E50BF0">
        <w:rPr>
          <w:rFonts w:ascii="Arial" w:hAnsi="Arial" w:cs="Arial"/>
          <w:lang w:val="en-US" w:eastAsia="ko-KR"/>
        </w:rPr>
        <w:t xml:space="preserve">test </w:t>
      </w:r>
      <w:r w:rsidR="00C9691F">
        <w:rPr>
          <w:rFonts w:ascii="Arial" w:hAnsi="Arial" w:cs="Arial" w:hint="eastAsia"/>
          <w:lang w:val="en-US" w:eastAsia="ko-KR"/>
        </w:rPr>
        <w:t xml:space="preserve">time </w:t>
      </w:r>
      <w:r w:rsidR="00C9691F">
        <w:rPr>
          <w:rFonts w:ascii="Arial" w:hAnsi="Arial" w:cs="Arial"/>
          <w:lang w:val="en-US" w:eastAsia="ko-KR"/>
        </w:rPr>
        <w:t>reduction</w:t>
      </w:r>
      <w:r w:rsidR="00E50BF0">
        <w:rPr>
          <w:rFonts w:ascii="Arial" w:hAnsi="Arial" w:cs="Arial"/>
          <w:lang w:val="en-US" w:eastAsia="ko-KR"/>
        </w:rPr>
        <w:t xml:space="preserve"> </w:t>
      </w:r>
      <w:r w:rsidR="00C9691F">
        <w:rPr>
          <w:rFonts w:ascii="Arial" w:hAnsi="Arial" w:cs="Arial"/>
          <w:lang w:val="en-US" w:eastAsia="ko-KR"/>
        </w:rPr>
        <w:t xml:space="preserve">for </w:t>
      </w:r>
      <w:r w:rsidR="00E50BF0">
        <w:rPr>
          <w:rFonts w:ascii="Arial" w:hAnsi="Arial" w:cs="Arial"/>
          <w:lang w:val="en-US" w:eastAsia="ko-KR"/>
        </w:rPr>
        <w:t>FR2 OTA test time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5674F">
        <w:rPr>
          <w:rFonts w:ascii="Arial" w:hAnsi="Arial" w:cs="Arial"/>
          <w:lang w:val="en-US" w:eastAsia="ko-KR"/>
        </w:rPr>
        <w:t>9.1.6</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9691F" w:rsidRDefault="00EF3B37" w:rsidP="004E5F5C">
      <w:pPr>
        <w:pStyle w:val="a0"/>
        <w:jc w:val="both"/>
        <w:rPr>
          <w:lang w:val="en-US" w:eastAsia="ko-KR"/>
        </w:rPr>
      </w:pPr>
      <w:r>
        <w:rPr>
          <w:lang w:val="en-US" w:eastAsia="ko-KR"/>
        </w:rPr>
        <w:t xml:space="preserve">In the last RAN4 meeting, </w:t>
      </w:r>
      <w:r w:rsidR="00C9691F">
        <w:rPr>
          <w:lang w:val="en-US" w:eastAsia="ko-KR"/>
        </w:rPr>
        <w:t>WF [1] on the test time reduction was approved, and three candidate solutions were prioritized as follow:</w:t>
      </w:r>
    </w:p>
    <w:p w:rsidR="00C9691F" w:rsidRDefault="00C9691F" w:rsidP="00C9691F">
      <w:pPr>
        <w:pStyle w:val="a0"/>
        <w:numPr>
          <w:ilvl w:val="0"/>
          <w:numId w:val="25"/>
        </w:numPr>
        <w:jc w:val="both"/>
        <w:rPr>
          <w:lang w:val="en-US" w:eastAsia="ko-KR"/>
        </w:rPr>
      </w:pPr>
      <w:r>
        <w:rPr>
          <w:lang w:val="en-US" w:eastAsia="ko-KR"/>
        </w:rPr>
        <w:t>Measurement grid based on 4</w:t>
      </w:r>
      <w:r w:rsidR="0093302E">
        <w:rPr>
          <w:lang w:val="en-US" w:eastAsia="ko-KR"/>
        </w:rPr>
        <w:t>x</w:t>
      </w:r>
      <w:r>
        <w:rPr>
          <w:lang w:val="en-US" w:eastAsia="ko-KR"/>
        </w:rPr>
        <w:t>2 array antenna for PC3</w:t>
      </w:r>
    </w:p>
    <w:p w:rsidR="00C9691F" w:rsidRDefault="00C9691F" w:rsidP="00C9691F">
      <w:pPr>
        <w:pStyle w:val="a0"/>
        <w:numPr>
          <w:ilvl w:val="0"/>
          <w:numId w:val="25"/>
        </w:numPr>
        <w:jc w:val="both"/>
        <w:rPr>
          <w:lang w:val="en-US" w:eastAsia="ko-KR"/>
        </w:rPr>
      </w:pPr>
      <w:r>
        <w:rPr>
          <w:lang w:val="en-US" w:eastAsia="ko-KR"/>
        </w:rPr>
        <w:t>Rx beam peak search based on RSRP(B)</w:t>
      </w:r>
    </w:p>
    <w:p w:rsidR="00C9691F" w:rsidRDefault="00C9691F" w:rsidP="00C9691F">
      <w:pPr>
        <w:pStyle w:val="a0"/>
        <w:numPr>
          <w:ilvl w:val="0"/>
          <w:numId w:val="25"/>
        </w:numPr>
        <w:jc w:val="both"/>
        <w:rPr>
          <w:lang w:val="en-US" w:eastAsia="ko-KR"/>
        </w:rPr>
      </w:pPr>
      <w:r>
        <w:rPr>
          <w:lang w:val="en-US" w:eastAsia="ko-KR"/>
        </w:rPr>
        <w:t>Single link polarization measurement for EIRP test of UL MIMO and Tx diversity</w:t>
      </w:r>
    </w:p>
    <w:p w:rsidR="004E5F5C" w:rsidRDefault="00C9691F" w:rsidP="004E5F5C">
      <w:pPr>
        <w:pStyle w:val="a0"/>
        <w:jc w:val="both"/>
        <w:rPr>
          <w:lang w:val="en-US" w:eastAsia="ko-KR"/>
        </w:rPr>
      </w:pPr>
      <w:r>
        <w:rPr>
          <w:lang w:val="en-US" w:eastAsia="ko-KR"/>
        </w:rPr>
        <w:t xml:space="preserve"> </w:t>
      </w:r>
      <w:r w:rsidR="005B59F8">
        <w:rPr>
          <w:lang w:val="en-US" w:eastAsia="ko-KR"/>
        </w:rPr>
        <w:t xml:space="preserve">In this contribution, we provide our views on the </w:t>
      </w:r>
      <w:r>
        <w:rPr>
          <w:lang w:val="en-US" w:eastAsia="ko-KR"/>
        </w:rPr>
        <w:t>above candidate solutions</w:t>
      </w:r>
      <w:r w:rsidR="005B59F8">
        <w:rPr>
          <w:lang w:val="en-US" w:eastAsia="ko-KR"/>
        </w:rPr>
        <w:t xml:space="preserve"> to reduce test time.</w:t>
      </w:r>
    </w:p>
    <w:p w:rsidR="00CD0965" w:rsidRPr="00C9691F" w:rsidRDefault="00CD0965"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93302E" w:rsidRDefault="0093302E" w:rsidP="0093302E">
      <w:pPr>
        <w:pStyle w:val="2"/>
        <w:rPr>
          <w:lang w:val="en-US" w:eastAsia="ko-KR"/>
        </w:rPr>
      </w:pPr>
      <w:r>
        <w:rPr>
          <w:rFonts w:hint="eastAsia"/>
          <w:lang w:val="en-US" w:eastAsia="ko-KR"/>
        </w:rPr>
        <w:t>Rx beam peak search</w:t>
      </w:r>
    </w:p>
    <w:p w:rsidR="0093302E" w:rsidRDefault="008F76BE" w:rsidP="00125DF4">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agreements in last RAN4 meeting are </w:t>
      </w:r>
    </w:p>
    <w:tbl>
      <w:tblPr>
        <w:tblStyle w:val="a9"/>
        <w:tblW w:w="0" w:type="auto"/>
        <w:tblLook w:val="04A0" w:firstRow="1" w:lastRow="0" w:firstColumn="1" w:lastColumn="0" w:noHBand="0" w:noVBand="1"/>
      </w:tblPr>
      <w:tblGrid>
        <w:gridCol w:w="9776"/>
      </w:tblGrid>
      <w:tr w:rsidR="008F76BE" w:rsidTr="008F76BE">
        <w:tc>
          <w:tcPr>
            <w:tcW w:w="9776" w:type="dxa"/>
          </w:tcPr>
          <w:p w:rsidR="00062A0D" w:rsidRPr="008F76BE" w:rsidRDefault="00D71E9A" w:rsidP="008F76BE">
            <w:pPr>
              <w:pStyle w:val="a0"/>
              <w:numPr>
                <w:ilvl w:val="1"/>
                <w:numId w:val="29"/>
              </w:numPr>
              <w:tabs>
                <w:tab w:val="clear" w:pos="1440"/>
              </w:tabs>
              <w:ind w:left="171" w:hanging="142"/>
              <w:jc w:val="both"/>
              <w:rPr>
                <w:lang w:val="en-US" w:eastAsia="ko-KR"/>
              </w:rPr>
            </w:pPr>
            <w:r w:rsidRPr="008F76BE">
              <w:rPr>
                <w:lang w:val="en-US" w:eastAsia="ko-KR"/>
              </w:rPr>
              <w:t xml:space="preserve">RSRP(B) based RX beam peak search </w:t>
            </w:r>
          </w:p>
          <w:p w:rsidR="00062A0D" w:rsidRPr="008F76BE" w:rsidRDefault="00D71E9A" w:rsidP="008F76BE">
            <w:pPr>
              <w:pStyle w:val="a0"/>
              <w:numPr>
                <w:ilvl w:val="2"/>
                <w:numId w:val="28"/>
              </w:numPr>
              <w:tabs>
                <w:tab w:val="clear" w:pos="2160"/>
                <w:tab w:val="num" w:pos="596"/>
              </w:tabs>
              <w:ind w:left="596" w:hanging="283"/>
              <w:jc w:val="both"/>
              <w:rPr>
                <w:lang w:val="en-US" w:eastAsia="ko-KR"/>
              </w:rPr>
            </w:pPr>
            <w:r w:rsidRPr="008F76BE">
              <w:rPr>
                <w:lang w:val="en-US" w:eastAsia="ko-KR"/>
              </w:rPr>
              <w:t>The general idea of RSRP(B) based RX beam peak search is agreed in RAN4</w:t>
            </w:r>
          </w:p>
          <w:p w:rsidR="00062A0D" w:rsidRPr="008F76BE" w:rsidRDefault="00D71E9A" w:rsidP="008F76BE">
            <w:pPr>
              <w:pStyle w:val="a0"/>
              <w:numPr>
                <w:ilvl w:val="2"/>
                <w:numId w:val="28"/>
              </w:numPr>
              <w:tabs>
                <w:tab w:val="clear" w:pos="2160"/>
                <w:tab w:val="num" w:pos="596"/>
              </w:tabs>
              <w:ind w:left="596" w:hanging="283"/>
              <w:jc w:val="both"/>
              <w:rPr>
                <w:lang w:val="en-US" w:eastAsia="ko-KR"/>
              </w:rPr>
            </w:pPr>
            <w:r w:rsidRPr="008F76BE">
              <w:rPr>
                <w:lang w:val="en-US" w:eastAsia="ko-KR"/>
              </w:rPr>
              <w:t>Further discuss whether to use RSRP or RSRPB for the procedure</w:t>
            </w:r>
          </w:p>
          <w:p w:rsidR="00062A0D" w:rsidRPr="008F76BE" w:rsidRDefault="00D71E9A" w:rsidP="008F76BE">
            <w:pPr>
              <w:pStyle w:val="a0"/>
              <w:numPr>
                <w:ilvl w:val="2"/>
                <w:numId w:val="28"/>
              </w:numPr>
              <w:tabs>
                <w:tab w:val="clear" w:pos="2160"/>
                <w:tab w:val="num" w:pos="596"/>
              </w:tabs>
              <w:ind w:left="596" w:hanging="283"/>
              <w:jc w:val="both"/>
              <w:rPr>
                <w:lang w:val="en-US" w:eastAsia="ko-KR"/>
              </w:rPr>
            </w:pPr>
            <w:r w:rsidRPr="008F76BE">
              <w:rPr>
                <w:lang w:val="en-US" w:eastAsia="ko-KR"/>
              </w:rPr>
              <w:t>Detailed test procedure on only RSRP(B)-based measurement or RSRP(B)&amp;EIS-based measurement needs further study</w:t>
            </w:r>
          </w:p>
          <w:p w:rsidR="00062A0D" w:rsidRPr="008F76BE" w:rsidRDefault="00D71E9A" w:rsidP="008F76BE">
            <w:pPr>
              <w:pStyle w:val="a0"/>
              <w:numPr>
                <w:ilvl w:val="1"/>
                <w:numId w:val="29"/>
              </w:numPr>
              <w:tabs>
                <w:tab w:val="clear" w:pos="1440"/>
              </w:tabs>
              <w:ind w:left="171" w:hanging="142"/>
              <w:jc w:val="both"/>
              <w:rPr>
                <w:lang w:val="en-US" w:eastAsia="ko-KR"/>
              </w:rPr>
            </w:pPr>
            <w:r w:rsidRPr="008F76BE">
              <w:rPr>
                <w:lang w:val="en-US" w:eastAsia="ko-KR"/>
              </w:rPr>
              <w:t>FFS RAN4 need to define a reasonable RSRP(B) accuracy at high power levels which is different as current TS 38.133</w:t>
            </w:r>
          </w:p>
          <w:p w:rsidR="00062A0D" w:rsidRPr="008F76BE" w:rsidRDefault="00D71E9A" w:rsidP="008F76BE">
            <w:pPr>
              <w:pStyle w:val="a0"/>
              <w:numPr>
                <w:ilvl w:val="2"/>
                <w:numId w:val="28"/>
              </w:numPr>
              <w:tabs>
                <w:tab w:val="clear" w:pos="2160"/>
                <w:tab w:val="num" w:pos="596"/>
              </w:tabs>
              <w:ind w:left="596" w:hanging="283"/>
              <w:jc w:val="both"/>
              <w:rPr>
                <w:lang w:val="en-US" w:eastAsia="ko-KR"/>
              </w:rPr>
            </w:pPr>
            <w:r w:rsidRPr="008F76BE">
              <w:rPr>
                <w:lang w:val="en-US" w:eastAsia="ko-KR"/>
              </w:rPr>
              <w:t>The RSRP(B) accuracy should be defined based on simulation campaign in RRM session</w:t>
            </w:r>
          </w:p>
          <w:p w:rsidR="008F76BE" w:rsidRPr="008F76BE" w:rsidRDefault="00D71E9A" w:rsidP="008F76BE">
            <w:pPr>
              <w:pStyle w:val="a0"/>
              <w:numPr>
                <w:ilvl w:val="1"/>
                <w:numId w:val="29"/>
              </w:numPr>
              <w:tabs>
                <w:tab w:val="clear" w:pos="1440"/>
              </w:tabs>
              <w:ind w:left="171" w:hanging="142"/>
              <w:jc w:val="both"/>
              <w:rPr>
                <w:lang w:val="en-US" w:eastAsia="ko-KR"/>
              </w:rPr>
            </w:pPr>
            <w:r w:rsidRPr="008F76BE">
              <w:rPr>
                <w:lang w:val="en-US" w:eastAsia="ko-KR"/>
              </w:rPr>
              <w:t>Further study RSRP(B) based RX beam peak search approach, including the test procedure, MU and UE performance impacts</w:t>
            </w:r>
          </w:p>
        </w:tc>
      </w:tr>
    </w:tbl>
    <w:p w:rsidR="0093302E" w:rsidRDefault="0093302E" w:rsidP="00125DF4">
      <w:pPr>
        <w:pStyle w:val="a0"/>
        <w:jc w:val="both"/>
        <w:rPr>
          <w:lang w:val="en-US" w:eastAsia="ko-KR"/>
        </w:rPr>
      </w:pPr>
    </w:p>
    <w:p w:rsidR="008F76BE" w:rsidRDefault="008F76BE" w:rsidP="00125DF4">
      <w:pPr>
        <w:pStyle w:val="a0"/>
        <w:jc w:val="both"/>
        <w:rPr>
          <w:lang w:val="en-US" w:eastAsia="ko-KR"/>
        </w:rPr>
      </w:pPr>
      <w:r>
        <w:rPr>
          <w:lang w:val="en-US" w:eastAsia="ko-KR"/>
        </w:rPr>
        <w:t>F</w:t>
      </w:r>
      <w:r>
        <w:rPr>
          <w:rFonts w:hint="eastAsia"/>
          <w:lang w:val="en-US" w:eastAsia="ko-KR"/>
        </w:rPr>
        <w:t xml:space="preserve">or </w:t>
      </w:r>
      <w:r>
        <w:rPr>
          <w:lang w:val="en-US" w:eastAsia="ko-KR"/>
        </w:rPr>
        <w:t xml:space="preserve">the procedure of Rx beam peak search based on RSRP(B), RAN4 can reuse existing Rx beam peak search procedure for demodulation test which is RSRPB based scan with fallback option to Rx beam peak direction search [2]. In [3], Rx beam peak direction for test methodology for UE demodulation and CSI test </w:t>
      </w:r>
      <w:r w:rsidR="000707AD">
        <w:rPr>
          <w:lang w:val="en-US" w:eastAsia="ko-KR"/>
        </w:rPr>
        <w:t>considers as following</w:t>
      </w:r>
    </w:p>
    <w:p w:rsidR="000707AD" w:rsidRDefault="000707AD" w:rsidP="000707AD">
      <w:pPr>
        <w:pStyle w:val="a0"/>
        <w:numPr>
          <w:ilvl w:val="1"/>
          <w:numId w:val="29"/>
        </w:numPr>
        <w:tabs>
          <w:tab w:val="clear" w:pos="1440"/>
          <w:tab w:val="num" w:pos="851"/>
        </w:tabs>
        <w:ind w:left="851" w:hanging="284"/>
        <w:jc w:val="both"/>
        <w:rPr>
          <w:lang w:val="en-US" w:eastAsia="ko-KR"/>
        </w:rPr>
      </w:pPr>
      <w:r>
        <w:rPr>
          <w:lang w:val="en-US" w:eastAsia="ko-KR"/>
        </w:rPr>
        <w:t>Select the known Rx beam peak direction reused from RF testing if available, as far as it satisfies minimum isolation requirement defined in [2] and rank number in [2] corresponding to the test cases</w:t>
      </w:r>
    </w:p>
    <w:p w:rsidR="000707AD" w:rsidRDefault="000707AD" w:rsidP="000707AD">
      <w:pPr>
        <w:pStyle w:val="a0"/>
        <w:numPr>
          <w:ilvl w:val="1"/>
          <w:numId w:val="29"/>
        </w:numPr>
        <w:tabs>
          <w:tab w:val="clear" w:pos="1440"/>
          <w:tab w:val="num" w:pos="851"/>
        </w:tabs>
        <w:ind w:left="851" w:hanging="284"/>
        <w:jc w:val="both"/>
        <w:rPr>
          <w:lang w:val="en-US" w:eastAsia="ko-KR"/>
        </w:rPr>
      </w:pPr>
      <w:r>
        <w:rPr>
          <w:lang w:val="en-US" w:eastAsia="ko-KR"/>
        </w:rPr>
        <w:t>Otherwise select one direction which satisfied the REFSENS defined in TS38.101-2, minimum isolation requirement defined in [2] and rank number in [2] corresponding to the test cases</w:t>
      </w:r>
    </w:p>
    <w:p w:rsidR="0093302E" w:rsidRDefault="002B1638" w:rsidP="00125DF4">
      <w:pPr>
        <w:pStyle w:val="a0"/>
        <w:jc w:val="both"/>
        <w:rPr>
          <w:lang w:val="en-US" w:eastAsia="ko-KR"/>
        </w:rPr>
      </w:pPr>
      <w:r>
        <w:rPr>
          <w:rFonts w:hint="eastAsia"/>
          <w:lang w:val="en-US" w:eastAsia="ko-KR"/>
        </w:rPr>
        <w:t xml:space="preserve">Therefore, </w:t>
      </w:r>
      <w:r w:rsidR="008D5AC2">
        <w:rPr>
          <w:lang w:val="en-US" w:eastAsia="ko-KR"/>
        </w:rPr>
        <w:t xml:space="preserve">it is better to use </w:t>
      </w:r>
      <w:r w:rsidR="00EA6D27">
        <w:rPr>
          <w:lang w:val="en-US" w:eastAsia="ko-KR"/>
        </w:rPr>
        <w:t>the same procedure</w:t>
      </w:r>
      <w:r w:rsidR="008D5AC2">
        <w:rPr>
          <w:lang w:val="en-US" w:eastAsia="ko-KR"/>
        </w:rPr>
        <w:t xml:space="preserve"> for Rx beam peak search</w:t>
      </w:r>
      <w:r w:rsidR="00EA6D27">
        <w:rPr>
          <w:lang w:val="en-US" w:eastAsia="ko-KR"/>
        </w:rPr>
        <w:t xml:space="preserve"> </w:t>
      </w:r>
      <w:r w:rsidR="008D5AC2">
        <w:rPr>
          <w:lang w:val="en-US" w:eastAsia="ko-KR"/>
        </w:rPr>
        <w:t xml:space="preserve">since </w:t>
      </w:r>
      <w:r>
        <w:rPr>
          <w:rFonts w:hint="eastAsia"/>
          <w:lang w:val="en-US" w:eastAsia="ko-KR"/>
        </w:rPr>
        <w:t xml:space="preserve">Rx beam peak direction </w:t>
      </w:r>
      <w:r w:rsidR="008D5AC2">
        <w:rPr>
          <w:lang w:val="en-US" w:eastAsia="ko-KR"/>
        </w:rPr>
        <w:t xml:space="preserve">for demodulation and CSI test </w:t>
      </w:r>
      <w:r>
        <w:rPr>
          <w:rFonts w:hint="eastAsia"/>
          <w:lang w:val="en-US" w:eastAsia="ko-KR"/>
        </w:rPr>
        <w:t>can be reused from RF testing</w:t>
      </w:r>
      <w:r w:rsidR="008D5AC2">
        <w:rPr>
          <w:lang w:val="en-US" w:eastAsia="ko-KR"/>
        </w:rPr>
        <w:t>.</w:t>
      </w:r>
      <w:r w:rsidR="00AB5B41">
        <w:rPr>
          <w:lang w:val="en-US" w:eastAsia="ko-KR"/>
        </w:rPr>
        <w:t xml:space="preserve"> If the same procedure is considered, no further studies might be needed for test procedure, MU, and UE performance impact. Fol</w:t>
      </w:r>
      <w:r w:rsidR="00CD2030">
        <w:rPr>
          <w:lang w:val="en-US" w:eastAsia="ko-KR"/>
        </w:rPr>
        <w:t>lowing procedure based on RSRPB is captured from [2].</w:t>
      </w:r>
    </w:p>
    <w:tbl>
      <w:tblPr>
        <w:tblStyle w:val="a9"/>
        <w:tblW w:w="0" w:type="auto"/>
        <w:tblLook w:val="04A0" w:firstRow="1" w:lastRow="0" w:firstColumn="1" w:lastColumn="0" w:noHBand="0" w:noVBand="1"/>
      </w:tblPr>
      <w:tblGrid>
        <w:gridCol w:w="9855"/>
      </w:tblGrid>
      <w:tr w:rsidR="00CD2030" w:rsidTr="00CD2030">
        <w:tc>
          <w:tcPr>
            <w:tcW w:w="9855" w:type="dxa"/>
          </w:tcPr>
          <w:p w:rsidR="00CD2030" w:rsidRPr="00CD2030" w:rsidRDefault="00CD2030" w:rsidP="00CD2030">
            <w:pPr>
              <w:pStyle w:val="3"/>
            </w:pPr>
            <w:r w:rsidRPr="00CD2030">
              <w:lastRenderedPageBreak/>
              <w:t>RSRPB based scan with fallback option to Rx beam peak direction search</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Enable periodic RSRPB reporting from the UE.</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Set of grid points for the UE scan can be user defined set or entire sphere.</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 xml:space="preserve">For each grid point, record RSRPB first by connecting SS to the DUT through the measurement antenna with PolLink= </w:t>
            </w:r>
            <w:r w:rsidRPr="00EE7461">
              <w:rPr>
                <w:rFonts w:ascii="Symbol" w:hAnsi="Symbol"/>
                <w:color w:val="000000"/>
              </w:rPr>
              <w:t></w:t>
            </w:r>
            <w:r w:rsidRPr="00CD2030">
              <w:t xml:space="preserve"> polarization to form the Rx beam towards the measurement antenna and similarly for PolLink= </w:t>
            </w:r>
            <w:r w:rsidRPr="00EE7461">
              <w:rPr>
                <w:rFonts w:ascii="Symbol" w:hAnsi="Symbol"/>
                <w:color w:val="000000"/>
              </w:rPr>
              <w:t></w:t>
            </w:r>
            <w:r w:rsidRPr="00CD2030">
              <w:t xml:space="preserve"> polarization. </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Wait for BEAM_SELECT_WAIT_TIME before recording the RSRPB reports.</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 xml:space="preserve">Once the grid points scan is completed, sort the grid points based on the linear sum of 4 RSRPB values (2 each for </w:t>
            </w:r>
            <w:r w:rsidRPr="00EE7461">
              <w:rPr>
                <w:rFonts w:ascii="Symbol" w:hAnsi="Symbol"/>
                <w:color w:val="000000"/>
              </w:rPr>
              <w:t></w:t>
            </w:r>
            <w:r w:rsidRPr="00CD2030">
              <w:t xml:space="preserve"> and </w:t>
            </w:r>
            <w:r w:rsidRPr="00EE7461">
              <w:rPr>
                <w:rFonts w:ascii="Symbol" w:hAnsi="Symbol"/>
                <w:color w:val="000000"/>
              </w:rPr>
              <w:t></w:t>
            </w:r>
            <w:r w:rsidRPr="00CD2030">
              <w:t xml:space="preserve"> polarization).</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For the top [10] grid points, run the REFSENS throughput test as per the test condition defined in 38.521-2 clause 7.3.2</w:t>
            </w:r>
          </w:p>
          <w:p w:rsidR="00CD2030" w:rsidRPr="00CD2030" w:rsidRDefault="00CD2030" w:rsidP="00CD2030">
            <w:pPr>
              <w:pStyle w:val="B10"/>
              <w:numPr>
                <w:ilvl w:val="0"/>
                <w:numId w:val="31"/>
              </w:numPr>
              <w:overflowPunct/>
              <w:autoSpaceDE/>
              <w:autoSpaceDN/>
              <w:adjustRightInd/>
              <w:spacing w:after="0"/>
              <w:ind w:left="313" w:hanging="284"/>
              <w:textAlignment w:val="auto"/>
            </w:pPr>
            <w:r w:rsidRPr="00CD2030">
              <w:t>Grid points that pass the REFSENS throughput test are the potential UE direction to be used for running the tests.</w:t>
            </w:r>
          </w:p>
          <w:p w:rsidR="00CD2030" w:rsidRPr="00CD2030" w:rsidRDefault="00CD2030" w:rsidP="00CD2030">
            <w:pPr>
              <w:pStyle w:val="B10"/>
              <w:numPr>
                <w:ilvl w:val="0"/>
                <w:numId w:val="31"/>
              </w:numPr>
              <w:overflowPunct/>
              <w:autoSpaceDE/>
              <w:autoSpaceDN/>
              <w:adjustRightInd/>
              <w:spacing w:after="0"/>
              <w:ind w:left="313" w:hanging="284"/>
              <w:textAlignment w:val="auto"/>
              <w:rPr>
                <w:color w:val="000000"/>
              </w:rPr>
            </w:pPr>
            <w:r w:rsidRPr="00CD2030">
              <w:t>If no grid points</w:t>
            </w:r>
            <w:r w:rsidRPr="00CD2030">
              <w:rPr>
                <w:color w:val="000000"/>
              </w:rPr>
              <w:t xml:space="preserve"> found in step 7, fall back to using following procedure</w:t>
            </w:r>
          </w:p>
          <w:p w:rsidR="00CD2030" w:rsidRPr="00CD2030" w:rsidRDefault="00CD2030" w:rsidP="00CD2030">
            <w:pPr>
              <w:pStyle w:val="B10"/>
              <w:overflowPunct/>
              <w:autoSpaceDE/>
              <w:autoSpaceDN/>
              <w:adjustRightInd/>
              <w:spacing w:after="0"/>
              <w:ind w:leftChars="157" w:left="738" w:hangingChars="212" w:hanging="424"/>
              <w:textAlignment w:val="auto"/>
              <w:rPr>
                <w:lang w:eastAsia="ko-KR"/>
              </w:rPr>
            </w:pPr>
            <w:r w:rsidRPr="00CD2030">
              <w:t>8-1.</w:t>
            </w:r>
            <w:r w:rsidRPr="00CD2030">
              <w:tab/>
              <w:t>For Rx beam peak direction search, please refer to procedure defined in Annex K.1.2/K.3.2 of TS 38.521-2</w:t>
            </w:r>
          </w:p>
        </w:tc>
      </w:tr>
    </w:tbl>
    <w:p w:rsidR="00CD2030" w:rsidRDefault="00CD2030" w:rsidP="00125DF4">
      <w:pPr>
        <w:pStyle w:val="a0"/>
        <w:jc w:val="both"/>
        <w:rPr>
          <w:lang w:val="en-US" w:eastAsia="ko-KR"/>
        </w:rPr>
      </w:pPr>
    </w:p>
    <w:p w:rsidR="000707AD" w:rsidRDefault="00CD2030" w:rsidP="00125DF4">
      <w:pPr>
        <w:pStyle w:val="a0"/>
        <w:jc w:val="both"/>
        <w:rPr>
          <w:lang w:val="en-US" w:eastAsia="ko-KR"/>
        </w:rPr>
      </w:pPr>
      <w:r>
        <w:rPr>
          <w:rFonts w:hint="eastAsia"/>
          <w:lang w:val="en-US" w:eastAsia="ko-KR"/>
        </w:rPr>
        <w:t>For RSRP(B) accuracy at high power level</w:t>
      </w:r>
      <w:r>
        <w:rPr>
          <w:lang w:val="en-US" w:eastAsia="ko-KR"/>
        </w:rPr>
        <w:t xml:space="preserve">, the side condition for beam correspondence test could be considered as starting point. If </w:t>
      </w:r>
      <w:r w:rsidR="00AB5B41">
        <w:rPr>
          <w:lang w:val="en-US" w:eastAsia="ko-KR"/>
        </w:rPr>
        <w:t xml:space="preserve">higher the RSRP(B) accuracy at Es/Iot </w:t>
      </w:r>
      <w:r w:rsidR="00AB5B41">
        <w:rPr>
          <w:rFonts w:ascii="맑은 고딕" w:hAnsi="맑은 고딕" w:hint="eastAsia"/>
          <w:lang w:val="en-US" w:eastAsia="ko-KR"/>
        </w:rPr>
        <w:t>≥</w:t>
      </w:r>
      <w:r w:rsidR="00AB5B41">
        <w:rPr>
          <w:lang w:val="en-US" w:eastAsia="ko-KR"/>
        </w:rPr>
        <w:t xml:space="preserve"> 6dB is required for Rx beam peak search, RAN4 can investigate RSRP(B) accuracy based on simulation campaign with higher side condition.</w:t>
      </w:r>
    </w:p>
    <w:p w:rsidR="00AB5B41" w:rsidRDefault="00AB5B41" w:rsidP="00125DF4">
      <w:pPr>
        <w:pStyle w:val="a0"/>
        <w:jc w:val="both"/>
        <w:rPr>
          <w:lang w:val="en-US" w:eastAsia="ko-KR"/>
        </w:rPr>
      </w:pPr>
    </w:p>
    <w:p w:rsidR="00AB5B41" w:rsidRDefault="00AB5B41" w:rsidP="00AB5B41">
      <w:pPr>
        <w:pStyle w:val="a0"/>
        <w:numPr>
          <w:ilvl w:val="0"/>
          <w:numId w:val="25"/>
        </w:numPr>
        <w:jc w:val="both"/>
        <w:rPr>
          <w:lang w:val="en-US" w:eastAsia="ko-KR"/>
        </w:rPr>
      </w:pPr>
      <w:r w:rsidRPr="00AB5B41">
        <w:rPr>
          <w:b/>
          <w:i/>
          <w:lang w:val="en-US" w:eastAsia="ko-KR"/>
        </w:rPr>
        <w:t xml:space="preserve">Proposal </w:t>
      </w:r>
      <w:r w:rsidR="00BA5424">
        <w:rPr>
          <w:b/>
          <w:i/>
          <w:lang w:val="en-US" w:eastAsia="ko-KR"/>
        </w:rPr>
        <w:t>1</w:t>
      </w:r>
      <w:r w:rsidRPr="00AB5B41">
        <w:rPr>
          <w:b/>
          <w:i/>
          <w:lang w:val="en-US" w:eastAsia="ko-KR"/>
        </w:rPr>
        <w:t>:</w:t>
      </w:r>
      <w:r>
        <w:rPr>
          <w:lang w:val="en-US" w:eastAsia="ko-KR"/>
        </w:rPr>
        <w:t xml:space="preserve"> Reuse test procedure of Rx beam peak search based on RSRPB for demodulation and CSI testing</w:t>
      </w:r>
    </w:p>
    <w:p w:rsidR="000707AD" w:rsidRDefault="000707AD" w:rsidP="00125DF4">
      <w:pPr>
        <w:pStyle w:val="a0"/>
        <w:jc w:val="both"/>
        <w:rPr>
          <w:lang w:val="en-US" w:eastAsia="ko-KR"/>
        </w:rPr>
      </w:pPr>
    </w:p>
    <w:p w:rsidR="00AB5B41" w:rsidRDefault="00AB5B41" w:rsidP="00AB5B41">
      <w:pPr>
        <w:pStyle w:val="2"/>
        <w:rPr>
          <w:lang w:val="en-US" w:eastAsia="ko-KR"/>
        </w:rPr>
      </w:pPr>
      <w:r>
        <w:rPr>
          <w:lang w:val="en-US" w:eastAsia="ko-KR"/>
        </w:rPr>
        <w:t xml:space="preserve">EIRP for </w:t>
      </w:r>
      <w:r>
        <w:rPr>
          <w:rFonts w:hint="eastAsia"/>
          <w:lang w:val="en-US" w:eastAsia="ko-KR"/>
        </w:rPr>
        <w:t>UL MIMO and Tx diversity</w:t>
      </w:r>
    </w:p>
    <w:p w:rsidR="00AB5B41" w:rsidRDefault="000E5CBE" w:rsidP="00125DF4">
      <w:pPr>
        <w:pStyle w:val="a0"/>
        <w:jc w:val="both"/>
        <w:rPr>
          <w:lang w:val="en-US" w:eastAsia="ko-KR"/>
        </w:rPr>
      </w:pPr>
      <w:r>
        <w:rPr>
          <w:lang w:val="en-US" w:eastAsia="ko-KR"/>
        </w:rPr>
        <w:t>It was agreed to consider s</w:t>
      </w:r>
      <w:r>
        <w:rPr>
          <w:rFonts w:hint="eastAsia"/>
          <w:lang w:val="en-US" w:eastAsia="ko-KR"/>
        </w:rPr>
        <w:t>ingle link polarization measurement for EIRP test o</w:t>
      </w:r>
      <w:r w:rsidR="00420590">
        <w:rPr>
          <w:rFonts w:hint="eastAsia"/>
          <w:lang w:val="en-US" w:eastAsia="ko-KR"/>
        </w:rPr>
        <w:t>f UL MIMO and Tx diversity test as follows:</w:t>
      </w:r>
    </w:p>
    <w:tbl>
      <w:tblPr>
        <w:tblStyle w:val="a9"/>
        <w:tblW w:w="0" w:type="auto"/>
        <w:tblLook w:val="04A0" w:firstRow="1" w:lastRow="0" w:firstColumn="1" w:lastColumn="0" w:noHBand="0" w:noVBand="1"/>
      </w:tblPr>
      <w:tblGrid>
        <w:gridCol w:w="9855"/>
      </w:tblGrid>
      <w:tr w:rsidR="00420590" w:rsidTr="00420590">
        <w:tc>
          <w:tcPr>
            <w:tcW w:w="9855" w:type="dxa"/>
          </w:tcPr>
          <w:p w:rsidR="002E0B32" w:rsidRPr="00420590" w:rsidRDefault="000E38C1" w:rsidP="00420590">
            <w:pPr>
              <w:pStyle w:val="a0"/>
              <w:numPr>
                <w:ilvl w:val="1"/>
                <w:numId w:val="29"/>
              </w:numPr>
              <w:tabs>
                <w:tab w:val="clear" w:pos="1440"/>
              </w:tabs>
              <w:ind w:left="171" w:hanging="142"/>
              <w:jc w:val="both"/>
              <w:rPr>
                <w:lang w:val="en-US" w:eastAsia="ko-KR"/>
              </w:rPr>
            </w:pPr>
            <w:r w:rsidRPr="00420590">
              <w:rPr>
                <w:lang w:val="en-US" w:eastAsia="ko-KR"/>
              </w:rPr>
              <w:t xml:space="preserve">EIRP test of UL MIMO  </w:t>
            </w:r>
          </w:p>
          <w:p w:rsidR="002E0B32" w:rsidRPr="00420590" w:rsidRDefault="000E38C1" w:rsidP="00420590">
            <w:pPr>
              <w:pStyle w:val="a0"/>
              <w:numPr>
                <w:ilvl w:val="2"/>
                <w:numId w:val="28"/>
              </w:numPr>
              <w:tabs>
                <w:tab w:val="clear" w:pos="2160"/>
                <w:tab w:val="num" w:pos="596"/>
              </w:tabs>
              <w:ind w:left="596" w:hanging="283"/>
              <w:jc w:val="both"/>
              <w:rPr>
                <w:lang w:val="en-US" w:eastAsia="ko-KR"/>
              </w:rPr>
            </w:pPr>
            <w:r w:rsidRPr="00420590">
              <w:rPr>
                <w:lang w:val="en-US" w:eastAsia="ko-KR"/>
              </w:rPr>
              <w:t>Single link polarization measurement is feasible for EIRP test in principle and details can be further optimized</w:t>
            </w:r>
          </w:p>
          <w:p w:rsidR="002E0B32" w:rsidRPr="00420590" w:rsidRDefault="000E38C1" w:rsidP="00420590">
            <w:pPr>
              <w:pStyle w:val="a0"/>
              <w:numPr>
                <w:ilvl w:val="2"/>
                <w:numId w:val="28"/>
              </w:numPr>
              <w:tabs>
                <w:tab w:val="clear" w:pos="2160"/>
                <w:tab w:val="num" w:pos="596"/>
              </w:tabs>
              <w:ind w:left="596" w:hanging="283"/>
              <w:jc w:val="both"/>
              <w:rPr>
                <w:lang w:val="en-US" w:eastAsia="ko-KR"/>
              </w:rPr>
            </w:pPr>
            <w:r w:rsidRPr="00420590">
              <w:rPr>
                <w:lang w:val="en-US" w:eastAsia="ko-KR"/>
              </w:rPr>
              <w:t>Further study antenna impact etc.</w:t>
            </w:r>
          </w:p>
          <w:p w:rsidR="002E0B32" w:rsidRPr="00420590" w:rsidRDefault="000E38C1" w:rsidP="00420590">
            <w:pPr>
              <w:pStyle w:val="a0"/>
              <w:numPr>
                <w:ilvl w:val="1"/>
                <w:numId w:val="29"/>
              </w:numPr>
              <w:tabs>
                <w:tab w:val="clear" w:pos="1440"/>
              </w:tabs>
              <w:ind w:left="171" w:hanging="142"/>
              <w:jc w:val="both"/>
              <w:rPr>
                <w:lang w:val="en-US" w:eastAsia="ko-KR"/>
              </w:rPr>
            </w:pPr>
            <w:r w:rsidRPr="00420590">
              <w:rPr>
                <w:lang w:val="en-US" w:eastAsia="ko-KR"/>
              </w:rPr>
              <w:t>EIRP test of Tx diversity</w:t>
            </w:r>
          </w:p>
          <w:p w:rsidR="002E0B32" w:rsidRPr="00420590" w:rsidRDefault="000E38C1" w:rsidP="00420590">
            <w:pPr>
              <w:pStyle w:val="a0"/>
              <w:numPr>
                <w:ilvl w:val="2"/>
                <w:numId w:val="28"/>
              </w:numPr>
              <w:tabs>
                <w:tab w:val="clear" w:pos="2160"/>
                <w:tab w:val="num" w:pos="596"/>
              </w:tabs>
              <w:ind w:left="596" w:hanging="283"/>
              <w:jc w:val="both"/>
              <w:rPr>
                <w:lang w:val="en-US" w:eastAsia="ko-KR"/>
              </w:rPr>
            </w:pPr>
            <w:r w:rsidRPr="00420590">
              <w:rPr>
                <w:lang w:val="en-US" w:eastAsia="ko-KR"/>
              </w:rPr>
              <w:t>Single link polarization measurement is feasible for EIRP test in principle and details can be further optimized</w:t>
            </w:r>
          </w:p>
          <w:p w:rsidR="00420590" w:rsidRPr="00420590" w:rsidRDefault="000E38C1" w:rsidP="00420590">
            <w:pPr>
              <w:pStyle w:val="a0"/>
              <w:numPr>
                <w:ilvl w:val="2"/>
                <w:numId w:val="28"/>
              </w:numPr>
              <w:tabs>
                <w:tab w:val="clear" w:pos="2160"/>
                <w:tab w:val="num" w:pos="596"/>
              </w:tabs>
              <w:ind w:left="596" w:hanging="283"/>
              <w:jc w:val="both"/>
              <w:rPr>
                <w:lang w:val="en-US" w:eastAsia="ko-KR"/>
              </w:rPr>
            </w:pPr>
            <w:r w:rsidRPr="00420590">
              <w:rPr>
                <w:lang w:val="en-US" w:eastAsia="ko-KR"/>
              </w:rPr>
              <w:t>Further study antenna impact etc.</w:t>
            </w:r>
          </w:p>
        </w:tc>
      </w:tr>
    </w:tbl>
    <w:p w:rsidR="00420590" w:rsidRDefault="00420590" w:rsidP="00125DF4">
      <w:pPr>
        <w:pStyle w:val="a0"/>
        <w:jc w:val="both"/>
        <w:rPr>
          <w:lang w:val="en-US" w:eastAsia="ko-KR"/>
        </w:rPr>
      </w:pPr>
    </w:p>
    <w:p w:rsidR="00420590" w:rsidRDefault="00420590" w:rsidP="00125DF4">
      <w:pPr>
        <w:pStyle w:val="a0"/>
        <w:jc w:val="both"/>
        <w:rPr>
          <w:lang w:val="en-US" w:eastAsia="ko-KR"/>
        </w:rPr>
      </w:pPr>
      <w:r>
        <w:rPr>
          <w:lang w:val="en-US" w:eastAsia="ko-KR"/>
        </w:rPr>
        <w:t xml:space="preserve">If the EIRP for </w:t>
      </w:r>
      <w:r>
        <w:rPr>
          <w:rFonts w:hint="eastAsia"/>
          <w:lang w:val="en-US" w:eastAsia="ko-KR"/>
        </w:rPr>
        <w:t xml:space="preserve">UL MIMO and Tx diversity </w:t>
      </w:r>
      <w:r>
        <w:rPr>
          <w:lang w:val="en-US" w:eastAsia="ko-KR"/>
        </w:rPr>
        <w:t xml:space="preserve">is tested by using </w:t>
      </w:r>
      <w:r>
        <w:rPr>
          <w:rFonts w:hint="eastAsia"/>
          <w:lang w:val="en-US" w:eastAsia="ko-KR"/>
        </w:rPr>
        <w:t>single link polarization</w:t>
      </w:r>
      <w:r>
        <w:rPr>
          <w:lang w:val="en-US" w:eastAsia="ko-KR"/>
        </w:rPr>
        <w:t xml:space="preserve">, it is necessary to determine which single link polarization </w:t>
      </w:r>
      <w:r>
        <w:rPr>
          <w:rFonts w:hint="eastAsia"/>
          <w:lang w:val="en-US" w:eastAsia="ko-KR"/>
        </w:rPr>
        <w:t>will use to te</w:t>
      </w:r>
      <w:r>
        <w:rPr>
          <w:lang w:val="en-US" w:eastAsia="ko-KR"/>
        </w:rPr>
        <w:t xml:space="preserve">st. For the </w:t>
      </w:r>
      <w:r w:rsidR="00844D91">
        <w:rPr>
          <w:lang w:val="en-US" w:eastAsia="ko-KR"/>
        </w:rPr>
        <w:t>test</w:t>
      </w:r>
      <w:r>
        <w:rPr>
          <w:lang w:val="en-US" w:eastAsia="ko-KR"/>
        </w:rPr>
        <w:t>, UE declaration based single link polarization could be considered.</w:t>
      </w:r>
    </w:p>
    <w:p w:rsidR="00420590" w:rsidRDefault="00420590" w:rsidP="00420590">
      <w:pPr>
        <w:pStyle w:val="a0"/>
        <w:numPr>
          <w:ilvl w:val="0"/>
          <w:numId w:val="25"/>
        </w:numPr>
        <w:jc w:val="both"/>
        <w:rPr>
          <w:lang w:val="en-US" w:eastAsia="ko-KR"/>
        </w:rPr>
      </w:pPr>
      <w:r w:rsidRPr="00194FDA">
        <w:rPr>
          <w:b/>
          <w:i/>
          <w:lang w:val="en-US" w:eastAsia="ko-KR"/>
        </w:rPr>
        <w:t xml:space="preserve">Proposal </w:t>
      </w:r>
      <w:r w:rsidR="00BA5424">
        <w:rPr>
          <w:b/>
          <w:i/>
          <w:lang w:val="en-US" w:eastAsia="ko-KR"/>
        </w:rPr>
        <w:t>2</w:t>
      </w:r>
      <w:r>
        <w:rPr>
          <w:lang w:val="en-US" w:eastAsia="ko-KR"/>
        </w:rPr>
        <w:t xml:space="preserve">: </w:t>
      </w:r>
      <w:r w:rsidR="00194FDA">
        <w:rPr>
          <w:lang w:val="en-US" w:eastAsia="ko-KR"/>
        </w:rPr>
        <w:t xml:space="preserve">It should be considered to determine which single link polarization to be used for the test based on </w:t>
      </w:r>
      <w:r>
        <w:rPr>
          <w:lang w:val="en-US" w:eastAsia="ko-KR"/>
        </w:rPr>
        <w:t>UE declaration.</w:t>
      </w:r>
    </w:p>
    <w:p w:rsidR="00420590" w:rsidRDefault="00420590" w:rsidP="00125DF4">
      <w:pPr>
        <w:pStyle w:val="a0"/>
        <w:jc w:val="both"/>
        <w:rPr>
          <w:lang w:val="en-US" w:eastAsia="ko-KR"/>
        </w:rPr>
      </w:pPr>
    </w:p>
    <w:p w:rsidR="00AB5B41" w:rsidRDefault="009337CF" w:rsidP="00125DF4">
      <w:pPr>
        <w:pStyle w:val="a0"/>
        <w:jc w:val="both"/>
        <w:rPr>
          <w:lang w:val="en-US" w:eastAsia="ko-KR"/>
        </w:rPr>
      </w:pPr>
      <w:r>
        <w:rPr>
          <w:rFonts w:hint="eastAsia"/>
          <w:lang w:val="en-US" w:eastAsia="ko-KR"/>
        </w:rPr>
        <w:t xml:space="preserve">In TS38.101-2, </w:t>
      </w:r>
      <w:r>
        <w:rPr>
          <w:lang w:val="en-US" w:eastAsia="ko-KR"/>
        </w:rPr>
        <w:t xml:space="preserve">uplink full power transmission mode has been defined in UL MIMO section. </w:t>
      </w:r>
    </w:p>
    <w:p w:rsidR="009337CF" w:rsidRPr="00B64C7A" w:rsidRDefault="009337CF" w:rsidP="009337CF">
      <w:pPr>
        <w:pStyle w:val="a7"/>
        <w:keepNext/>
        <w:jc w:val="center"/>
        <w:rPr>
          <w:b w:val="0"/>
        </w:rPr>
      </w:pPr>
      <w:r w:rsidRPr="00B64C7A">
        <w:rPr>
          <w:b w:val="0"/>
        </w:rPr>
        <w:t xml:space="preserve">Table </w:t>
      </w:r>
      <w:r w:rsidRPr="00B64C7A">
        <w:rPr>
          <w:b w:val="0"/>
        </w:rPr>
        <w:fldChar w:fldCharType="begin"/>
      </w:r>
      <w:r w:rsidRPr="00B64C7A">
        <w:rPr>
          <w:b w:val="0"/>
        </w:rPr>
        <w:instrText xml:space="preserve"> SEQ Table \* ARABIC </w:instrText>
      </w:r>
      <w:r w:rsidRPr="00B64C7A">
        <w:rPr>
          <w:b w:val="0"/>
        </w:rPr>
        <w:fldChar w:fldCharType="separate"/>
      </w:r>
      <w:r>
        <w:rPr>
          <w:b w:val="0"/>
          <w:noProof/>
        </w:rPr>
        <w:t>2</w:t>
      </w:r>
      <w:r w:rsidRPr="00B64C7A">
        <w:rPr>
          <w:b w:val="0"/>
        </w:rPr>
        <w:fldChar w:fldCharType="end"/>
      </w:r>
      <w:r w:rsidRPr="00B64C7A">
        <w:rPr>
          <w:b w:val="0"/>
        </w:rPr>
        <w:t xml:space="preserve"> PUSCH configuration for uplink full power transmission </w:t>
      </w:r>
      <w:r>
        <w:rPr>
          <w:b w:val="0"/>
        </w:rPr>
        <w:t>(ULFPTx) [</w:t>
      </w:r>
      <w:r w:rsidRPr="00B64C7A">
        <w:rPr>
          <w:b w:val="0"/>
        </w:rPr>
        <w:t>TS38.101-2</w:t>
      </w:r>
      <w:r>
        <w:rPr>
          <w:b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9337CF" w:rsidRPr="00C04A08" w:rsidTr="0084748C">
        <w:trPr>
          <w:trHeight w:val="187"/>
          <w:jc w:val="center"/>
        </w:trPr>
        <w:tc>
          <w:tcPr>
            <w:tcW w:w="993" w:type="dxa"/>
          </w:tcPr>
          <w:p w:rsidR="009337CF" w:rsidRPr="00C04A08" w:rsidRDefault="009337CF" w:rsidP="0084748C">
            <w:pPr>
              <w:pStyle w:val="TAH"/>
            </w:pPr>
            <w:r w:rsidRPr="00C04A08">
              <w:t>ULFPTx Mode</w:t>
            </w:r>
          </w:p>
        </w:tc>
        <w:tc>
          <w:tcPr>
            <w:tcW w:w="2268" w:type="dxa"/>
          </w:tcPr>
          <w:p w:rsidR="009337CF" w:rsidRPr="00C04A08" w:rsidRDefault="009337CF" w:rsidP="0084748C">
            <w:pPr>
              <w:pStyle w:val="TAH"/>
            </w:pPr>
            <w:r w:rsidRPr="00C04A08">
              <w:t>Transmission scheme</w:t>
            </w:r>
          </w:p>
        </w:tc>
        <w:tc>
          <w:tcPr>
            <w:tcW w:w="1559" w:type="dxa"/>
          </w:tcPr>
          <w:p w:rsidR="009337CF" w:rsidRPr="00C04A08" w:rsidRDefault="009337CF" w:rsidP="0084748C">
            <w:pPr>
              <w:pStyle w:val="TAH"/>
              <w:rPr>
                <w:rFonts w:eastAsia="CG Times (WN)"/>
              </w:rPr>
            </w:pPr>
            <w:r w:rsidRPr="00C04A08">
              <w:rPr>
                <w:rFonts w:eastAsia="CG Times (WN)"/>
              </w:rPr>
              <w:t>DCI format</w:t>
            </w:r>
          </w:p>
        </w:tc>
        <w:tc>
          <w:tcPr>
            <w:tcW w:w="2551" w:type="dxa"/>
          </w:tcPr>
          <w:p w:rsidR="009337CF" w:rsidRPr="00C04A08" w:rsidRDefault="009337CF" w:rsidP="0084748C">
            <w:pPr>
              <w:pStyle w:val="TAH"/>
              <w:rPr>
                <w:rFonts w:eastAsia="CG Times (WN)"/>
              </w:rPr>
            </w:pPr>
            <w:r w:rsidRPr="00C04A08">
              <w:rPr>
                <w:rFonts w:eastAsia="CG Times (WN)"/>
              </w:rPr>
              <w:t>Modulation</w:t>
            </w:r>
          </w:p>
        </w:tc>
        <w:tc>
          <w:tcPr>
            <w:tcW w:w="993" w:type="dxa"/>
          </w:tcPr>
          <w:p w:rsidR="009337CF" w:rsidRPr="00C04A08" w:rsidRDefault="009337CF" w:rsidP="0084748C">
            <w:pPr>
              <w:pStyle w:val="TAH"/>
              <w:rPr>
                <w:rFonts w:eastAsia="CG Times (WN)"/>
              </w:rPr>
            </w:pPr>
            <w:r w:rsidRPr="00C04A08">
              <w:rPr>
                <w:rFonts w:eastAsia="CG Times (WN)"/>
              </w:rPr>
              <w:t>Number of layers</w:t>
            </w:r>
          </w:p>
        </w:tc>
        <w:tc>
          <w:tcPr>
            <w:tcW w:w="1134" w:type="dxa"/>
          </w:tcPr>
          <w:p w:rsidR="009337CF" w:rsidRPr="00C04A08" w:rsidRDefault="009337CF" w:rsidP="0084748C">
            <w:pPr>
              <w:pStyle w:val="TAH"/>
              <w:rPr>
                <w:rFonts w:eastAsia="CG Times (WN)"/>
              </w:rPr>
            </w:pPr>
            <w:r w:rsidRPr="00C04A08">
              <w:rPr>
                <w:rFonts w:eastAsia="CG Times (WN)"/>
              </w:rPr>
              <w:t>TPMI index</w:t>
            </w:r>
          </w:p>
        </w:tc>
      </w:tr>
      <w:tr w:rsidR="009337CF" w:rsidRPr="00C04A08" w:rsidTr="0084748C">
        <w:trPr>
          <w:trHeight w:val="187"/>
          <w:jc w:val="center"/>
        </w:trPr>
        <w:tc>
          <w:tcPr>
            <w:tcW w:w="993" w:type="dxa"/>
          </w:tcPr>
          <w:p w:rsidR="009337CF" w:rsidRPr="00C04A08" w:rsidRDefault="009337CF" w:rsidP="0084748C">
            <w:pPr>
              <w:pStyle w:val="TAC"/>
            </w:pPr>
            <w:r w:rsidRPr="00C04A08">
              <w:t>Mode-1</w:t>
            </w:r>
          </w:p>
        </w:tc>
        <w:tc>
          <w:tcPr>
            <w:tcW w:w="2268" w:type="dxa"/>
          </w:tcPr>
          <w:p w:rsidR="009337CF" w:rsidRPr="00C04A08" w:rsidRDefault="009337CF" w:rsidP="0084748C">
            <w:pPr>
              <w:pStyle w:val="TAC"/>
            </w:pPr>
            <w:r w:rsidRPr="00C04A08">
              <w:t>Codebook based uplink</w:t>
            </w:r>
          </w:p>
        </w:tc>
        <w:tc>
          <w:tcPr>
            <w:tcW w:w="1559" w:type="dxa"/>
          </w:tcPr>
          <w:p w:rsidR="009337CF" w:rsidRPr="00C04A08" w:rsidRDefault="009337CF" w:rsidP="0084748C">
            <w:pPr>
              <w:pStyle w:val="TAC"/>
              <w:rPr>
                <w:rFonts w:eastAsia="CG Times (WN)"/>
              </w:rPr>
            </w:pPr>
            <w:r w:rsidRPr="00C04A08">
              <w:rPr>
                <w:rFonts w:eastAsia="CG Times (WN)"/>
              </w:rPr>
              <w:t>DCI format 0_1</w:t>
            </w:r>
          </w:p>
        </w:tc>
        <w:tc>
          <w:tcPr>
            <w:tcW w:w="2551" w:type="dxa"/>
          </w:tcPr>
          <w:p w:rsidR="009337CF" w:rsidRPr="00C04A08" w:rsidRDefault="009337CF" w:rsidP="0084748C">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rsidR="009337CF" w:rsidRPr="00C04A08" w:rsidRDefault="009337CF" w:rsidP="0084748C">
            <w:pPr>
              <w:pStyle w:val="TAC"/>
              <w:rPr>
                <w:rFonts w:eastAsia="CG Times (WN)"/>
              </w:rPr>
            </w:pPr>
            <w:r w:rsidRPr="00C04A08">
              <w:rPr>
                <w:rFonts w:eastAsia="CG Times (WN)"/>
              </w:rPr>
              <w:t>1</w:t>
            </w:r>
          </w:p>
        </w:tc>
        <w:tc>
          <w:tcPr>
            <w:tcW w:w="1134" w:type="dxa"/>
          </w:tcPr>
          <w:p w:rsidR="009337CF" w:rsidRPr="00C04A08" w:rsidRDefault="009337CF" w:rsidP="0084748C">
            <w:pPr>
              <w:pStyle w:val="TAC"/>
              <w:rPr>
                <w:rFonts w:eastAsia="CG Times (WN)"/>
              </w:rPr>
            </w:pPr>
            <w:r w:rsidRPr="00C04A08">
              <w:rPr>
                <w:rFonts w:eastAsia="CG Times (WN)"/>
              </w:rPr>
              <w:t>2</w:t>
            </w:r>
          </w:p>
        </w:tc>
      </w:tr>
      <w:tr w:rsidR="009337CF" w:rsidRPr="00C04A08" w:rsidTr="0084748C">
        <w:trPr>
          <w:trHeight w:val="187"/>
          <w:jc w:val="center"/>
        </w:trPr>
        <w:tc>
          <w:tcPr>
            <w:tcW w:w="993" w:type="dxa"/>
          </w:tcPr>
          <w:p w:rsidR="009337CF" w:rsidRPr="00C04A08" w:rsidRDefault="009337CF" w:rsidP="0084748C">
            <w:pPr>
              <w:pStyle w:val="TAC"/>
            </w:pPr>
            <w:r w:rsidRPr="00C04A08">
              <w:t>Mode-2</w:t>
            </w:r>
          </w:p>
        </w:tc>
        <w:tc>
          <w:tcPr>
            <w:tcW w:w="2268" w:type="dxa"/>
          </w:tcPr>
          <w:p w:rsidR="009337CF" w:rsidRPr="00C04A08" w:rsidRDefault="009337CF" w:rsidP="0084748C">
            <w:pPr>
              <w:pStyle w:val="TAC"/>
            </w:pPr>
            <w:r w:rsidRPr="00C04A08">
              <w:t>Codebook based uplink</w:t>
            </w:r>
          </w:p>
        </w:tc>
        <w:tc>
          <w:tcPr>
            <w:tcW w:w="1559" w:type="dxa"/>
          </w:tcPr>
          <w:p w:rsidR="009337CF" w:rsidRPr="00C04A08" w:rsidRDefault="009337CF" w:rsidP="0084748C">
            <w:pPr>
              <w:pStyle w:val="TAC"/>
              <w:rPr>
                <w:rFonts w:eastAsia="CG Times (WN)"/>
              </w:rPr>
            </w:pPr>
            <w:r w:rsidRPr="00C04A08">
              <w:rPr>
                <w:rFonts w:eastAsia="CG Times (WN)"/>
              </w:rPr>
              <w:t>DCI format 0_1</w:t>
            </w:r>
          </w:p>
        </w:tc>
        <w:tc>
          <w:tcPr>
            <w:tcW w:w="2551" w:type="dxa"/>
          </w:tcPr>
          <w:p w:rsidR="009337CF" w:rsidRPr="00C04A08" w:rsidRDefault="009337CF" w:rsidP="0084748C">
            <w:pPr>
              <w:pStyle w:val="TAC"/>
              <w:rPr>
                <w:rFonts w:eastAsia="CG Times (WN)"/>
              </w:rPr>
            </w:pPr>
            <w:r w:rsidRPr="00C04A08">
              <w:rPr>
                <w:rFonts w:eastAsia="CG Times (WN)"/>
              </w:rPr>
              <w:t>DFT-s-OFDM, CP-OFDM</w:t>
            </w:r>
          </w:p>
        </w:tc>
        <w:tc>
          <w:tcPr>
            <w:tcW w:w="993" w:type="dxa"/>
          </w:tcPr>
          <w:p w:rsidR="009337CF" w:rsidRPr="00C04A08" w:rsidRDefault="009337CF" w:rsidP="0084748C">
            <w:pPr>
              <w:pStyle w:val="TAC"/>
              <w:rPr>
                <w:rFonts w:eastAsia="CG Times (WN)"/>
              </w:rPr>
            </w:pPr>
            <w:r w:rsidRPr="00C04A08">
              <w:rPr>
                <w:rFonts w:eastAsia="CG Times (WN)"/>
              </w:rPr>
              <w:t>1</w:t>
            </w:r>
          </w:p>
        </w:tc>
        <w:tc>
          <w:tcPr>
            <w:tcW w:w="1134" w:type="dxa"/>
          </w:tcPr>
          <w:p w:rsidR="009337CF" w:rsidRPr="00C04A08" w:rsidRDefault="009337CF" w:rsidP="0084748C">
            <w:pPr>
              <w:pStyle w:val="TAC"/>
              <w:rPr>
                <w:rFonts w:eastAsia="CG Times (WN)"/>
              </w:rPr>
            </w:pPr>
            <w:r w:rsidRPr="00C04A08">
              <w:rPr>
                <w:rFonts w:eastAsia="CG Times (WN)"/>
              </w:rPr>
              <w:t>0 or 1</w:t>
            </w:r>
            <w:r w:rsidRPr="00C04A08">
              <w:rPr>
                <w:rFonts w:eastAsia="CG Times (WN)"/>
                <w:vertAlign w:val="superscript"/>
              </w:rPr>
              <w:t>2</w:t>
            </w:r>
          </w:p>
        </w:tc>
      </w:tr>
      <w:tr w:rsidR="009337CF" w:rsidRPr="00C04A08" w:rsidTr="0084748C">
        <w:trPr>
          <w:trHeight w:val="187"/>
          <w:jc w:val="center"/>
        </w:trPr>
        <w:tc>
          <w:tcPr>
            <w:tcW w:w="993" w:type="dxa"/>
          </w:tcPr>
          <w:p w:rsidR="009337CF" w:rsidRPr="00C04A08" w:rsidRDefault="009337CF" w:rsidP="0084748C">
            <w:pPr>
              <w:pStyle w:val="TAC"/>
            </w:pPr>
            <w:r w:rsidRPr="00C04A08">
              <w:t>Mode-full power</w:t>
            </w:r>
          </w:p>
        </w:tc>
        <w:tc>
          <w:tcPr>
            <w:tcW w:w="2268" w:type="dxa"/>
          </w:tcPr>
          <w:p w:rsidR="009337CF" w:rsidRPr="00C04A08" w:rsidRDefault="009337CF" w:rsidP="0084748C">
            <w:pPr>
              <w:pStyle w:val="TAC"/>
            </w:pPr>
            <w:r w:rsidRPr="00C04A08">
              <w:t>Codebook based uplink</w:t>
            </w:r>
          </w:p>
        </w:tc>
        <w:tc>
          <w:tcPr>
            <w:tcW w:w="1559" w:type="dxa"/>
          </w:tcPr>
          <w:p w:rsidR="009337CF" w:rsidRPr="00C04A08" w:rsidRDefault="009337CF" w:rsidP="0084748C">
            <w:pPr>
              <w:pStyle w:val="TAC"/>
              <w:rPr>
                <w:rFonts w:eastAsia="CG Times (WN)"/>
              </w:rPr>
            </w:pPr>
            <w:r w:rsidRPr="00C04A08">
              <w:rPr>
                <w:rFonts w:eastAsia="CG Times (WN)"/>
              </w:rPr>
              <w:t>DCI format 0_1</w:t>
            </w:r>
          </w:p>
        </w:tc>
        <w:tc>
          <w:tcPr>
            <w:tcW w:w="2551" w:type="dxa"/>
          </w:tcPr>
          <w:p w:rsidR="009337CF" w:rsidRPr="00C04A08" w:rsidRDefault="009337CF" w:rsidP="0084748C">
            <w:pPr>
              <w:pStyle w:val="TAC"/>
              <w:rPr>
                <w:rFonts w:eastAsia="CG Times (WN)"/>
              </w:rPr>
            </w:pPr>
            <w:r w:rsidRPr="00C04A08">
              <w:rPr>
                <w:rFonts w:eastAsia="CG Times (WN)"/>
              </w:rPr>
              <w:t>DFT-s-OFDM, CP-OFDM</w:t>
            </w:r>
          </w:p>
        </w:tc>
        <w:tc>
          <w:tcPr>
            <w:tcW w:w="993" w:type="dxa"/>
          </w:tcPr>
          <w:p w:rsidR="009337CF" w:rsidRPr="00C04A08" w:rsidRDefault="009337CF" w:rsidP="0084748C">
            <w:pPr>
              <w:pStyle w:val="TAC"/>
              <w:rPr>
                <w:rFonts w:eastAsia="CG Times (WN)"/>
              </w:rPr>
            </w:pPr>
            <w:r w:rsidRPr="00C04A08">
              <w:rPr>
                <w:rFonts w:eastAsia="CG Times (WN)"/>
              </w:rPr>
              <w:t>1</w:t>
            </w:r>
          </w:p>
        </w:tc>
        <w:tc>
          <w:tcPr>
            <w:tcW w:w="1134" w:type="dxa"/>
          </w:tcPr>
          <w:p w:rsidR="009337CF" w:rsidRPr="00C04A08" w:rsidDel="002F2DAE" w:rsidRDefault="009337CF" w:rsidP="0084748C">
            <w:pPr>
              <w:pStyle w:val="TAC"/>
              <w:rPr>
                <w:rFonts w:eastAsia="CG Times (WN)"/>
              </w:rPr>
            </w:pPr>
            <w:r w:rsidRPr="00C04A08">
              <w:rPr>
                <w:rFonts w:eastAsia="CG Times (WN)"/>
              </w:rPr>
              <w:t>0,1</w:t>
            </w:r>
          </w:p>
        </w:tc>
      </w:tr>
      <w:tr w:rsidR="009337CF" w:rsidRPr="00C04A08" w:rsidTr="0084748C">
        <w:trPr>
          <w:trHeight w:val="187"/>
          <w:jc w:val="center"/>
        </w:trPr>
        <w:tc>
          <w:tcPr>
            <w:tcW w:w="9498" w:type="dxa"/>
            <w:gridSpan w:val="6"/>
            <w:vAlign w:val="center"/>
          </w:tcPr>
          <w:p w:rsidR="009337CF" w:rsidRPr="00C04A08" w:rsidRDefault="009337CF" w:rsidP="0084748C">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rsidR="009337CF" w:rsidRPr="00C04A08" w:rsidRDefault="009337CF" w:rsidP="0084748C">
            <w:pPr>
              <w:pStyle w:val="TAN"/>
              <w:rPr>
                <w:color w:val="000000"/>
              </w:rPr>
            </w:pPr>
            <w:r w:rsidRPr="00C04A08">
              <w:rPr>
                <w:color w:val="000000"/>
              </w:rPr>
              <w:t>NOTE 2:   TPMI index selected shall be based upon the full power TPMI reported by the UE [10, TS 38.213].</w:t>
            </w:r>
          </w:p>
        </w:tc>
      </w:tr>
    </w:tbl>
    <w:p w:rsidR="009337CF" w:rsidRDefault="009337CF" w:rsidP="00125DF4">
      <w:pPr>
        <w:pStyle w:val="a0"/>
        <w:jc w:val="both"/>
        <w:rPr>
          <w:lang w:eastAsia="ko-KR"/>
        </w:rPr>
      </w:pPr>
    </w:p>
    <w:p w:rsidR="009337CF" w:rsidRDefault="009337CF" w:rsidP="009337CF">
      <w:pPr>
        <w:pStyle w:val="a0"/>
        <w:jc w:val="both"/>
        <w:rPr>
          <w:lang w:val="en-US" w:eastAsia="ko-KR"/>
        </w:rPr>
      </w:pPr>
      <w:r>
        <w:rPr>
          <w:lang w:val="en-US" w:eastAsia="ko-KR"/>
        </w:rPr>
        <w:t xml:space="preserve">For Mode-1 UE, all requirements for 1-layer for UL MIMO tests are assumed to be met if the requirement for 2-layer UL MIMO has been validated. So, there is no test procedure issue using single link polarization. However, for Mode-2 and Mode-full power UEs, the UEs transmit single only single Tx polarization based on TPMI index. If test procedure with </w:t>
      </w:r>
      <w:r>
        <w:rPr>
          <w:lang w:val="en-US" w:eastAsia="ko-KR"/>
        </w:rPr>
        <w:lastRenderedPageBreak/>
        <w:t>single link polarization is considered for these UEs, EIRP measurement could be unstable due to incorrect Tx beam formed.</w:t>
      </w:r>
      <w:r w:rsidR="00136301">
        <w:rPr>
          <w:lang w:val="en-US" w:eastAsia="ko-KR"/>
        </w:rPr>
        <w:t xml:space="preserve"> Therefore, the UEs supporting Mode-2 and Mode-full power should be excluded from single link polarization measurement. </w:t>
      </w:r>
    </w:p>
    <w:p w:rsidR="009337CF" w:rsidRPr="009337CF" w:rsidRDefault="00136301" w:rsidP="00136301">
      <w:pPr>
        <w:pStyle w:val="a0"/>
        <w:numPr>
          <w:ilvl w:val="0"/>
          <w:numId w:val="25"/>
        </w:numPr>
        <w:jc w:val="both"/>
        <w:rPr>
          <w:lang w:val="en-US" w:eastAsia="ko-KR"/>
        </w:rPr>
      </w:pPr>
      <w:r w:rsidRPr="00591451">
        <w:rPr>
          <w:b/>
          <w:i/>
          <w:lang w:val="en-US" w:eastAsia="ko-KR"/>
        </w:rPr>
        <w:t xml:space="preserve">Proposal </w:t>
      </w:r>
      <w:r w:rsidR="00BA5424">
        <w:rPr>
          <w:b/>
          <w:i/>
          <w:lang w:val="en-US" w:eastAsia="ko-KR"/>
        </w:rPr>
        <w:t>3</w:t>
      </w:r>
      <w:r>
        <w:rPr>
          <w:lang w:val="en-US" w:eastAsia="ko-KR"/>
        </w:rPr>
        <w:t xml:space="preserve">: The UEs supporting Mode-2 and Mode-full power </w:t>
      </w:r>
      <w:r w:rsidR="00194FDA">
        <w:rPr>
          <w:lang w:val="en-US" w:eastAsia="ko-KR"/>
        </w:rPr>
        <w:t>for UL MIMO</w:t>
      </w:r>
      <w:r>
        <w:t xml:space="preserve"> should be </w:t>
      </w:r>
      <w:r w:rsidR="00DA08C6">
        <w:t>tested by existing test method using two link polarization.</w:t>
      </w:r>
    </w:p>
    <w:p w:rsidR="000B3D8D" w:rsidRDefault="000B3D8D" w:rsidP="00125DF4">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3F345F" w:rsidRPr="00CF2A12" w:rsidRDefault="00552F63" w:rsidP="00591451">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 on</w:t>
      </w:r>
      <w:r w:rsidR="00591451">
        <w:rPr>
          <w:lang w:val="en-US" w:eastAsia="ko-KR"/>
        </w:rPr>
        <w:t xml:space="preserve"> solutions for test time reduction</w:t>
      </w:r>
      <w:r w:rsidR="00CF2A12">
        <w:rPr>
          <w:lang w:val="en-US" w:eastAsia="ko-KR"/>
        </w:rPr>
        <w:t>.</w:t>
      </w:r>
      <w:r w:rsidR="003F345F">
        <w:rPr>
          <w:lang w:val="en-US" w:eastAsia="ko-KR"/>
        </w:rPr>
        <w:t xml:space="preserve"> We propose</w:t>
      </w:r>
    </w:p>
    <w:p w:rsidR="00E708B6" w:rsidRDefault="00591451" w:rsidP="00E708B6">
      <w:pPr>
        <w:pStyle w:val="a0"/>
        <w:numPr>
          <w:ilvl w:val="0"/>
          <w:numId w:val="16"/>
        </w:numPr>
        <w:jc w:val="both"/>
        <w:rPr>
          <w:lang w:val="en-US" w:eastAsia="ko-KR"/>
        </w:rPr>
      </w:pPr>
      <w:r w:rsidRPr="00AB5B41">
        <w:rPr>
          <w:b/>
          <w:i/>
          <w:lang w:val="en-US" w:eastAsia="ko-KR"/>
        </w:rPr>
        <w:t xml:space="preserve">Proposal </w:t>
      </w:r>
      <w:r w:rsidR="00BA5424">
        <w:rPr>
          <w:b/>
          <w:i/>
          <w:lang w:val="en-US" w:eastAsia="ko-KR"/>
        </w:rPr>
        <w:t>1</w:t>
      </w:r>
      <w:r w:rsidRPr="00AB5B41">
        <w:rPr>
          <w:b/>
          <w:i/>
          <w:lang w:val="en-US" w:eastAsia="ko-KR"/>
        </w:rPr>
        <w:t>:</w:t>
      </w:r>
      <w:r>
        <w:rPr>
          <w:lang w:val="en-US" w:eastAsia="ko-KR"/>
        </w:rPr>
        <w:t xml:space="preserve"> Reuse test procedure of Rx beam peak search based on RSRPB for demodulation and CSI testing</w:t>
      </w:r>
    </w:p>
    <w:p w:rsidR="00194FDA" w:rsidRPr="00194FDA" w:rsidRDefault="00194FDA" w:rsidP="00263DF8">
      <w:pPr>
        <w:pStyle w:val="a0"/>
        <w:numPr>
          <w:ilvl w:val="0"/>
          <w:numId w:val="16"/>
        </w:numPr>
        <w:jc w:val="both"/>
        <w:rPr>
          <w:lang w:val="en-US" w:eastAsia="ko-KR"/>
        </w:rPr>
      </w:pPr>
      <w:r w:rsidRPr="00194FDA">
        <w:rPr>
          <w:b/>
          <w:i/>
          <w:lang w:val="en-US" w:eastAsia="ko-KR"/>
        </w:rPr>
        <w:t xml:space="preserve">Proposal </w:t>
      </w:r>
      <w:r w:rsidR="00BA5424">
        <w:rPr>
          <w:b/>
          <w:i/>
          <w:lang w:val="en-US" w:eastAsia="ko-KR"/>
        </w:rPr>
        <w:t>2</w:t>
      </w:r>
      <w:r w:rsidRPr="00194FDA">
        <w:rPr>
          <w:lang w:val="en-US" w:eastAsia="ko-KR"/>
        </w:rPr>
        <w:t>: It should be considered to determine which single link polarization to be used for the test based on UE declaration.</w:t>
      </w:r>
    </w:p>
    <w:p w:rsidR="00EE4FE7" w:rsidRPr="00E708B6" w:rsidRDefault="00591451" w:rsidP="00366A12">
      <w:pPr>
        <w:pStyle w:val="a0"/>
        <w:numPr>
          <w:ilvl w:val="0"/>
          <w:numId w:val="16"/>
        </w:numPr>
        <w:jc w:val="both"/>
        <w:rPr>
          <w:lang w:val="en-US" w:eastAsia="ko-KR"/>
        </w:rPr>
      </w:pPr>
      <w:r w:rsidRPr="00591451">
        <w:rPr>
          <w:b/>
          <w:i/>
          <w:lang w:val="en-US" w:eastAsia="ko-KR"/>
        </w:rPr>
        <w:t xml:space="preserve">Proposal </w:t>
      </w:r>
      <w:r w:rsidR="00BA5424">
        <w:rPr>
          <w:b/>
          <w:i/>
          <w:lang w:val="en-US" w:eastAsia="ko-KR"/>
        </w:rPr>
        <w:t>3</w:t>
      </w:r>
      <w:r>
        <w:rPr>
          <w:lang w:val="en-US" w:eastAsia="ko-KR"/>
        </w:rPr>
        <w:t xml:space="preserve">: </w:t>
      </w:r>
      <w:r w:rsidR="00DA08C6">
        <w:rPr>
          <w:lang w:val="en-US" w:eastAsia="ko-KR"/>
        </w:rPr>
        <w:t xml:space="preserve">The UEs supporting Mode-2 and Mode-full power for </w:t>
      </w:r>
      <w:r w:rsidR="00DA08C6">
        <w:t>ULFPTx should be tested by existing test method using two link polarization.</w:t>
      </w:r>
    </w:p>
    <w:p w:rsidR="00210206" w:rsidRPr="004C25E1" w:rsidRDefault="00210206"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125DF4">
        <w:rPr>
          <w:lang w:val="en-US" w:eastAsia="ko-KR"/>
        </w:rPr>
        <w:t>4</w:t>
      </w:r>
      <w:r w:rsidR="005700D6">
        <w:rPr>
          <w:lang w:val="en-US" w:eastAsia="ko-KR"/>
        </w:rPr>
        <w:t>-</w:t>
      </w:r>
      <w:r w:rsidR="00125DF4">
        <w:rPr>
          <w:lang w:val="en-US" w:eastAsia="ko-KR"/>
        </w:rPr>
        <w:t>2</w:t>
      </w:r>
      <w:r w:rsidR="00C9691F">
        <w:rPr>
          <w:lang w:val="en-US" w:eastAsia="ko-KR"/>
        </w:rPr>
        <w:t>103920</w:t>
      </w:r>
      <w:r w:rsidR="00C06E2A">
        <w:rPr>
          <w:lang w:val="en-US" w:eastAsia="ko-KR"/>
        </w:rPr>
        <w:t>, “</w:t>
      </w:r>
      <w:r w:rsidR="005B59F8" w:rsidRPr="005B59F8">
        <w:rPr>
          <w:lang w:val="en-US" w:eastAsia="ko-KR"/>
        </w:rPr>
        <w:t xml:space="preserve">WF on </w:t>
      </w:r>
      <w:r w:rsidR="00C9691F">
        <w:rPr>
          <w:lang w:val="en-US" w:eastAsia="ko-KR"/>
        </w:rPr>
        <w:t>ETC and test time reduction</w:t>
      </w:r>
      <w:r w:rsidR="00C06E2A">
        <w:rPr>
          <w:lang w:val="en-US" w:eastAsia="ko-KR"/>
        </w:rPr>
        <w:t xml:space="preserve">,” </w:t>
      </w:r>
      <w:r w:rsidR="005B59F8">
        <w:rPr>
          <w:lang w:val="en-US" w:eastAsia="ko-KR"/>
        </w:rPr>
        <w:t>vivo</w:t>
      </w:r>
      <w:r w:rsidR="00974335">
        <w:rPr>
          <w:lang w:val="en-US" w:eastAsia="ko-KR"/>
        </w:rPr>
        <w:t>.</w:t>
      </w:r>
    </w:p>
    <w:p w:rsidR="008F76BE" w:rsidRDefault="008F76BE" w:rsidP="0008671B">
      <w:pPr>
        <w:pStyle w:val="a0"/>
        <w:rPr>
          <w:lang w:val="en-US" w:eastAsia="ko-KR"/>
        </w:rPr>
      </w:pPr>
      <w:r>
        <w:rPr>
          <w:lang w:val="en-US" w:eastAsia="ko-KR"/>
        </w:rPr>
        <w:t>[2] TS38.521-4, “User Equipment (UE) conformance specification; Radio transmission and reception; Part 4: Performance”</w:t>
      </w:r>
    </w:p>
    <w:p w:rsidR="000707AD" w:rsidRDefault="000707AD" w:rsidP="0008671B">
      <w:pPr>
        <w:pStyle w:val="a0"/>
        <w:rPr>
          <w:lang w:val="en-US" w:eastAsia="ko-KR"/>
        </w:rPr>
      </w:pPr>
      <w:r>
        <w:rPr>
          <w:lang w:val="en-US" w:eastAsia="ko-KR"/>
        </w:rPr>
        <w:t xml:space="preserve">[3] </w:t>
      </w:r>
      <w:r w:rsidR="00591451">
        <w:rPr>
          <w:lang w:val="en-US" w:eastAsia="ko-KR"/>
        </w:rPr>
        <w:t>TR38.810, “</w:t>
      </w:r>
      <w:r w:rsidR="0065674F">
        <w:rPr>
          <w:lang w:val="en-US" w:eastAsia="ko-KR"/>
        </w:rPr>
        <w:t>NR; Study on test methods”</w:t>
      </w:r>
    </w:p>
    <w:sectPr w:rsidR="000707A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F74" w:rsidRDefault="00D62F74" w:rsidP="00D306DF">
      <w:r>
        <w:separator/>
      </w:r>
    </w:p>
  </w:endnote>
  <w:endnote w:type="continuationSeparator" w:id="0">
    <w:p w:rsidR="00D62F74" w:rsidRDefault="00D62F7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F74" w:rsidRDefault="00D62F74" w:rsidP="00D306DF">
      <w:r>
        <w:separator/>
      </w:r>
    </w:p>
  </w:footnote>
  <w:footnote w:type="continuationSeparator" w:id="0">
    <w:p w:rsidR="00D62F74" w:rsidRDefault="00D62F7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6B13E7"/>
    <w:multiLevelType w:val="hybridMultilevel"/>
    <w:tmpl w:val="85D23F3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A3521CDE"/>
    <w:lvl w:ilvl="0" w:tplc="ECF4E0B4">
      <w:start w:val="2019"/>
      <w:numFmt w:val="bullet"/>
      <w:lvlText w:val="-"/>
      <w:lvlJc w:val="left"/>
      <w:pPr>
        <w:tabs>
          <w:tab w:val="num" w:pos="720"/>
        </w:tabs>
        <w:ind w:left="720" w:hanging="360"/>
      </w:pPr>
      <w:rPr>
        <w:rFonts w:ascii="Arial" w:eastAsia="맑은 고딕" w:hAnsi="Arial" w:cs="Aria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B80176"/>
    <w:multiLevelType w:val="hybridMultilevel"/>
    <w:tmpl w:val="08B2ED76"/>
    <w:lvl w:ilvl="0" w:tplc="354ADF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785957"/>
    <w:multiLevelType w:val="hybridMultilevel"/>
    <w:tmpl w:val="3EAE1D26"/>
    <w:lvl w:ilvl="0" w:tplc="88B05CE6">
      <w:start w:val="1"/>
      <w:numFmt w:val="bullet"/>
      <w:lvlText w:val="–"/>
      <w:lvlJc w:val="left"/>
      <w:pPr>
        <w:tabs>
          <w:tab w:val="num" w:pos="720"/>
        </w:tabs>
        <w:ind w:left="720" w:hanging="360"/>
      </w:pPr>
      <w:rPr>
        <w:rFonts w:ascii="Arial" w:hAnsi="Arial" w:hint="default"/>
      </w:rPr>
    </w:lvl>
    <w:lvl w:ilvl="1" w:tplc="3A320724">
      <w:start w:val="1"/>
      <w:numFmt w:val="bullet"/>
      <w:lvlText w:val="–"/>
      <w:lvlJc w:val="left"/>
      <w:pPr>
        <w:tabs>
          <w:tab w:val="num" w:pos="1440"/>
        </w:tabs>
        <w:ind w:left="1440" w:hanging="360"/>
      </w:pPr>
      <w:rPr>
        <w:rFonts w:ascii="Arial" w:hAnsi="Arial" w:hint="default"/>
      </w:rPr>
    </w:lvl>
    <w:lvl w:ilvl="2" w:tplc="7380751E" w:tentative="1">
      <w:start w:val="1"/>
      <w:numFmt w:val="bullet"/>
      <w:lvlText w:val="–"/>
      <w:lvlJc w:val="left"/>
      <w:pPr>
        <w:tabs>
          <w:tab w:val="num" w:pos="2160"/>
        </w:tabs>
        <w:ind w:left="2160" w:hanging="360"/>
      </w:pPr>
      <w:rPr>
        <w:rFonts w:ascii="Arial" w:hAnsi="Arial" w:hint="default"/>
      </w:rPr>
    </w:lvl>
    <w:lvl w:ilvl="3" w:tplc="8EDC36F0" w:tentative="1">
      <w:start w:val="1"/>
      <w:numFmt w:val="bullet"/>
      <w:lvlText w:val="–"/>
      <w:lvlJc w:val="left"/>
      <w:pPr>
        <w:tabs>
          <w:tab w:val="num" w:pos="2880"/>
        </w:tabs>
        <w:ind w:left="2880" w:hanging="360"/>
      </w:pPr>
      <w:rPr>
        <w:rFonts w:ascii="Arial" w:hAnsi="Arial" w:hint="default"/>
      </w:rPr>
    </w:lvl>
    <w:lvl w:ilvl="4" w:tplc="FF9C8814" w:tentative="1">
      <w:start w:val="1"/>
      <w:numFmt w:val="bullet"/>
      <w:lvlText w:val="–"/>
      <w:lvlJc w:val="left"/>
      <w:pPr>
        <w:tabs>
          <w:tab w:val="num" w:pos="3600"/>
        </w:tabs>
        <w:ind w:left="3600" w:hanging="360"/>
      </w:pPr>
      <w:rPr>
        <w:rFonts w:ascii="Arial" w:hAnsi="Arial" w:hint="default"/>
      </w:rPr>
    </w:lvl>
    <w:lvl w:ilvl="5" w:tplc="D5CCAB0E" w:tentative="1">
      <w:start w:val="1"/>
      <w:numFmt w:val="bullet"/>
      <w:lvlText w:val="–"/>
      <w:lvlJc w:val="left"/>
      <w:pPr>
        <w:tabs>
          <w:tab w:val="num" w:pos="4320"/>
        </w:tabs>
        <w:ind w:left="4320" w:hanging="360"/>
      </w:pPr>
      <w:rPr>
        <w:rFonts w:ascii="Arial" w:hAnsi="Arial" w:hint="default"/>
      </w:rPr>
    </w:lvl>
    <w:lvl w:ilvl="6" w:tplc="D40A2586" w:tentative="1">
      <w:start w:val="1"/>
      <w:numFmt w:val="bullet"/>
      <w:lvlText w:val="–"/>
      <w:lvlJc w:val="left"/>
      <w:pPr>
        <w:tabs>
          <w:tab w:val="num" w:pos="5040"/>
        </w:tabs>
        <w:ind w:left="5040" w:hanging="360"/>
      </w:pPr>
      <w:rPr>
        <w:rFonts w:ascii="Arial" w:hAnsi="Arial" w:hint="default"/>
      </w:rPr>
    </w:lvl>
    <w:lvl w:ilvl="7" w:tplc="D97AA116" w:tentative="1">
      <w:start w:val="1"/>
      <w:numFmt w:val="bullet"/>
      <w:lvlText w:val="–"/>
      <w:lvlJc w:val="left"/>
      <w:pPr>
        <w:tabs>
          <w:tab w:val="num" w:pos="5760"/>
        </w:tabs>
        <w:ind w:left="5760" w:hanging="360"/>
      </w:pPr>
      <w:rPr>
        <w:rFonts w:ascii="Arial" w:hAnsi="Arial" w:hint="default"/>
      </w:rPr>
    </w:lvl>
    <w:lvl w:ilvl="8" w:tplc="540E1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883689"/>
    <w:multiLevelType w:val="hybridMultilevel"/>
    <w:tmpl w:val="9468DF92"/>
    <w:lvl w:ilvl="0" w:tplc="271E15D0">
      <w:start w:val="1"/>
      <w:numFmt w:val="bullet"/>
      <w:lvlText w:val="–"/>
      <w:lvlJc w:val="left"/>
      <w:pPr>
        <w:tabs>
          <w:tab w:val="num" w:pos="720"/>
        </w:tabs>
        <w:ind w:left="720" w:hanging="360"/>
      </w:pPr>
      <w:rPr>
        <w:rFonts w:ascii="Arial" w:hAnsi="Arial" w:hint="default"/>
      </w:rPr>
    </w:lvl>
    <w:lvl w:ilvl="1" w:tplc="A90E2C2E">
      <w:numFmt w:val="bullet"/>
      <w:lvlText w:val="•"/>
      <w:lvlJc w:val="left"/>
      <w:pPr>
        <w:tabs>
          <w:tab w:val="num" w:pos="1440"/>
        </w:tabs>
        <w:ind w:left="1440" w:hanging="360"/>
      </w:pPr>
      <w:rPr>
        <w:rFonts w:ascii="Arial" w:hAnsi="Arial" w:hint="default"/>
      </w:rPr>
    </w:lvl>
    <w:lvl w:ilvl="2" w:tplc="FCB69E6E">
      <w:numFmt w:val="bullet"/>
      <w:lvlText w:val="•"/>
      <w:lvlJc w:val="left"/>
      <w:pPr>
        <w:tabs>
          <w:tab w:val="num" w:pos="2160"/>
        </w:tabs>
        <w:ind w:left="2160" w:hanging="360"/>
      </w:pPr>
      <w:rPr>
        <w:rFonts w:ascii="Arial" w:hAnsi="Arial" w:hint="default"/>
      </w:rPr>
    </w:lvl>
    <w:lvl w:ilvl="3" w:tplc="6A04B5DC" w:tentative="1">
      <w:start w:val="1"/>
      <w:numFmt w:val="bullet"/>
      <w:lvlText w:val="–"/>
      <w:lvlJc w:val="left"/>
      <w:pPr>
        <w:tabs>
          <w:tab w:val="num" w:pos="2880"/>
        </w:tabs>
        <w:ind w:left="2880" w:hanging="360"/>
      </w:pPr>
      <w:rPr>
        <w:rFonts w:ascii="Arial" w:hAnsi="Arial" w:hint="default"/>
      </w:rPr>
    </w:lvl>
    <w:lvl w:ilvl="4" w:tplc="5B9E182C" w:tentative="1">
      <w:start w:val="1"/>
      <w:numFmt w:val="bullet"/>
      <w:lvlText w:val="–"/>
      <w:lvlJc w:val="left"/>
      <w:pPr>
        <w:tabs>
          <w:tab w:val="num" w:pos="3600"/>
        </w:tabs>
        <w:ind w:left="3600" w:hanging="360"/>
      </w:pPr>
      <w:rPr>
        <w:rFonts w:ascii="Arial" w:hAnsi="Arial" w:hint="default"/>
      </w:rPr>
    </w:lvl>
    <w:lvl w:ilvl="5" w:tplc="CD76C80C" w:tentative="1">
      <w:start w:val="1"/>
      <w:numFmt w:val="bullet"/>
      <w:lvlText w:val="–"/>
      <w:lvlJc w:val="left"/>
      <w:pPr>
        <w:tabs>
          <w:tab w:val="num" w:pos="4320"/>
        </w:tabs>
        <w:ind w:left="4320" w:hanging="360"/>
      </w:pPr>
      <w:rPr>
        <w:rFonts w:ascii="Arial" w:hAnsi="Arial" w:hint="default"/>
      </w:rPr>
    </w:lvl>
    <w:lvl w:ilvl="6" w:tplc="E68C378A" w:tentative="1">
      <w:start w:val="1"/>
      <w:numFmt w:val="bullet"/>
      <w:lvlText w:val="–"/>
      <w:lvlJc w:val="left"/>
      <w:pPr>
        <w:tabs>
          <w:tab w:val="num" w:pos="5040"/>
        </w:tabs>
        <w:ind w:left="5040" w:hanging="360"/>
      </w:pPr>
      <w:rPr>
        <w:rFonts w:ascii="Arial" w:hAnsi="Arial" w:hint="default"/>
      </w:rPr>
    </w:lvl>
    <w:lvl w:ilvl="7" w:tplc="F3F82E3C" w:tentative="1">
      <w:start w:val="1"/>
      <w:numFmt w:val="bullet"/>
      <w:lvlText w:val="–"/>
      <w:lvlJc w:val="left"/>
      <w:pPr>
        <w:tabs>
          <w:tab w:val="num" w:pos="5760"/>
        </w:tabs>
        <w:ind w:left="5760" w:hanging="360"/>
      </w:pPr>
      <w:rPr>
        <w:rFonts w:ascii="Arial" w:hAnsi="Arial" w:hint="default"/>
      </w:rPr>
    </w:lvl>
    <w:lvl w:ilvl="8" w:tplc="FFA4D9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D22522"/>
    <w:multiLevelType w:val="hybridMultilevel"/>
    <w:tmpl w:val="655E4FF2"/>
    <w:lvl w:ilvl="0" w:tplc="88B05CE6">
      <w:start w:val="1"/>
      <w:numFmt w:val="bullet"/>
      <w:lvlText w:val="–"/>
      <w:lvlJc w:val="left"/>
      <w:pPr>
        <w:tabs>
          <w:tab w:val="num" w:pos="720"/>
        </w:tabs>
        <w:ind w:left="720" w:hanging="360"/>
      </w:pPr>
      <w:rPr>
        <w:rFonts w:ascii="Arial" w:hAnsi="Arial" w:hint="default"/>
      </w:rPr>
    </w:lvl>
    <w:lvl w:ilvl="1" w:tplc="77A46DE2">
      <w:start w:val="1"/>
      <w:numFmt w:val="bullet"/>
      <w:lvlText w:val="▪"/>
      <w:lvlJc w:val="left"/>
      <w:pPr>
        <w:tabs>
          <w:tab w:val="num" w:pos="1440"/>
        </w:tabs>
        <w:ind w:left="1440" w:hanging="360"/>
      </w:pPr>
      <w:rPr>
        <w:rFonts w:ascii="Times New Roman" w:eastAsia="맑은 고딕" w:hAnsi="Times New Roman" w:cs="Times New Roman" w:hint="default"/>
      </w:rPr>
    </w:lvl>
    <w:lvl w:ilvl="2" w:tplc="7380751E" w:tentative="1">
      <w:start w:val="1"/>
      <w:numFmt w:val="bullet"/>
      <w:lvlText w:val="–"/>
      <w:lvlJc w:val="left"/>
      <w:pPr>
        <w:tabs>
          <w:tab w:val="num" w:pos="2160"/>
        </w:tabs>
        <w:ind w:left="2160" w:hanging="360"/>
      </w:pPr>
      <w:rPr>
        <w:rFonts w:ascii="Arial" w:hAnsi="Arial" w:hint="default"/>
      </w:rPr>
    </w:lvl>
    <w:lvl w:ilvl="3" w:tplc="8EDC36F0" w:tentative="1">
      <w:start w:val="1"/>
      <w:numFmt w:val="bullet"/>
      <w:lvlText w:val="–"/>
      <w:lvlJc w:val="left"/>
      <w:pPr>
        <w:tabs>
          <w:tab w:val="num" w:pos="2880"/>
        </w:tabs>
        <w:ind w:left="2880" w:hanging="360"/>
      </w:pPr>
      <w:rPr>
        <w:rFonts w:ascii="Arial" w:hAnsi="Arial" w:hint="default"/>
      </w:rPr>
    </w:lvl>
    <w:lvl w:ilvl="4" w:tplc="FF9C8814" w:tentative="1">
      <w:start w:val="1"/>
      <w:numFmt w:val="bullet"/>
      <w:lvlText w:val="–"/>
      <w:lvlJc w:val="left"/>
      <w:pPr>
        <w:tabs>
          <w:tab w:val="num" w:pos="3600"/>
        </w:tabs>
        <w:ind w:left="3600" w:hanging="360"/>
      </w:pPr>
      <w:rPr>
        <w:rFonts w:ascii="Arial" w:hAnsi="Arial" w:hint="default"/>
      </w:rPr>
    </w:lvl>
    <w:lvl w:ilvl="5" w:tplc="D5CCAB0E" w:tentative="1">
      <w:start w:val="1"/>
      <w:numFmt w:val="bullet"/>
      <w:lvlText w:val="–"/>
      <w:lvlJc w:val="left"/>
      <w:pPr>
        <w:tabs>
          <w:tab w:val="num" w:pos="4320"/>
        </w:tabs>
        <w:ind w:left="4320" w:hanging="360"/>
      </w:pPr>
      <w:rPr>
        <w:rFonts w:ascii="Arial" w:hAnsi="Arial" w:hint="default"/>
      </w:rPr>
    </w:lvl>
    <w:lvl w:ilvl="6" w:tplc="D40A2586" w:tentative="1">
      <w:start w:val="1"/>
      <w:numFmt w:val="bullet"/>
      <w:lvlText w:val="–"/>
      <w:lvlJc w:val="left"/>
      <w:pPr>
        <w:tabs>
          <w:tab w:val="num" w:pos="5040"/>
        </w:tabs>
        <w:ind w:left="5040" w:hanging="360"/>
      </w:pPr>
      <w:rPr>
        <w:rFonts w:ascii="Arial" w:hAnsi="Arial" w:hint="default"/>
      </w:rPr>
    </w:lvl>
    <w:lvl w:ilvl="7" w:tplc="D97AA116" w:tentative="1">
      <w:start w:val="1"/>
      <w:numFmt w:val="bullet"/>
      <w:lvlText w:val="–"/>
      <w:lvlJc w:val="left"/>
      <w:pPr>
        <w:tabs>
          <w:tab w:val="num" w:pos="5760"/>
        </w:tabs>
        <w:ind w:left="5760" w:hanging="360"/>
      </w:pPr>
      <w:rPr>
        <w:rFonts w:ascii="Arial" w:hAnsi="Arial" w:hint="default"/>
      </w:rPr>
    </w:lvl>
    <w:lvl w:ilvl="8" w:tplc="540E1C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C37DDA"/>
    <w:multiLevelType w:val="hybridMultilevel"/>
    <w:tmpl w:val="B48CD064"/>
    <w:lvl w:ilvl="0" w:tplc="271E15D0">
      <w:start w:val="1"/>
      <w:numFmt w:val="bullet"/>
      <w:lvlText w:val="–"/>
      <w:lvlJc w:val="left"/>
      <w:pPr>
        <w:tabs>
          <w:tab w:val="num" w:pos="720"/>
        </w:tabs>
        <w:ind w:left="720" w:hanging="360"/>
      </w:pPr>
      <w:rPr>
        <w:rFonts w:ascii="Arial" w:hAnsi="Arial" w:hint="default"/>
      </w:rPr>
    </w:lvl>
    <w:lvl w:ilvl="1" w:tplc="2152CAF0">
      <w:start w:val="1"/>
      <w:numFmt w:val="bullet"/>
      <w:lvlText w:val="–"/>
      <w:lvlJc w:val="left"/>
      <w:pPr>
        <w:tabs>
          <w:tab w:val="num" w:pos="1440"/>
        </w:tabs>
        <w:ind w:left="1440" w:hanging="360"/>
      </w:pPr>
      <w:rPr>
        <w:rFonts w:ascii="Arial" w:hAnsi="Arial" w:hint="default"/>
      </w:rPr>
    </w:lvl>
    <w:lvl w:ilvl="2" w:tplc="FCB69E6E">
      <w:numFmt w:val="bullet"/>
      <w:lvlText w:val="•"/>
      <w:lvlJc w:val="left"/>
      <w:pPr>
        <w:tabs>
          <w:tab w:val="num" w:pos="2160"/>
        </w:tabs>
        <w:ind w:left="2160" w:hanging="360"/>
      </w:pPr>
      <w:rPr>
        <w:rFonts w:ascii="Arial" w:hAnsi="Arial" w:hint="default"/>
      </w:rPr>
    </w:lvl>
    <w:lvl w:ilvl="3" w:tplc="6A04B5DC" w:tentative="1">
      <w:start w:val="1"/>
      <w:numFmt w:val="bullet"/>
      <w:lvlText w:val="–"/>
      <w:lvlJc w:val="left"/>
      <w:pPr>
        <w:tabs>
          <w:tab w:val="num" w:pos="2880"/>
        </w:tabs>
        <w:ind w:left="2880" w:hanging="360"/>
      </w:pPr>
      <w:rPr>
        <w:rFonts w:ascii="Arial" w:hAnsi="Arial" w:hint="default"/>
      </w:rPr>
    </w:lvl>
    <w:lvl w:ilvl="4" w:tplc="5B9E182C" w:tentative="1">
      <w:start w:val="1"/>
      <w:numFmt w:val="bullet"/>
      <w:lvlText w:val="–"/>
      <w:lvlJc w:val="left"/>
      <w:pPr>
        <w:tabs>
          <w:tab w:val="num" w:pos="3600"/>
        </w:tabs>
        <w:ind w:left="3600" w:hanging="360"/>
      </w:pPr>
      <w:rPr>
        <w:rFonts w:ascii="Arial" w:hAnsi="Arial" w:hint="default"/>
      </w:rPr>
    </w:lvl>
    <w:lvl w:ilvl="5" w:tplc="CD76C80C" w:tentative="1">
      <w:start w:val="1"/>
      <w:numFmt w:val="bullet"/>
      <w:lvlText w:val="–"/>
      <w:lvlJc w:val="left"/>
      <w:pPr>
        <w:tabs>
          <w:tab w:val="num" w:pos="4320"/>
        </w:tabs>
        <w:ind w:left="4320" w:hanging="360"/>
      </w:pPr>
      <w:rPr>
        <w:rFonts w:ascii="Arial" w:hAnsi="Arial" w:hint="default"/>
      </w:rPr>
    </w:lvl>
    <w:lvl w:ilvl="6" w:tplc="E68C378A" w:tentative="1">
      <w:start w:val="1"/>
      <w:numFmt w:val="bullet"/>
      <w:lvlText w:val="–"/>
      <w:lvlJc w:val="left"/>
      <w:pPr>
        <w:tabs>
          <w:tab w:val="num" w:pos="5040"/>
        </w:tabs>
        <w:ind w:left="5040" w:hanging="360"/>
      </w:pPr>
      <w:rPr>
        <w:rFonts w:ascii="Arial" w:hAnsi="Arial" w:hint="default"/>
      </w:rPr>
    </w:lvl>
    <w:lvl w:ilvl="7" w:tplc="F3F82E3C" w:tentative="1">
      <w:start w:val="1"/>
      <w:numFmt w:val="bullet"/>
      <w:lvlText w:val="–"/>
      <w:lvlJc w:val="left"/>
      <w:pPr>
        <w:tabs>
          <w:tab w:val="num" w:pos="5760"/>
        </w:tabs>
        <w:ind w:left="5760" w:hanging="360"/>
      </w:pPr>
      <w:rPr>
        <w:rFonts w:ascii="Arial" w:hAnsi="Arial" w:hint="default"/>
      </w:rPr>
    </w:lvl>
    <w:lvl w:ilvl="8" w:tplc="FFA4D9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FB5125"/>
    <w:multiLevelType w:val="hybridMultilevel"/>
    <w:tmpl w:val="7EEA4696"/>
    <w:lvl w:ilvl="0" w:tplc="6ABC3AE4">
      <w:start w:val="1"/>
      <w:numFmt w:val="bullet"/>
      <w:lvlText w:val="•"/>
      <w:lvlJc w:val="left"/>
      <w:pPr>
        <w:tabs>
          <w:tab w:val="num" w:pos="720"/>
        </w:tabs>
        <w:ind w:left="720" w:hanging="360"/>
      </w:pPr>
      <w:rPr>
        <w:rFonts w:ascii="Arial" w:hAnsi="Arial" w:hint="default"/>
      </w:rPr>
    </w:lvl>
    <w:lvl w:ilvl="1" w:tplc="A23EB518">
      <w:start w:val="1"/>
      <w:numFmt w:val="bullet"/>
      <w:lvlText w:val="•"/>
      <w:lvlJc w:val="left"/>
      <w:pPr>
        <w:tabs>
          <w:tab w:val="num" w:pos="1440"/>
        </w:tabs>
        <w:ind w:left="1440" w:hanging="360"/>
      </w:pPr>
      <w:rPr>
        <w:rFonts w:ascii="Arial" w:hAnsi="Arial" w:hint="default"/>
      </w:rPr>
    </w:lvl>
    <w:lvl w:ilvl="2" w:tplc="EBE09134">
      <w:numFmt w:val="bullet"/>
      <w:lvlText w:val="•"/>
      <w:lvlJc w:val="left"/>
      <w:pPr>
        <w:tabs>
          <w:tab w:val="num" w:pos="2160"/>
        </w:tabs>
        <w:ind w:left="2160" w:hanging="360"/>
      </w:pPr>
      <w:rPr>
        <w:rFonts w:ascii="Arial" w:hAnsi="Arial" w:hint="default"/>
      </w:rPr>
    </w:lvl>
    <w:lvl w:ilvl="3" w:tplc="EC10A62A">
      <w:numFmt w:val="bullet"/>
      <w:lvlText w:val="•"/>
      <w:lvlJc w:val="left"/>
      <w:pPr>
        <w:tabs>
          <w:tab w:val="num" w:pos="2880"/>
        </w:tabs>
        <w:ind w:left="2880" w:hanging="360"/>
      </w:pPr>
      <w:rPr>
        <w:rFonts w:ascii="Arial" w:hAnsi="Arial" w:hint="default"/>
      </w:rPr>
    </w:lvl>
    <w:lvl w:ilvl="4" w:tplc="349A7276" w:tentative="1">
      <w:start w:val="1"/>
      <w:numFmt w:val="bullet"/>
      <w:lvlText w:val="•"/>
      <w:lvlJc w:val="left"/>
      <w:pPr>
        <w:tabs>
          <w:tab w:val="num" w:pos="3600"/>
        </w:tabs>
        <w:ind w:left="3600" w:hanging="360"/>
      </w:pPr>
      <w:rPr>
        <w:rFonts w:ascii="Arial" w:hAnsi="Arial" w:hint="default"/>
      </w:rPr>
    </w:lvl>
    <w:lvl w:ilvl="5" w:tplc="940C1E24" w:tentative="1">
      <w:start w:val="1"/>
      <w:numFmt w:val="bullet"/>
      <w:lvlText w:val="•"/>
      <w:lvlJc w:val="left"/>
      <w:pPr>
        <w:tabs>
          <w:tab w:val="num" w:pos="4320"/>
        </w:tabs>
        <w:ind w:left="4320" w:hanging="360"/>
      </w:pPr>
      <w:rPr>
        <w:rFonts w:ascii="Arial" w:hAnsi="Arial" w:hint="default"/>
      </w:rPr>
    </w:lvl>
    <w:lvl w:ilvl="6" w:tplc="8BE8BE82" w:tentative="1">
      <w:start w:val="1"/>
      <w:numFmt w:val="bullet"/>
      <w:lvlText w:val="•"/>
      <w:lvlJc w:val="left"/>
      <w:pPr>
        <w:tabs>
          <w:tab w:val="num" w:pos="5040"/>
        </w:tabs>
        <w:ind w:left="5040" w:hanging="360"/>
      </w:pPr>
      <w:rPr>
        <w:rFonts w:ascii="Arial" w:hAnsi="Arial" w:hint="default"/>
      </w:rPr>
    </w:lvl>
    <w:lvl w:ilvl="7" w:tplc="F21A9054" w:tentative="1">
      <w:start w:val="1"/>
      <w:numFmt w:val="bullet"/>
      <w:lvlText w:val="•"/>
      <w:lvlJc w:val="left"/>
      <w:pPr>
        <w:tabs>
          <w:tab w:val="num" w:pos="5760"/>
        </w:tabs>
        <w:ind w:left="5760" w:hanging="360"/>
      </w:pPr>
      <w:rPr>
        <w:rFonts w:ascii="Arial" w:hAnsi="Arial" w:hint="default"/>
      </w:rPr>
    </w:lvl>
    <w:lvl w:ilvl="8" w:tplc="6F5223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D34EF5"/>
    <w:multiLevelType w:val="hybridMultilevel"/>
    <w:tmpl w:val="60D08A7A"/>
    <w:lvl w:ilvl="0" w:tplc="B86215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053BFE"/>
    <w:multiLevelType w:val="hybridMultilevel"/>
    <w:tmpl w:val="651EBEA8"/>
    <w:lvl w:ilvl="0" w:tplc="A600F8FC">
      <w:start w:val="1"/>
      <w:numFmt w:val="bullet"/>
      <w:lvlText w:val="–"/>
      <w:lvlJc w:val="left"/>
      <w:pPr>
        <w:tabs>
          <w:tab w:val="num" w:pos="720"/>
        </w:tabs>
        <w:ind w:left="720" w:hanging="360"/>
      </w:pPr>
      <w:rPr>
        <w:rFonts w:ascii="Arial" w:hAnsi="Arial" w:hint="default"/>
      </w:rPr>
    </w:lvl>
    <w:lvl w:ilvl="1" w:tplc="983466A4">
      <w:start w:val="1"/>
      <w:numFmt w:val="bullet"/>
      <w:lvlText w:val="–"/>
      <w:lvlJc w:val="left"/>
      <w:pPr>
        <w:tabs>
          <w:tab w:val="num" w:pos="1440"/>
        </w:tabs>
        <w:ind w:left="1440" w:hanging="360"/>
      </w:pPr>
      <w:rPr>
        <w:rFonts w:ascii="Arial" w:hAnsi="Arial" w:hint="default"/>
      </w:rPr>
    </w:lvl>
    <w:lvl w:ilvl="2" w:tplc="FF7AB914">
      <w:numFmt w:val="bullet"/>
      <w:lvlText w:val="•"/>
      <w:lvlJc w:val="left"/>
      <w:pPr>
        <w:tabs>
          <w:tab w:val="num" w:pos="2160"/>
        </w:tabs>
        <w:ind w:left="2160" w:hanging="360"/>
      </w:pPr>
      <w:rPr>
        <w:rFonts w:ascii="Arial" w:hAnsi="Arial" w:hint="default"/>
      </w:rPr>
    </w:lvl>
    <w:lvl w:ilvl="3" w:tplc="AC0A873E" w:tentative="1">
      <w:start w:val="1"/>
      <w:numFmt w:val="bullet"/>
      <w:lvlText w:val="–"/>
      <w:lvlJc w:val="left"/>
      <w:pPr>
        <w:tabs>
          <w:tab w:val="num" w:pos="2880"/>
        </w:tabs>
        <w:ind w:left="2880" w:hanging="360"/>
      </w:pPr>
      <w:rPr>
        <w:rFonts w:ascii="Arial" w:hAnsi="Arial" w:hint="default"/>
      </w:rPr>
    </w:lvl>
    <w:lvl w:ilvl="4" w:tplc="FC98E3AC" w:tentative="1">
      <w:start w:val="1"/>
      <w:numFmt w:val="bullet"/>
      <w:lvlText w:val="–"/>
      <w:lvlJc w:val="left"/>
      <w:pPr>
        <w:tabs>
          <w:tab w:val="num" w:pos="3600"/>
        </w:tabs>
        <w:ind w:left="3600" w:hanging="360"/>
      </w:pPr>
      <w:rPr>
        <w:rFonts w:ascii="Arial" w:hAnsi="Arial" w:hint="default"/>
      </w:rPr>
    </w:lvl>
    <w:lvl w:ilvl="5" w:tplc="BB8C5834" w:tentative="1">
      <w:start w:val="1"/>
      <w:numFmt w:val="bullet"/>
      <w:lvlText w:val="–"/>
      <w:lvlJc w:val="left"/>
      <w:pPr>
        <w:tabs>
          <w:tab w:val="num" w:pos="4320"/>
        </w:tabs>
        <w:ind w:left="4320" w:hanging="360"/>
      </w:pPr>
      <w:rPr>
        <w:rFonts w:ascii="Arial" w:hAnsi="Arial" w:hint="default"/>
      </w:rPr>
    </w:lvl>
    <w:lvl w:ilvl="6" w:tplc="55700D46" w:tentative="1">
      <w:start w:val="1"/>
      <w:numFmt w:val="bullet"/>
      <w:lvlText w:val="–"/>
      <w:lvlJc w:val="left"/>
      <w:pPr>
        <w:tabs>
          <w:tab w:val="num" w:pos="5040"/>
        </w:tabs>
        <w:ind w:left="5040" w:hanging="360"/>
      </w:pPr>
      <w:rPr>
        <w:rFonts w:ascii="Arial" w:hAnsi="Arial" w:hint="default"/>
      </w:rPr>
    </w:lvl>
    <w:lvl w:ilvl="7" w:tplc="BA2A7C96" w:tentative="1">
      <w:start w:val="1"/>
      <w:numFmt w:val="bullet"/>
      <w:lvlText w:val="–"/>
      <w:lvlJc w:val="left"/>
      <w:pPr>
        <w:tabs>
          <w:tab w:val="num" w:pos="5760"/>
        </w:tabs>
        <w:ind w:left="5760" w:hanging="360"/>
      </w:pPr>
      <w:rPr>
        <w:rFonts w:ascii="Arial" w:hAnsi="Arial" w:hint="default"/>
      </w:rPr>
    </w:lvl>
    <w:lvl w:ilvl="8" w:tplc="020A9F4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3D20B2"/>
    <w:multiLevelType w:val="hybridMultilevel"/>
    <w:tmpl w:val="08723F88"/>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6"/>
  </w:num>
  <w:num w:numId="3">
    <w:abstractNumId w:val="10"/>
  </w:num>
  <w:num w:numId="4">
    <w:abstractNumId w:val="12"/>
  </w:num>
  <w:num w:numId="5">
    <w:abstractNumId w:val="7"/>
  </w:num>
  <w:num w:numId="6">
    <w:abstractNumId w:val="15"/>
  </w:num>
  <w:num w:numId="7">
    <w:abstractNumId w:val="23"/>
  </w:num>
  <w:num w:numId="8">
    <w:abstractNumId w:val="2"/>
  </w:num>
  <w:num w:numId="9">
    <w:abstractNumId w:val="6"/>
  </w:num>
  <w:num w:numId="10">
    <w:abstractNumId w:val="17"/>
  </w:num>
  <w:num w:numId="11">
    <w:abstractNumId w:val="13"/>
  </w:num>
  <w:num w:numId="12">
    <w:abstractNumId w:val="13"/>
  </w:num>
  <w:num w:numId="13">
    <w:abstractNumId w:val="8"/>
  </w:num>
  <w:num w:numId="14">
    <w:abstractNumId w:val="0"/>
  </w:num>
  <w:num w:numId="15">
    <w:abstractNumId w:val="0"/>
  </w:num>
  <w:num w:numId="16">
    <w:abstractNumId w:val="4"/>
  </w:num>
  <w:num w:numId="17">
    <w:abstractNumId w:val="3"/>
  </w:num>
  <w:num w:numId="18">
    <w:abstractNumId w:val="13"/>
  </w:num>
  <w:num w:numId="19">
    <w:abstractNumId w:val="22"/>
  </w:num>
  <w:num w:numId="20">
    <w:abstractNumId w:val="20"/>
  </w:num>
  <w:num w:numId="21">
    <w:abstractNumId w:val="25"/>
  </w:num>
  <w:num w:numId="22">
    <w:abstractNumId w:val="11"/>
  </w:num>
  <w:num w:numId="23">
    <w:abstractNumId w:val="18"/>
  </w:num>
  <w:num w:numId="24">
    <w:abstractNumId w:val="21"/>
  </w:num>
  <w:num w:numId="25">
    <w:abstractNumId w:val="5"/>
  </w:num>
  <w:num w:numId="26">
    <w:abstractNumId w:val="13"/>
  </w:num>
  <w:num w:numId="27">
    <w:abstractNumId w:val="13"/>
  </w:num>
  <w:num w:numId="28">
    <w:abstractNumId w:val="19"/>
  </w:num>
  <w:num w:numId="29">
    <w:abstractNumId w:val="14"/>
  </w:num>
  <w:num w:numId="30">
    <w:abstractNumId w:val="9"/>
  </w:num>
  <w:num w:numId="31">
    <w:abstractNumId w:val="1"/>
  </w:num>
  <w:num w:numId="32">
    <w:abstractNumId w:val="13"/>
  </w:num>
  <w:num w:numId="3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6CC4"/>
    <w:rsid w:val="00060788"/>
    <w:rsid w:val="000615F2"/>
    <w:rsid w:val="000616A3"/>
    <w:rsid w:val="00062195"/>
    <w:rsid w:val="00062A0D"/>
    <w:rsid w:val="00062AF0"/>
    <w:rsid w:val="00063A09"/>
    <w:rsid w:val="00063A36"/>
    <w:rsid w:val="00065C0E"/>
    <w:rsid w:val="000706D1"/>
    <w:rsid w:val="000707AD"/>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47EC"/>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D8D"/>
    <w:rsid w:val="000B3E6D"/>
    <w:rsid w:val="000B7771"/>
    <w:rsid w:val="000B799B"/>
    <w:rsid w:val="000C0A7A"/>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8C1"/>
    <w:rsid w:val="000E3CA0"/>
    <w:rsid w:val="000E4B62"/>
    <w:rsid w:val="000E5BE2"/>
    <w:rsid w:val="000E5CBE"/>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0994"/>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5DF4"/>
    <w:rsid w:val="00126C25"/>
    <w:rsid w:val="00126E69"/>
    <w:rsid w:val="00127C4C"/>
    <w:rsid w:val="00130DBB"/>
    <w:rsid w:val="0013116E"/>
    <w:rsid w:val="00131F78"/>
    <w:rsid w:val="00132135"/>
    <w:rsid w:val="00134809"/>
    <w:rsid w:val="00135CF7"/>
    <w:rsid w:val="00136301"/>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4FDA"/>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255B"/>
    <w:rsid w:val="001F304D"/>
    <w:rsid w:val="001F3ECB"/>
    <w:rsid w:val="001F456C"/>
    <w:rsid w:val="001F522B"/>
    <w:rsid w:val="001F5510"/>
    <w:rsid w:val="001F5828"/>
    <w:rsid w:val="001F5F98"/>
    <w:rsid w:val="001F7713"/>
    <w:rsid w:val="00201CD0"/>
    <w:rsid w:val="00201E10"/>
    <w:rsid w:val="00204880"/>
    <w:rsid w:val="0020604B"/>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1638"/>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90"/>
    <w:rsid w:val="002D32BD"/>
    <w:rsid w:val="002D4249"/>
    <w:rsid w:val="002D46F5"/>
    <w:rsid w:val="002D58FC"/>
    <w:rsid w:val="002D5FB2"/>
    <w:rsid w:val="002D639B"/>
    <w:rsid w:val="002E0B3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014"/>
    <w:rsid w:val="00385146"/>
    <w:rsid w:val="00385B86"/>
    <w:rsid w:val="00386678"/>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0590"/>
    <w:rsid w:val="00421007"/>
    <w:rsid w:val="00421871"/>
    <w:rsid w:val="004235AF"/>
    <w:rsid w:val="00424DE6"/>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4B6"/>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2CCE"/>
    <w:rsid w:val="004A3660"/>
    <w:rsid w:val="004A61DC"/>
    <w:rsid w:val="004B0607"/>
    <w:rsid w:val="004B08DB"/>
    <w:rsid w:val="004B0A42"/>
    <w:rsid w:val="004B1DC5"/>
    <w:rsid w:val="004B2651"/>
    <w:rsid w:val="004B30AF"/>
    <w:rsid w:val="004B338D"/>
    <w:rsid w:val="004B49AE"/>
    <w:rsid w:val="004B5719"/>
    <w:rsid w:val="004B5744"/>
    <w:rsid w:val="004B651B"/>
    <w:rsid w:val="004B702F"/>
    <w:rsid w:val="004B7473"/>
    <w:rsid w:val="004C1DC1"/>
    <w:rsid w:val="004C25E1"/>
    <w:rsid w:val="004C3C69"/>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1824"/>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51"/>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59F8"/>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815"/>
    <w:rsid w:val="00647BD5"/>
    <w:rsid w:val="00651102"/>
    <w:rsid w:val="00651B9D"/>
    <w:rsid w:val="00652326"/>
    <w:rsid w:val="00653244"/>
    <w:rsid w:val="00654297"/>
    <w:rsid w:val="00654D66"/>
    <w:rsid w:val="0065674F"/>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124D"/>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0C"/>
    <w:rsid w:val="006F7562"/>
    <w:rsid w:val="00700A2E"/>
    <w:rsid w:val="007022B4"/>
    <w:rsid w:val="007043CE"/>
    <w:rsid w:val="007060E3"/>
    <w:rsid w:val="00710705"/>
    <w:rsid w:val="00711095"/>
    <w:rsid w:val="0071117C"/>
    <w:rsid w:val="00713847"/>
    <w:rsid w:val="00713C04"/>
    <w:rsid w:val="00714555"/>
    <w:rsid w:val="00715034"/>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5B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5106"/>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2906"/>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4D9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0155"/>
    <w:rsid w:val="008D179B"/>
    <w:rsid w:val="008D2EC1"/>
    <w:rsid w:val="008D3001"/>
    <w:rsid w:val="008D40B0"/>
    <w:rsid w:val="008D53BF"/>
    <w:rsid w:val="008D5AC2"/>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6BE"/>
    <w:rsid w:val="008F7E84"/>
    <w:rsid w:val="00901BF6"/>
    <w:rsid w:val="00903F72"/>
    <w:rsid w:val="00904362"/>
    <w:rsid w:val="00905E09"/>
    <w:rsid w:val="009067A6"/>
    <w:rsid w:val="00906EB9"/>
    <w:rsid w:val="00907415"/>
    <w:rsid w:val="009105A2"/>
    <w:rsid w:val="00910C04"/>
    <w:rsid w:val="0091225B"/>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00DA"/>
    <w:rsid w:val="009315C8"/>
    <w:rsid w:val="00931AEF"/>
    <w:rsid w:val="0093302E"/>
    <w:rsid w:val="009337CF"/>
    <w:rsid w:val="00934323"/>
    <w:rsid w:val="00935843"/>
    <w:rsid w:val="00936170"/>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1D2"/>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1D2"/>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B41"/>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095B"/>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37969"/>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C7A"/>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23"/>
    <w:rsid w:val="00B936D4"/>
    <w:rsid w:val="00B94023"/>
    <w:rsid w:val="00B964C8"/>
    <w:rsid w:val="00BA2760"/>
    <w:rsid w:val="00BA295F"/>
    <w:rsid w:val="00BA39CB"/>
    <w:rsid w:val="00BA4A52"/>
    <w:rsid w:val="00BA51DE"/>
    <w:rsid w:val="00BA5424"/>
    <w:rsid w:val="00BA747B"/>
    <w:rsid w:val="00BA771A"/>
    <w:rsid w:val="00BA7DD0"/>
    <w:rsid w:val="00BA7ED9"/>
    <w:rsid w:val="00BB26B7"/>
    <w:rsid w:val="00BB3B14"/>
    <w:rsid w:val="00BB4421"/>
    <w:rsid w:val="00BB550D"/>
    <w:rsid w:val="00BB6525"/>
    <w:rsid w:val="00BB74F3"/>
    <w:rsid w:val="00BB79BD"/>
    <w:rsid w:val="00BB7DFE"/>
    <w:rsid w:val="00BC05AF"/>
    <w:rsid w:val="00BC0F2B"/>
    <w:rsid w:val="00BC14F0"/>
    <w:rsid w:val="00BC1EF9"/>
    <w:rsid w:val="00BC22BE"/>
    <w:rsid w:val="00BC3EA4"/>
    <w:rsid w:val="00BC4A82"/>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91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399A"/>
    <w:rsid w:val="00CB45C7"/>
    <w:rsid w:val="00CB4B07"/>
    <w:rsid w:val="00CB4E1E"/>
    <w:rsid w:val="00CB7C7A"/>
    <w:rsid w:val="00CC125B"/>
    <w:rsid w:val="00CC1BF1"/>
    <w:rsid w:val="00CC3698"/>
    <w:rsid w:val="00CC411B"/>
    <w:rsid w:val="00CC4136"/>
    <w:rsid w:val="00CC417F"/>
    <w:rsid w:val="00CC419A"/>
    <w:rsid w:val="00CC5AB1"/>
    <w:rsid w:val="00CC6B07"/>
    <w:rsid w:val="00CC736E"/>
    <w:rsid w:val="00CC7CD3"/>
    <w:rsid w:val="00CD07B0"/>
    <w:rsid w:val="00CD0965"/>
    <w:rsid w:val="00CD0AD0"/>
    <w:rsid w:val="00CD203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2F74"/>
    <w:rsid w:val="00D63A43"/>
    <w:rsid w:val="00D63AB8"/>
    <w:rsid w:val="00D63ED7"/>
    <w:rsid w:val="00D7044B"/>
    <w:rsid w:val="00D70704"/>
    <w:rsid w:val="00D7083A"/>
    <w:rsid w:val="00D71B35"/>
    <w:rsid w:val="00D71B36"/>
    <w:rsid w:val="00D71E9A"/>
    <w:rsid w:val="00D72053"/>
    <w:rsid w:val="00D727D1"/>
    <w:rsid w:val="00D72BB7"/>
    <w:rsid w:val="00D73533"/>
    <w:rsid w:val="00D73C02"/>
    <w:rsid w:val="00D7641A"/>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8C6"/>
    <w:rsid w:val="00DA0F66"/>
    <w:rsid w:val="00DA1D46"/>
    <w:rsid w:val="00DA37E1"/>
    <w:rsid w:val="00DA440F"/>
    <w:rsid w:val="00DA6189"/>
    <w:rsid w:val="00DA6DE7"/>
    <w:rsid w:val="00DA7527"/>
    <w:rsid w:val="00DA7996"/>
    <w:rsid w:val="00DA7C23"/>
    <w:rsid w:val="00DB1637"/>
    <w:rsid w:val="00DB2197"/>
    <w:rsid w:val="00DB252C"/>
    <w:rsid w:val="00DB316C"/>
    <w:rsid w:val="00DB4341"/>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1B97"/>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9BB"/>
    <w:rsid w:val="00E37FFB"/>
    <w:rsid w:val="00E40960"/>
    <w:rsid w:val="00E4110C"/>
    <w:rsid w:val="00E42727"/>
    <w:rsid w:val="00E4422C"/>
    <w:rsid w:val="00E44819"/>
    <w:rsid w:val="00E45249"/>
    <w:rsid w:val="00E4679C"/>
    <w:rsid w:val="00E47121"/>
    <w:rsid w:val="00E4793D"/>
    <w:rsid w:val="00E47F76"/>
    <w:rsid w:val="00E50AE7"/>
    <w:rsid w:val="00E50BF0"/>
    <w:rsid w:val="00E5111C"/>
    <w:rsid w:val="00E52446"/>
    <w:rsid w:val="00E52B95"/>
    <w:rsid w:val="00E530D1"/>
    <w:rsid w:val="00E563A5"/>
    <w:rsid w:val="00E5708C"/>
    <w:rsid w:val="00E622EF"/>
    <w:rsid w:val="00E62AAA"/>
    <w:rsid w:val="00E63FBE"/>
    <w:rsid w:val="00E641F4"/>
    <w:rsid w:val="00E66ACB"/>
    <w:rsid w:val="00E67179"/>
    <w:rsid w:val="00E67350"/>
    <w:rsid w:val="00E708B6"/>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27"/>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4FE7"/>
    <w:rsid w:val="00EE5E9A"/>
    <w:rsid w:val="00EE6051"/>
    <w:rsid w:val="00EE79EC"/>
    <w:rsid w:val="00EF1F81"/>
    <w:rsid w:val="00EF298C"/>
    <w:rsid w:val="00EF3B37"/>
    <w:rsid w:val="00EF4913"/>
    <w:rsid w:val="00EF6A96"/>
    <w:rsid w:val="00EF6C69"/>
    <w:rsid w:val="00EF7173"/>
    <w:rsid w:val="00EF7FE6"/>
    <w:rsid w:val="00F00C72"/>
    <w:rsid w:val="00F011E7"/>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5394"/>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6AA7"/>
    <w:rsid w:val="00FA7CBF"/>
    <w:rsid w:val="00FB0379"/>
    <w:rsid w:val="00FB1B9A"/>
    <w:rsid w:val="00FB2EFD"/>
    <w:rsid w:val="00FB6B13"/>
    <w:rsid w:val="00FB6CA1"/>
    <w:rsid w:val="00FB7D4C"/>
    <w:rsid w:val="00FC02A0"/>
    <w:rsid w:val="00FC2F18"/>
    <w:rsid w:val="00FC32A6"/>
    <w:rsid w:val="00FC3EC3"/>
    <w:rsid w:val="00FC44FE"/>
    <w:rsid w:val="00FC4D7E"/>
    <w:rsid w:val="00FC4E5A"/>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3BCC"/>
    <w:rsid w:val="00FF47E2"/>
    <w:rsid w:val="00FF5638"/>
    <w:rsid w:val="00FF5ED9"/>
    <w:rsid w:val="00FF7B8E"/>
    <w:rsid w:val="00FF7D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CD2030"/>
    <w:pPr>
      <w:keepNext/>
      <w:ind w:left="720" w:hanging="720"/>
      <w:outlineLvl w:val="2"/>
    </w:pPr>
    <w:rPr>
      <w:sz w:val="22"/>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CD2030"/>
    <w:rPr>
      <w:rFonts w:ascii="Times New Roman" w:hAnsi="Times New Roman"/>
      <w:sz w:val="22"/>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character" w:customStyle="1" w:styleId="B1Zchn">
    <w:name w:val="B1 Zchn"/>
    <w:rsid w:val="00CD2030"/>
    <w:rPr>
      <w:rFonts w:eastAsia="Times New Roman"/>
    </w:rPr>
  </w:style>
  <w:style w:type="paragraph" w:customStyle="1" w:styleId="B1">
    <w:name w:val="B1+"/>
    <w:basedOn w:val="B10"/>
    <w:rsid w:val="00CD2030"/>
    <w:pPr>
      <w:numPr>
        <w:numId w:val="30"/>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28973710">
      <w:bodyDiv w:val="1"/>
      <w:marLeft w:val="0"/>
      <w:marRight w:val="0"/>
      <w:marTop w:val="0"/>
      <w:marBottom w:val="0"/>
      <w:divBdr>
        <w:top w:val="none" w:sz="0" w:space="0" w:color="auto"/>
        <w:left w:val="none" w:sz="0" w:space="0" w:color="auto"/>
        <w:bottom w:val="none" w:sz="0" w:space="0" w:color="auto"/>
        <w:right w:val="none" w:sz="0" w:space="0" w:color="auto"/>
      </w:divBdr>
      <w:divsChild>
        <w:div w:id="2070296610">
          <w:marLeft w:val="1080"/>
          <w:marRight w:val="0"/>
          <w:marTop w:val="100"/>
          <w:marBottom w:val="0"/>
          <w:divBdr>
            <w:top w:val="none" w:sz="0" w:space="0" w:color="auto"/>
            <w:left w:val="none" w:sz="0" w:space="0" w:color="auto"/>
            <w:bottom w:val="none" w:sz="0" w:space="0" w:color="auto"/>
            <w:right w:val="none" w:sz="0" w:space="0" w:color="auto"/>
          </w:divBdr>
        </w:div>
        <w:div w:id="902447211">
          <w:marLeft w:val="1800"/>
          <w:marRight w:val="0"/>
          <w:marTop w:val="100"/>
          <w:marBottom w:val="0"/>
          <w:divBdr>
            <w:top w:val="none" w:sz="0" w:space="0" w:color="auto"/>
            <w:left w:val="none" w:sz="0" w:space="0" w:color="auto"/>
            <w:bottom w:val="none" w:sz="0" w:space="0" w:color="auto"/>
            <w:right w:val="none" w:sz="0" w:space="0" w:color="auto"/>
          </w:divBdr>
        </w:div>
        <w:div w:id="282882363">
          <w:marLeft w:val="2520"/>
          <w:marRight w:val="0"/>
          <w:marTop w:val="100"/>
          <w:marBottom w:val="0"/>
          <w:divBdr>
            <w:top w:val="none" w:sz="0" w:space="0" w:color="auto"/>
            <w:left w:val="none" w:sz="0" w:space="0" w:color="auto"/>
            <w:bottom w:val="none" w:sz="0" w:space="0" w:color="auto"/>
            <w:right w:val="none" w:sz="0" w:space="0" w:color="auto"/>
          </w:divBdr>
        </w:div>
        <w:div w:id="1764692038">
          <w:marLeft w:val="2520"/>
          <w:marRight w:val="0"/>
          <w:marTop w:val="100"/>
          <w:marBottom w:val="0"/>
          <w:divBdr>
            <w:top w:val="none" w:sz="0" w:space="0" w:color="auto"/>
            <w:left w:val="none" w:sz="0" w:space="0" w:color="auto"/>
            <w:bottom w:val="none" w:sz="0" w:space="0" w:color="auto"/>
            <w:right w:val="none" w:sz="0" w:space="0" w:color="auto"/>
          </w:divBdr>
        </w:div>
        <w:div w:id="1550074288">
          <w:marLeft w:val="1080"/>
          <w:marRight w:val="0"/>
          <w:marTop w:val="10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24967225">
      <w:bodyDiv w:val="1"/>
      <w:marLeft w:val="0"/>
      <w:marRight w:val="0"/>
      <w:marTop w:val="0"/>
      <w:marBottom w:val="0"/>
      <w:divBdr>
        <w:top w:val="none" w:sz="0" w:space="0" w:color="auto"/>
        <w:left w:val="none" w:sz="0" w:space="0" w:color="auto"/>
        <w:bottom w:val="none" w:sz="0" w:space="0" w:color="auto"/>
        <w:right w:val="none" w:sz="0" w:space="0" w:color="auto"/>
      </w:divBdr>
      <w:divsChild>
        <w:div w:id="899559182">
          <w:marLeft w:val="1166"/>
          <w:marRight w:val="0"/>
          <w:marTop w:val="115"/>
          <w:marBottom w:val="0"/>
          <w:divBdr>
            <w:top w:val="none" w:sz="0" w:space="0" w:color="auto"/>
            <w:left w:val="none" w:sz="0" w:space="0" w:color="auto"/>
            <w:bottom w:val="none" w:sz="0" w:space="0" w:color="auto"/>
            <w:right w:val="none" w:sz="0" w:space="0" w:color="auto"/>
          </w:divBdr>
        </w:div>
        <w:div w:id="1303929552">
          <w:marLeft w:val="1800"/>
          <w:marRight w:val="0"/>
          <w:marTop w:val="96"/>
          <w:marBottom w:val="0"/>
          <w:divBdr>
            <w:top w:val="none" w:sz="0" w:space="0" w:color="auto"/>
            <w:left w:val="none" w:sz="0" w:space="0" w:color="auto"/>
            <w:bottom w:val="none" w:sz="0" w:space="0" w:color="auto"/>
            <w:right w:val="none" w:sz="0" w:space="0" w:color="auto"/>
          </w:divBdr>
        </w:div>
        <w:div w:id="1806583461">
          <w:marLeft w:val="1800"/>
          <w:marRight w:val="0"/>
          <w:marTop w:val="96"/>
          <w:marBottom w:val="0"/>
          <w:divBdr>
            <w:top w:val="none" w:sz="0" w:space="0" w:color="auto"/>
            <w:left w:val="none" w:sz="0" w:space="0" w:color="auto"/>
            <w:bottom w:val="none" w:sz="0" w:space="0" w:color="auto"/>
            <w:right w:val="none" w:sz="0" w:space="0" w:color="auto"/>
          </w:divBdr>
        </w:div>
        <w:div w:id="766466617">
          <w:marLeft w:val="1800"/>
          <w:marRight w:val="0"/>
          <w:marTop w:val="96"/>
          <w:marBottom w:val="0"/>
          <w:divBdr>
            <w:top w:val="none" w:sz="0" w:space="0" w:color="auto"/>
            <w:left w:val="none" w:sz="0" w:space="0" w:color="auto"/>
            <w:bottom w:val="none" w:sz="0" w:space="0" w:color="auto"/>
            <w:right w:val="none" w:sz="0" w:space="0" w:color="auto"/>
          </w:divBdr>
        </w:div>
        <w:div w:id="1219511307">
          <w:marLeft w:val="1166"/>
          <w:marRight w:val="0"/>
          <w:marTop w:val="115"/>
          <w:marBottom w:val="0"/>
          <w:divBdr>
            <w:top w:val="none" w:sz="0" w:space="0" w:color="auto"/>
            <w:left w:val="none" w:sz="0" w:space="0" w:color="auto"/>
            <w:bottom w:val="none" w:sz="0" w:space="0" w:color="auto"/>
            <w:right w:val="none" w:sz="0" w:space="0" w:color="auto"/>
          </w:divBdr>
        </w:div>
        <w:div w:id="934941882">
          <w:marLeft w:val="1800"/>
          <w:marRight w:val="0"/>
          <w:marTop w:val="96"/>
          <w:marBottom w:val="0"/>
          <w:divBdr>
            <w:top w:val="none" w:sz="0" w:space="0" w:color="auto"/>
            <w:left w:val="none" w:sz="0" w:space="0" w:color="auto"/>
            <w:bottom w:val="none" w:sz="0" w:space="0" w:color="auto"/>
            <w:right w:val="none" w:sz="0" w:space="0" w:color="auto"/>
          </w:divBdr>
        </w:div>
        <w:div w:id="1713652683">
          <w:marLeft w:val="1166"/>
          <w:marRight w:val="0"/>
          <w:marTop w:val="115"/>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67708219">
      <w:bodyDiv w:val="1"/>
      <w:marLeft w:val="0"/>
      <w:marRight w:val="0"/>
      <w:marTop w:val="0"/>
      <w:marBottom w:val="0"/>
      <w:divBdr>
        <w:top w:val="none" w:sz="0" w:space="0" w:color="auto"/>
        <w:left w:val="none" w:sz="0" w:space="0" w:color="auto"/>
        <w:bottom w:val="none" w:sz="0" w:space="0" w:color="auto"/>
        <w:right w:val="none" w:sz="0" w:space="0" w:color="auto"/>
      </w:divBdr>
      <w:divsChild>
        <w:div w:id="1918247255">
          <w:marLeft w:val="1080"/>
          <w:marRight w:val="0"/>
          <w:marTop w:val="100"/>
          <w:marBottom w:val="0"/>
          <w:divBdr>
            <w:top w:val="none" w:sz="0" w:space="0" w:color="auto"/>
            <w:left w:val="none" w:sz="0" w:space="0" w:color="auto"/>
            <w:bottom w:val="none" w:sz="0" w:space="0" w:color="auto"/>
            <w:right w:val="none" w:sz="0" w:space="0" w:color="auto"/>
          </w:divBdr>
        </w:div>
        <w:div w:id="1071778682">
          <w:marLeft w:val="1800"/>
          <w:marRight w:val="0"/>
          <w:marTop w:val="100"/>
          <w:marBottom w:val="0"/>
          <w:divBdr>
            <w:top w:val="none" w:sz="0" w:space="0" w:color="auto"/>
            <w:left w:val="none" w:sz="0" w:space="0" w:color="auto"/>
            <w:bottom w:val="none" w:sz="0" w:space="0" w:color="auto"/>
            <w:right w:val="none" w:sz="0" w:space="0" w:color="auto"/>
          </w:divBdr>
        </w:div>
        <w:div w:id="1316452505">
          <w:marLeft w:val="2434"/>
          <w:marRight w:val="0"/>
          <w:marTop w:val="100"/>
          <w:marBottom w:val="0"/>
          <w:divBdr>
            <w:top w:val="none" w:sz="0" w:space="0" w:color="auto"/>
            <w:left w:val="none" w:sz="0" w:space="0" w:color="auto"/>
            <w:bottom w:val="none" w:sz="0" w:space="0" w:color="auto"/>
            <w:right w:val="none" w:sz="0" w:space="0" w:color="auto"/>
          </w:divBdr>
        </w:div>
        <w:div w:id="1863975142">
          <w:marLeft w:val="2434"/>
          <w:marRight w:val="0"/>
          <w:marTop w:val="100"/>
          <w:marBottom w:val="0"/>
          <w:divBdr>
            <w:top w:val="none" w:sz="0" w:space="0" w:color="auto"/>
            <w:left w:val="none" w:sz="0" w:space="0" w:color="auto"/>
            <w:bottom w:val="none" w:sz="0" w:space="0" w:color="auto"/>
            <w:right w:val="none" w:sz="0" w:space="0" w:color="auto"/>
          </w:divBdr>
        </w:div>
        <w:div w:id="1980570568">
          <w:marLeft w:val="2434"/>
          <w:marRight w:val="0"/>
          <w:marTop w:val="10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8486956">
      <w:bodyDiv w:val="1"/>
      <w:marLeft w:val="0"/>
      <w:marRight w:val="0"/>
      <w:marTop w:val="0"/>
      <w:marBottom w:val="0"/>
      <w:divBdr>
        <w:top w:val="none" w:sz="0" w:space="0" w:color="auto"/>
        <w:left w:val="none" w:sz="0" w:space="0" w:color="auto"/>
        <w:bottom w:val="none" w:sz="0" w:space="0" w:color="auto"/>
        <w:right w:val="none" w:sz="0" w:space="0" w:color="auto"/>
      </w:divBdr>
      <w:divsChild>
        <w:div w:id="2114086112">
          <w:marLeft w:val="1166"/>
          <w:marRight w:val="0"/>
          <w:marTop w:val="115"/>
          <w:marBottom w:val="0"/>
          <w:divBdr>
            <w:top w:val="none" w:sz="0" w:space="0" w:color="auto"/>
            <w:left w:val="none" w:sz="0" w:space="0" w:color="auto"/>
            <w:bottom w:val="none" w:sz="0" w:space="0" w:color="auto"/>
            <w:right w:val="none" w:sz="0" w:space="0" w:color="auto"/>
          </w:divBdr>
        </w:div>
        <w:div w:id="1704133821">
          <w:marLeft w:val="1800"/>
          <w:marRight w:val="0"/>
          <w:marTop w:val="96"/>
          <w:marBottom w:val="0"/>
          <w:divBdr>
            <w:top w:val="none" w:sz="0" w:space="0" w:color="auto"/>
            <w:left w:val="none" w:sz="0" w:space="0" w:color="auto"/>
            <w:bottom w:val="none" w:sz="0" w:space="0" w:color="auto"/>
            <w:right w:val="none" w:sz="0" w:space="0" w:color="auto"/>
          </w:divBdr>
        </w:div>
        <w:div w:id="2008317889">
          <w:marLeft w:val="1800"/>
          <w:marRight w:val="0"/>
          <w:marTop w:val="96"/>
          <w:marBottom w:val="0"/>
          <w:divBdr>
            <w:top w:val="none" w:sz="0" w:space="0" w:color="auto"/>
            <w:left w:val="none" w:sz="0" w:space="0" w:color="auto"/>
            <w:bottom w:val="none" w:sz="0" w:space="0" w:color="auto"/>
            <w:right w:val="none" w:sz="0" w:space="0" w:color="auto"/>
          </w:divBdr>
        </w:div>
        <w:div w:id="1324965318">
          <w:marLeft w:val="1166"/>
          <w:marRight w:val="0"/>
          <w:marTop w:val="115"/>
          <w:marBottom w:val="0"/>
          <w:divBdr>
            <w:top w:val="none" w:sz="0" w:space="0" w:color="auto"/>
            <w:left w:val="none" w:sz="0" w:space="0" w:color="auto"/>
            <w:bottom w:val="none" w:sz="0" w:space="0" w:color="auto"/>
            <w:right w:val="none" w:sz="0" w:space="0" w:color="auto"/>
          </w:divBdr>
        </w:div>
        <w:div w:id="1965454072">
          <w:marLeft w:val="1800"/>
          <w:marRight w:val="0"/>
          <w:marTop w:val="96"/>
          <w:marBottom w:val="0"/>
          <w:divBdr>
            <w:top w:val="none" w:sz="0" w:space="0" w:color="auto"/>
            <w:left w:val="none" w:sz="0" w:space="0" w:color="auto"/>
            <w:bottom w:val="none" w:sz="0" w:space="0" w:color="auto"/>
            <w:right w:val="none" w:sz="0" w:space="0" w:color="auto"/>
          </w:divBdr>
        </w:div>
        <w:div w:id="689571536">
          <w:marLeft w:val="1800"/>
          <w:marRight w:val="0"/>
          <w:marTop w:val="96"/>
          <w:marBottom w:val="0"/>
          <w:divBdr>
            <w:top w:val="none" w:sz="0" w:space="0" w:color="auto"/>
            <w:left w:val="none" w:sz="0" w:space="0" w:color="auto"/>
            <w:bottom w:val="none" w:sz="0" w:space="0" w:color="auto"/>
            <w:right w:val="none" w:sz="0" w:space="0" w:color="auto"/>
          </w:divBdr>
        </w:div>
      </w:divsChild>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7370767">
      <w:bodyDiv w:val="1"/>
      <w:marLeft w:val="0"/>
      <w:marRight w:val="0"/>
      <w:marTop w:val="0"/>
      <w:marBottom w:val="0"/>
      <w:divBdr>
        <w:top w:val="none" w:sz="0" w:space="0" w:color="auto"/>
        <w:left w:val="none" w:sz="0" w:space="0" w:color="auto"/>
        <w:bottom w:val="none" w:sz="0" w:space="0" w:color="auto"/>
        <w:right w:val="none" w:sz="0" w:space="0" w:color="auto"/>
      </w:divBdr>
      <w:divsChild>
        <w:div w:id="2064793053">
          <w:marLeft w:val="1166"/>
          <w:marRight w:val="0"/>
          <w:marTop w:val="86"/>
          <w:marBottom w:val="0"/>
          <w:divBdr>
            <w:top w:val="none" w:sz="0" w:space="0" w:color="auto"/>
            <w:left w:val="none" w:sz="0" w:space="0" w:color="auto"/>
            <w:bottom w:val="none" w:sz="0" w:space="0" w:color="auto"/>
            <w:right w:val="none" w:sz="0" w:space="0" w:color="auto"/>
          </w:divBdr>
        </w:div>
        <w:div w:id="173424052">
          <w:marLeft w:val="1166"/>
          <w:marRight w:val="0"/>
          <w:marTop w:val="86"/>
          <w:marBottom w:val="0"/>
          <w:divBdr>
            <w:top w:val="none" w:sz="0" w:space="0" w:color="auto"/>
            <w:left w:val="none" w:sz="0" w:space="0" w:color="auto"/>
            <w:bottom w:val="none" w:sz="0" w:space="0" w:color="auto"/>
            <w:right w:val="none" w:sz="0" w:space="0" w:color="auto"/>
          </w:divBdr>
        </w:div>
        <w:div w:id="1181121928">
          <w:marLeft w:val="1166"/>
          <w:marRight w:val="0"/>
          <w:marTop w:val="86"/>
          <w:marBottom w:val="0"/>
          <w:divBdr>
            <w:top w:val="none" w:sz="0" w:space="0" w:color="auto"/>
            <w:left w:val="none" w:sz="0" w:space="0" w:color="auto"/>
            <w:bottom w:val="none" w:sz="0" w:space="0" w:color="auto"/>
            <w:right w:val="none" w:sz="0" w:space="0" w:color="auto"/>
          </w:divBdr>
        </w:div>
        <w:div w:id="1352217197">
          <w:marLeft w:val="1166"/>
          <w:marRight w:val="0"/>
          <w:marTop w:val="86"/>
          <w:marBottom w:val="0"/>
          <w:divBdr>
            <w:top w:val="none" w:sz="0" w:space="0" w:color="auto"/>
            <w:left w:val="none" w:sz="0" w:space="0" w:color="auto"/>
            <w:bottom w:val="none" w:sz="0" w:space="0" w:color="auto"/>
            <w:right w:val="none" w:sz="0" w:space="0" w:color="auto"/>
          </w:divBdr>
        </w:div>
        <w:div w:id="138965209">
          <w:marLeft w:val="1166"/>
          <w:marRight w:val="0"/>
          <w:marTop w:val="86"/>
          <w:marBottom w:val="0"/>
          <w:divBdr>
            <w:top w:val="none" w:sz="0" w:space="0" w:color="auto"/>
            <w:left w:val="none" w:sz="0" w:space="0" w:color="auto"/>
            <w:bottom w:val="none" w:sz="0" w:space="0" w:color="auto"/>
            <w:right w:val="none" w:sz="0" w:space="0" w:color="auto"/>
          </w:divBdr>
        </w:div>
        <w:div w:id="1048602257">
          <w:marLeft w:val="1166"/>
          <w:marRight w:val="0"/>
          <w:marTop w:val="86"/>
          <w:marBottom w:val="0"/>
          <w:divBdr>
            <w:top w:val="none" w:sz="0" w:space="0" w:color="auto"/>
            <w:left w:val="none" w:sz="0" w:space="0" w:color="auto"/>
            <w:bottom w:val="none" w:sz="0" w:space="0" w:color="auto"/>
            <w:right w:val="none" w:sz="0" w:space="0" w:color="auto"/>
          </w:divBdr>
        </w:div>
        <w:div w:id="1020858162">
          <w:marLeft w:val="1166"/>
          <w:marRight w:val="0"/>
          <w:marTop w:val="86"/>
          <w:marBottom w:val="0"/>
          <w:divBdr>
            <w:top w:val="none" w:sz="0" w:space="0" w:color="auto"/>
            <w:left w:val="none" w:sz="0" w:space="0" w:color="auto"/>
            <w:bottom w:val="none" w:sz="0" w:space="0" w:color="auto"/>
            <w:right w:val="none" w:sz="0" w:space="0" w:color="auto"/>
          </w:divBdr>
        </w:div>
      </w:divsChild>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10985-570E-471D-80DE-14EA190F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5930</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3</cp:revision>
  <dcterms:created xsi:type="dcterms:W3CDTF">2021-04-02T06:12:00Z</dcterms:created>
  <dcterms:modified xsi:type="dcterms:W3CDTF">2021-04-02T06:14:00Z</dcterms:modified>
</cp:coreProperties>
</file>