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51525" w14:textId="2E49982C" w:rsidR="00716661" w:rsidRPr="00BD1CE6" w:rsidRDefault="00716661" w:rsidP="00716661">
      <w:pPr>
        <w:pStyle w:val="CRCoverPage"/>
        <w:tabs>
          <w:tab w:val="right" w:pos="9639"/>
        </w:tabs>
        <w:spacing w:after="0"/>
        <w:rPr>
          <w:b/>
          <w:noProof/>
          <w:sz w:val="28"/>
        </w:rPr>
      </w:pPr>
      <w:bookmarkStart w:id="0" w:name="_Toc5938268"/>
      <w:bookmarkStart w:id="1" w:name="_Toc98658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w:t>
      </w:r>
      <w:r>
        <w:rPr>
          <w:b/>
          <w:noProof/>
          <w:sz w:val="24"/>
        </w:rPr>
        <w:t>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bookmarkStart w:id="2" w:name="_GoBack"/>
      <w:r w:rsidR="00BD1CE6" w:rsidRPr="00BD1CE6">
        <w:rPr>
          <w:b/>
          <w:noProof/>
          <w:sz w:val="28"/>
        </w:rPr>
        <w:t>R4-2102578</w:t>
      </w:r>
    </w:p>
    <w:bookmarkEnd w:id="2"/>
    <w:p w14:paraId="647913EA" w14:textId="77777777" w:rsidR="00716661" w:rsidRDefault="00716661" w:rsidP="007166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w:t>
      </w:r>
      <w:r>
        <w:rPr>
          <w:b/>
          <w:noProof/>
          <w:sz w:val="24"/>
        </w:rPr>
        <w:t>5</w:t>
      </w:r>
      <w:r w:rsidRPr="00A414DE">
        <w:rPr>
          <w:b/>
          <w:noProof/>
          <w:sz w:val="24"/>
          <w:vertAlign w:val="superscript"/>
        </w:rPr>
        <w:t>th</w:t>
      </w:r>
      <w:r w:rsidRPr="00BA51D9">
        <w:rPr>
          <w:b/>
          <w:noProof/>
          <w:sz w:val="24"/>
        </w:rPr>
        <w:t xml:space="preserve"> </w:t>
      </w:r>
      <w:r>
        <w:rPr>
          <w:b/>
          <w:noProof/>
          <w:sz w:val="24"/>
        </w:rPr>
        <w:t>Jan</w:t>
      </w:r>
      <w:r w:rsidRPr="00BA51D9">
        <w:rPr>
          <w:b/>
          <w:noProof/>
          <w:sz w:val="24"/>
        </w:rPr>
        <w:t xml:space="preserve">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A414DE">
        <w:rPr>
          <w:b/>
          <w:noProof/>
          <w:sz w:val="24"/>
          <w:vertAlign w:val="superscript"/>
        </w:rPr>
        <w:t>th</w:t>
      </w:r>
      <w:r>
        <w:rPr>
          <w:b/>
          <w:noProof/>
          <w:sz w:val="24"/>
        </w:rPr>
        <w:tab/>
        <w:t>Feb</w:t>
      </w:r>
      <w:r w:rsidRPr="00BA51D9">
        <w:rPr>
          <w:b/>
          <w:noProof/>
          <w:sz w:val="24"/>
        </w:rPr>
        <w:t xml:space="preserve"> 202</w:t>
      </w:r>
      <w:r>
        <w:rPr>
          <w:b/>
          <w:noProof/>
          <w:sz w:val="24"/>
        </w:rPr>
        <w:t>1</w:t>
      </w:r>
      <w:r>
        <w:rPr>
          <w:b/>
          <w:noProof/>
          <w:sz w:val="24"/>
        </w:rPr>
        <w:fldChar w:fldCharType="end"/>
      </w:r>
    </w:p>
    <w:p w14:paraId="0D0A2689" w14:textId="77777777" w:rsidR="00B9734C" w:rsidRPr="00C50F5E" w:rsidRDefault="00B9734C" w:rsidP="00B9734C">
      <w:pPr>
        <w:pStyle w:val="a"/>
        <w:rPr>
          <w:rFonts w:eastAsia="SimSun"/>
          <w:color w:val="000000" w:themeColor="text1"/>
          <w:sz w:val="24"/>
          <w:highlight w:val="yellow"/>
          <w:lang w:eastAsia="zh-CN"/>
        </w:rPr>
      </w:pPr>
    </w:p>
    <w:p w14:paraId="36EF9C41" w14:textId="77777777" w:rsidR="000C34F6" w:rsidRPr="00422C8A" w:rsidRDefault="000C34F6" w:rsidP="00A5625D">
      <w:pPr>
        <w:pStyle w:val="a"/>
        <w:rPr>
          <w:rFonts w:eastAsia="SimSun"/>
          <w:color w:val="000000" w:themeColor="text1"/>
          <w:sz w:val="24"/>
          <w:lang w:eastAsia="zh-CN"/>
        </w:rPr>
      </w:pPr>
    </w:p>
    <w:p w14:paraId="0AAA533D" w14:textId="77777777" w:rsidR="00D64225" w:rsidRPr="00422C8A" w:rsidRDefault="00D64225" w:rsidP="00D64225">
      <w:pPr>
        <w:tabs>
          <w:tab w:val="left" w:pos="1985"/>
        </w:tabs>
        <w:jc w:val="both"/>
        <w:rPr>
          <w:rFonts w:ascii="Arial" w:eastAsia="SimSun" w:hAnsi="Arial" w:cs="Arial"/>
          <w:b/>
          <w:color w:val="000000" w:themeColor="text1"/>
          <w:sz w:val="22"/>
          <w:lang w:eastAsia="zh-CN"/>
        </w:rPr>
      </w:pPr>
      <w:r w:rsidRPr="00422C8A">
        <w:rPr>
          <w:rFonts w:ascii="Arial" w:hAnsi="Arial" w:cs="Arial"/>
          <w:b/>
          <w:color w:val="000000" w:themeColor="text1"/>
          <w:sz w:val="22"/>
        </w:rPr>
        <w:t xml:space="preserve">Source: </w:t>
      </w:r>
      <w:r w:rsidRPr="00422C8A">
        <w:rPr>
          <w:rFonts w:ascii="Arial" w:hAnsi="Arial" w:cs="Arial"/>
          <w:b/>
          <w:color w:val="000000" w:themeColor="text1"/>
          <w:sz w:val="22"/>
        </w:rPr>
        <w:tab/>
      </w:r>
      <w:r w:rsidRPr="00422C8A">
        <w:rPr>
          <w:rFonts w:ascii="Arial" w:hAnsi="Arial" w:cs="Arial"/>
          <w:color w:val="000000" w:themeColor="text1"/>
          <w:sz w:val="22"/>
        </w:rPr>
        <w:t>Huawei</w:t>
      </w:r>
    </w:p>
    <w:p w14:paraId="65A0D523" w14:textId="77777777" w:rsidR="00114519" w:rsidRDefault="00D64225" w:rsidP="00902558">
      <w:pPr>
        <w:ind w:left="1985" w:hanging="1985"/>
        <w:rPr>
          <w:rFonts w:ascii="Arial" w:hAnsi="Arial" w:cs="Arial"/>
          <w:color w:val="000000" w:themeColor="text1"/>
          <w:sz w:val="22"/>
        </w:rPr>
      </w:pPr>
      <w:r w:rsidRPr="00422C8A">
        <w:rPr>
          <w:rFonts w:ascii="Arial" w:hAnsi="Arial" w:cs="Arial"/>
          <w:b/>
          <w:color w:val="000000" w:themeColor="text1"/>
          <w:sz w:val="22"/>
        </w:rPr>
        <w:t>Title:</w:t>
      </w:r>
      <w:r w:rsidRPr="00422C8A">
        <w:rPr>
          <w:rFonts w:ascii="Arial" w:hAnsi="Arial" w:cs="Arial"/>
          <w:color w:val="000000" w:themeColor="text1"/>
          <w:sz w:val="22"/>
        </w:rPr>
        <w:t xml:space="preserve"> </w:t>
      </w:r>
      <w:r w:rsidRPr="00422C8A">
        <w:rPr>
          <w:rFonts w:ascii="Arial" w:hAnsi="Arial" w:cs="Arial"/>
          <w:color w:val="000000" w:themeColor="text1"/>
          <w:sz w:val="22"/>
        </w:rPr>
        <w:tab/>
      </w:r>
      <w:r w:rsidR="00114519" w:rsidRPr="00114519">
        <w:rPr>
          <w:rFonts w:ascii="Arial" w:hAnsi="Arial" w:cs="Arial"/>
          <w:color w:val="000000" w:themeColor="text1"/>
          <w:sz w:val="22"/>
        </w:rPr>
        <w:t>Spatial exclusion zone for IAB node</w:t>
      </w:r>
    </w:p>
    <w:p w14:paraId="3ACA12DB" w14:textId="661D9EB7" w:rsidR="00D64225" w:rsidRPr="00422C8A" w:rsidRDefault="00D64225" w:rsidP="00902558">
      <w:pPr>
        <w:ind w:left="1985" w:hanging="1985"/>
        <w:rPr>
          <w:rFonts w:ascii="Arial" w:eastAsia="SimSun" w:hAnsi="Arial" w:cs="Arial"/>
          <w:color w:val="000000" w:themeColor="text1"/>
          <w:sz w:val="22"/>
          <w:lang w:eastAsia="zh-CN"/>
        </w:rPr>
      </w:pPr>
      <w:r w:rsidRPr="00422C8A">
        <w:rPr>
          <w:rFonts w:ascii="Arial" w:hAnsi="Arial" w:cs="Arial"/>
          <w:b/>
          <w:color w:val="000000" w:themeColor="text1"/>
          <w:sz w:val="22"/>
        </w:rPr>
        <w:t>Agen</w:t>
      </w:r>
      <w:r w:rsidRPr="00422C8A">
        <w:rPr>
          <w:rFonts w:ascii="Arial" w:eastAsia="SimSun" w:hAnsi="Arial" w:cs="Arial" w:hint="eastAsia"/>
          <w:b/>
          <w:color w:val="000000" w:themeColor="text1"/>
          <w:sz w:val="22"/>
          <w:lang w:eastAsia="zh-CN"/>
        </w:rPr>
        <w:t>d</w:t>
      </w:r>
      <w:r w:rsidRPr="00422C8A">
        <w:rPr>
          <w:rFonts w:ascii="Arial" w:hAnsi="Arial" w:cs="Arial"/>
          <w:b/>
          <w:color w:val="000000" w:themeColor="text1"/>
          <w:sz w:val="22"/>
        </w:rPr>
        <w:t>a Item:</w:t>
      </w:r>
      <w:r w:rsidRPr="00422C8A">
        <w:rPr>
          <w:rFonts w:ascii="Arial" w:hAnsi="Arial" w:cs="Arial"/>
          <w:color w:val="000000" w:themeColor="text1"/>
          <w:sz w:val="22"/>
        </w:rPr>
        <w:tab/>
      </w:r>
      <w:r w:rsidR="00114519">
        <w:rPr>
          <w:rFonts w:ascii="Arial" w:hAnsi="Arial" w:cs="Arial"/>
          <w:color w:val="000000" w:themeColor="text1"/>
          <w:sz w:val="22"/>
        </w:rPr>
        <w:t>7.4.7</w:t>
      </w:r>
    </w:p>
    <w:p w14:paraId="754225A9" w14:textId="3F8C6765" w:rsidR="00D64225" w:rsidRPr="00114519" w:rsidRDefault="00D64225" w:rsidP="00D64225">
      <w:pPr>
        <w:tabs>
          <w:tab w:val="left" w:pos="1985"/>
        </w:tabs>
        <w:jc w:val="both"/>
        <w:rPr>
          <w:rFonts w:ascii="Arial" w:eastAsia="SimSun" w:hAnsi="Arial" w:cs="Arial"/>
          <w:color w:val="000000" w:themeColor="text1"/>
          <w:sz w:val="22"/>
          <w:lang w:eastAsia="zh-CN"/>
        </w:rPr>
      </w:pPr>
      <w:r w:rsidRPr="00422C8A">
        <w:rPr>
          <w:rFonts w:ascii="Arial" w:hAnsi="Arial" w:cs="Arial"/>
          <w:b/>
          <w:color w:val="000000" w:themeColor="text1"/>
          <w:sz w:val="22"/>
        </w:rPr>
        <w:t xml:space="preserve">Document </w:t>
      </w:r>
      <w:r w:rsidRPr="00114519">
        <w:rPr>
          <w:rFonts w:ascii="Arial" w:hAnsi="Arial" w:cs="Arial"/>
          <w:b/>
          <w:color w:val="000000" w:themeColor="text1"/>
          <w:sz w:val="22"/>
        </w:rPr>
        <w:t>for:</w:t>
      </w:r>
      <w:r w:rsidRPr="00114519">
        <w:rPr>
          <w:rFonts w:ascii="Arial" w:hAnsi="Arial" w:cs="Arial"/>
          <w:color w:val="000000" w:themeColor="text1"/>
          <w:sz w:val="22"/>
        </w:rPr>
        <w:tab/>
      </w:r>
      <w:r w:rsidR="003B7128" w:rsidRPr="00114519">
        <w:rPr>
          <w:rFonts w:ascii="Arial" w:eastAsia="SimSun" w:hAnsi="Arial" w:cs="Arial"/>
          <w:color w:val="000000" w:themeColor="text1"/>
          <w:sz w:val="22"/>
          <w:lang w:eastAsia="zh-CN"/>
        </w:rPr>
        <w:t>Discussion</w:t>
      </w:r>
      <w:r w:rsidR="002B1867" w:rsidRPr="00114519">
        <w:rPr>
          <w:rFonts w:ascii="Arial" w:eastAsia="SimSun" w:hAnsi="Arial" w:cs="Arial"/>
          <w:color w:val="000000" w:themeColor="text1"/>
          <w:sz w:val="22"/>
          <w:lang w:eastAsia="zh-CN"/>
        </w:rPr>
        <w:t xml:space="preserve"> </w:t>
      </w:r>
    </w:p>
    <w:p w14:paraId="05ABB6E4" w14:textId="77777777" w:rsidR="00D64225" w:rsidRPr="00114519" w:rsidRDefault="00D64225" w:rsidP="002867EC">
      <w:pPr>
        <w:pStyle w:val="Heading1"/>
        <w:numPr>
          <w:ilvl w:val="0"/>
          <w:numId w:val="2"/>
        </w:numPr>
        <w:overflowPunct w:val="0"/>
        <w:autoSpaceDE w:val="0"/>
        <w:autoSpaceDN w:val="0"/>
        <w:adjustRightInd w:val="0"/>
        <w:textAlignment w:val="baseline"/>
      </w:pPr>
      <w:r w:rsidRPr="00114519">
        <w:t>Introduction</w:t>
      </w:r>
    </w:p>
    <w:bookmarkEnd w:id="0"/>
    <w:bookmarkEnd w:id="1"/>
    <w:p w14:paraId="08C50DE7" w14:textId="44D32ABA" w:rsidR="00412F40" w:rsidRPr="00937959" w:rsidRDefault="00412F40" w:rsidP="00EC4D3D">
      <w:r w:rsidRPr="00937959">
        <w:rPr>
          <w:rFonts w:eastAsia="SimSun"/>
          <w:color w:val="000000" w:themeColor="text1"/>
          <w:lang w:val="en-US" w:eastAsia="zh-CN"/>
        </w:rPr>
        <w:t xml:space="preserve">During </w:t>
      </w:r>
      <w:r w:rsidR="00937959" w:rsidRPr="00937959">
        <w:rPr>
          <w:rFonts w:eastAsia="SimSun"/>
          <w:color w:val="000000" w:themeColor="text1"/>
          <w:lang w:val="en-US" w:eastAsia="zh-CN"/>
        </w:rPr>
        <w:t xml:space="preserve">last RAN4 meeting it was agreed to reuse the concept of the spatial exclusion zone for IAB. However, there was no conclusion on the spatial aspects of the EMC RI testing with the spatial exclusion concept. </w:t>
      </w:r>
    </w:p>
    <w:p w14:paraId="62EC5197" w14:textId="451E640B" w:rsidR="002B1867" w:rsidRPr="00937959" w:rsidRDefault="002B1867" w:rsidP="00EC4D3D">
      <w:pPr>
        <w:rPr>
          <w:rFonts w:eastAsia="SimSun"/>
          <w:color w:val="000000" w:themeColor="text1"/>
          <w:lang w:val="en-US" w:eastAsia="zh-CN"/>
        </w:rPr>
      </w:pPr>
      <w:r w:rsidRPr="00937959">
        <w:rPr>
          <w:rFonts w:eastAsia="SimSun"/>
          <w:color w:val="000000" w:themeColor="text1"/>
          <w:lang w:val="en-US" w:eastAsia="zh-CN"/>
        </w:rPr>
        <w:t xml:space="preserve">In this contribution we provide </w:t>
      </w:r>
      <w:r w:rsidR="00BC6AC6" w:rsidRPr="00937959">
        <w:rPr>
          <w:rFonts w:eastAsia="SimSun"/>
          <w:color w:val="000000" w:themeColor="text1"/>
          <w:lang w:val="en-US" w:eastAsia="zh-CN"/>
        </w:rPr>
        <w:t xml:space="preserve">analysis </w:t>
      </w:r>
      <w:r w:rsidR="00937959" w:rsidRPr="00937959">
        <w:rPr>
          <w:rFonts w:eastAsia="SimSun"/>
          <w:color w:val="000000" w:themeColor="text1"/>
          <w:lang w:val="en-US" w:eastAsia="zh-CN"/>
        </w:rPr>
        <w:t>of the challenges with the application of the spatial exclusion for the EMC RI testing of the IAB</w:t>
      </w:r>
      <w:r w:rsidRPr="00937959">
        <w:rPr>
          <w:rFonts w:eastAsia="SimSun"/>
          <w:color w:val="000000" w:themeColor="text1"/>
          <w:lang w:val="en-US" w:eastAsia="zh-CN"/>
        </w:rPr>
        <w:t xml:space="preserve">. </w:t>
      </w:r>
    </w:p>
    <w:p w14:paraId="15976D82" w14:textId="6D50DC4E" w:rsidR="003B7128" w:rsidRDefault="003B7128" w:rsidP="00422C8A">
      <w:pPr>
        <w:pStyle w:val="Heading1"/>
        <w:numPr>
          <w:ilvl w:val="0"/>
          <w:numId w:val="2"/>
        </w:numPr>
        <w:rPr>
          <w:lang w:eastAsia="sv-SE"/>
        </w:rPr>
      </w:pPr>
      <w:r w:rsidRPr="00440201">
        <w:rPr>
          <w:lang w:eastAsia="sv-SE"/>
        </w:rPr>
        <w:t>Discussion</w:t>
      </w:r>
    </w:p>
    <w:p w14:paraId="4BA6B6C4" w14:textId="41468567" w:rsidR="00440201" w:rsidRDefault="00440201" w:rsidP="00440201">
      <w:pPr>
        <w:pStyle w:val="Heading1"/>
        <w:numPr>
          <w:ilvl w:val="1"/>
          <w:numId w:val="2"/>
        </w:numPr>
        <w:rPr>
          <w:lang w:eastAsia="sv-SE"/>
        </w:rPr>
      </w:pPr>
      <w:r>
        <w:rPr>
          <w:lang w:eastAsia="sv-SE"/>
        </w:rPr>
        <w:t>Spatial exclusion for NR BS</w:t>
      </w:r>
    </w:p>
    <w:p w14:paraId="54A19C72" w14:textId="39643795" w:rsidR="00440201" w:rsidRPr="00E11EA5" w:rsidRDefault="00440201" w:rsidP="00440201">
      <w:r w:rsidRPr="00E11EA5">
        <w:rPr>
          <w:lang w:val="en-US"/>
        </w:rPr>
        <w:t xml:space="preserve">According to IEC 61000-4-3, the EMC Radiated Immunity test is performed with the generating antenna facing each side of the </w:t>
      </w:r>
      <w:r w:rsidRPr="00E11EA5">
        <w:rPr>
          <w:rFonts w:hint="eastAsia"/>
          <w:lang w:val="en-US" w:eastAsia="zh-CN"/>
        </w:rPr>
        <w:t>BS</w:t>
      </w:r>
      <w:r w:rsidRPr="00E11EA5">
        <w:rPr>
          <w:lang w:val="en-US"/>
        </w:rPr>
        <w:t xml:space="preserve">. When technically justified, some </w:t>
      </w:r>
      <w:r w:rsidRPr="00E11EA5">
        <w:rPr>
          <w:rFonts w:hint="eastAsia"/>
          <w:lang w:val="en-US" w:eastAsia="zh-CN"/>
        </w:rPr>
        <w:t>BS</w:t>
      </w:r>
      <w:r w:rsidRPr="00E11EA5">
        <w:rPr>
          <w:lang w:val="en-US"/>
        </w:rPr>
        <w:t xml:space="preserve"> can be tested by exposing fewer faces to the generating antenna. For </w:t>
      </w:r>
      <w:r w:rsidRPr="00E11EA5">
        <w:rPr>
          <w:i/>
          <w:lang w:val="en-US"/>
        </w:rPr>
        <w:t>BS type 1-O</w:t>
      </w:r>
      <w:r w:rsidRPr="00E11EA5">
        <w:rPr>
          <w:lang w:val="en-US"/>
        </w:rPr>
        <w:t xml:space="preserve"> the RI test need to be reduced to fewer angular incidences. This is to protect the </w:t>
      </w:r>
      <w:r w:rsidRPr="00E11EA5">
        <w:rPr>
          <w:rFonts w:hint="eastAsia"/>
          <w:lang w:val="en-US" w:eastAsia="zh-CN"/>
        </w:rPr>
        <w:t>BS</w:t>
      </w:r>
      <w:r w:rsidRPr="00E11EA5">
        <w:rPr>
          <w:lang w:val="en-US"/>
        </w:rPr>
        <w:t xml:space="preserve"> receiver from being blocked due to received input power levels exceeding the OOB blocking limits during the RI testing. Referring to the IEC 61000-4-3</w:t>
      </w:r>
      <w:r>
        <w:rPr>
          <w:lang w:val="en-US"/>
        </w:rPr>
        <w:t> </w:t>
      </w:r>
      <w:r w:rsidRPr="00E11EA5">
        <w:rPr>
          <w:lang w:val="en-US"/>
        </w:rPr>
        <w:t xml:space="preserve">guidance above, the angular incidence where the front of the </w:t>
      </w:r>
      <w:r w:rsidRPr="00E11EA5">
        <w:rPr>
          <w:i/>
          <w:lang w:val="en-US"/>
        </w:rPr>
        <w:t>BS type 1-O</w:t>
      </w:r>
      <w:r w:rsidRPr="00E11EA5">
        <w:rPr>
          <w:lang w:val="en-US"/>
        </w:rPr>
        <w:t xml:space="preserve"> is facing the interferer range antenna needs to be</w:t>
      </w:r>
      <w:r>
        <w:rPr>
          <w:lang w:val="en-US"/>
        </w:rPr>
        <w:t xml:space="preserve"> omitted, as depicted in figure 1</w:t>
      </w:r>
      <w:r w:rsidRPr="00E11EA5">
        <w:rPr>
          <w:lang w:val="en-US"/>
        </w:rPr>
        <w:t>.</w:t>
      </w:r>
    </w:p>
    <w:p w14:paraId="56FB94BC" w14:textId="77777777" w:rsidR="00440201" w:rsidRPr="00E11EA5" w:rsidRDefault="00440201" w:rsidP="00440201">
      <w:pPr>
        <w:pStyle w:val="TH"/>
      </w:pPr>
      <w:r w:rsidRPr="00C57672">
        <w:rPr>
          <w:noProof/>
          <w:lang w:val="en-US" w:eastAsia="zh-CN"/>
        </w:rPr>
        <w:lastRenderedPageBreak/>
        <w:drawing>
          <wp:inline distT="0" distB="0" distL="0" distR="0" wp14:anchorId="0391736D" wp14:editId="7E05CA3A">
            <wp:extent cx="4368800" cy="3384550"/>
            <wp:effectExtent l="0" t="0" r="0" b="0"/>
            <wp:docPr id="70055" name="Picture 10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图片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68800" cy="3384550"/>
                    </a:xfrm>
                    <a:prstGeom prst="rect">
                      <a:avLst/>
                    </a:prstGeom>
                    <a:noFill/>
                    <a:ln>
                      <a:noFill/>
                    </a:ln>
                  </pic:spPr>
                </pic:pic>
              </a:graphicData>
            </a:graphic>
          </wp:inline>
        </w:drawing>
      </w:r>
    </w:p>
    <w:p w14:paraId="0C85C98A" w14:textId="1AD3A16E" w:rsidR="00440201" w:rsidRPr="00E11EA5" w:rsidRDefault="00440201" w:rsidP="00440201">
      <w:pPr>
        <w:pStyle w:val="TF"/>
        <w:rPr>
          <w:lang w:eastAsia="en-GB"/>
        </w:rPr>
      </w:pPr>
      <w:r w:rsidRPr="00E11EA5">
        <w:t xml:space="preserve">Figure 1: RI testing directions for </w:t>
      </w:r>
      <w:r w:rsidRPr="00E11EA5">
        <w:rPr>
          <w:i/>
        </w:rPr>
        <w:t xml:space="preserve">BS type 1-O </w:t>
      </w:r>
      <w:r w:rsidRPr="00E11EA5">
        <w:t>(horizontal plane depicted)</w:t>
      </w:r>
    </w:p>
    <w:p w14:paraId="7EEE5FF4" w14:textId="1E512097" w:rsidR="00440201" w:rsidRDefault="00440201" w:rsidP="00440201">
      <w:pPr>
        <w:pStyle w:val="Heading1"/>
        <w:numPr>
          <w:ilvl w:val="1"/>
          <w:numId w:val="2"/>
        </w:numPr>
        <w:rPr>
          <w:lang w:eastAsia="sv-SE"/>
        </w:rPr>
      </w:pPr>
      <w:r>
        <w:rPr>
          <w:lang w:eastAsia="sv-SE"/>
        </w:rPr>
        <w:t>Spatial exclusion for IAB</w:t>
      </w:r>
    </w:p>
    <w:p w14:paraId="068C876B" w14:textId="0F9BBA66" w:rsidR="00440201" w:rsidRPr="00211A2C" w:rsidRDefault="001733C5" w:rsidP="00211A2C">
      <w:pPr>
        <w:pStyle w:val="NO"/>
        <w:rPr>
          <w:lang w:val="en-US" w:eastAsia="sv-SE"/>
        </w:rPr>
      </w:pPr>
      <w:r w:rsidRPr="00223C07">
        <w:rPr>
          <w:lang w:eastAsia="sv-SE"/>
        </w:rPr>
        <w:t>NOTE:</w:t>
      </w:r>
      <w:r w:rsidR="00223C07" w:rsidRPr="00223C07">
        <w:rPr>
          <w:lang w:eastAsia="sv-SE"/>
        </w:rPr>
        <w:tab/>
        <w:t>It</w:t>
      </w:r>
      <w:r w:rsidRPr="00223C07">
        <w:rPr>
          <w:lang w:eastAsia="sv-SE"/>
        </w:rPr>
        <w:t xml:space="preserve"> shall be noted that the IAB conformance </w:t>
      </w:r>
      <w:r w:rsidR="00223C07" w:rsidRPr="00223C07">
        <w:rPr>
          <w:lang w:eastAsia="sv-SE"/>
        </w:rPr>
        <w:t>testing specification is still under construction</w:t>
      </w:r>
      <w:r w:rsidR="00211A2C">
        <w:rPr>
          <w:lang w:eastAsia="sv-SE"/>
        </w:rPr>
        <w:t xml:space="preserve">; refer to the </w:t>
      </w:r>
      <w:r w:rsidR="00211A2C" w:rsidRPr="00211A2C">
        <w:rPr>
          <w:lang w:eastAsia="sv-SE"/>
        </w:rPr>
        <w:t>WF on IAB conformance work plan and specifications</w:t>
      </w:r>
      <w:r w:rsidR="00211A2C">
        <w:rPr>
          <w:lang w:eastAsia="sv-SE"/>
        </w:rPr>
        <w:t xml:space="preserve"> in </w:t>
      </w:r>
      <w:r w:rsidR="00211A2C" w:rsidRPr="00211A2C">
        <w:rPr>
          <w:lang w:val="en-US" w:eastAsia="sv-SE"/>
        </w:rPr>
        <w:t>R4-2017487</w:t>
      </w:r>
      <w:r w:rsidR="00223C07" w:rsidRPr="00223C07">
        <w:rPr>
          <w:lang w:eastAsia="sv-SE"/>
        </w:rPr>
        <w:t xml:space="preserve">. Therefore concluding on the spatial exclusion for EMC purposes may be seem as premature. </w:t>
      </w:r>
    </w:p>
    <w:p w14:paraId="46668C08" w14:textId="7B05F6A8" w:rsidR="00223C07" w:rsidRDefault="00223C07" w:rsidP="00223C07">
      <w:pPr>
        <w:pStyle w:val="NO"/>
        <w:ind w:left="0" w:firstLine="0"/>
        <w:rPr>
          <w:lang w:eastAsia="sv-SE"/>
        </w:rPr>
      </w:pPr>
      <w:r>
        <w:rPr>
          <w:lang w:eastAsia="sv-SE"/>
        </w:rPr>
        <w:t xml:space="preserve">In principle, it was agreed that the concept of the spatial exclusion shall be applicable to the IAB node. Due to the IAB node specifics (i.e. two radio </w:t>
      </w:r>
      <w:r w:rsidR="006A3DEF">
        <w:rPr>
          <w:lang w:eastAsia="sv-SE"/>
        </w:rPr>
        <w:t>interfaces</w:t>
      </w:r>
      <w:r w:rsidR="005F66E6">
        <w:rPr>
          <w:lang w:eastAsia="sv-SE"/>
        </w:rPr>
        <w:t>, various product designs to be envisioned</w:t>
      </w:r>
      <w:r>
        <w:rPr>
          <w:lang w:eastAsia="sv-SE"/>
        </w:rPr>
        <w:t xml:space="preserve">), it was not possible to directly </w:t>
      </w:r>
      <w:r w:rsidR="00FA24CD">
        <w:rPr>
          <w:lang w:eastAsia="sv-SE"/>
        </w:rPr>
        <w:t>reuse</w:t>
      </w:r>
      <w:r>
        <w:rPr>
          <w:lang w:eastAsia="sv-SE"/>
        </w:rPr>
        <w:t xml:space="preserve"> the definition of the spatial exclusion from the NR BS specification. </w:t>
      </w:r>
    </w:p>
    <w:p w14:paraId="2C1271F0" w14:textId="7D535ABF" w:rsidR="00FA2530" w:rsidRDefault="00FA2530" w:rsidP="00223C07">
      <w:pPr>
        <w:pStyle w:val="NO"/>
        <w:ind w:left="0" w:firstLine="0"/>
        <w:rPr>
          <w:lang w:eastAsia="sv-SE"/>
        </w:rPr>
      </w:pPr>
      <w:r>
        <w:rPr>
          <w:lang w:eastAsia="sv-SE"/>
        </w:rPr>
        <w:t xml:space="preserve">Below we list assumptions which we believe shall be taken for the spatial exclusion </w:t>
      </w:r>
      <w:r w:rsidR="00F97AC4">
        <w:rPr>
          <w:lang w:eastAsia="sv-SE"/>
        </w:rPr>
        <w:t xml:space="preserve">concept </w:t>
      </w:r>
      <w:r>
        <w:rPr>
          <w:lang w:eastAsia="sv-SE"/>
        </w:rPr>
        <w:t xml:space="preserve">formulation for IAB: </w:t>
      </w:r>
    </w:p>
    <w:p w14:paraId="4C1BDF9A" w14:textId="3BF6A8A8" w:rsidR="00FA2530" w:rsidRDefault="00FA2530" w:rsidP="00F97AC4">
      <w:pPr>
        <w:pStyle w:val="NO"/>
        <w:numPr>
          <w:ilvl w:val="0"/>
          <w:numId w:val="22"/>
        </w:numPr>
        <w:rPr>
          <w:lang w:eastAsia="sv-SE"/>
        </w:rPr>
      </w:pPr>
      <w:r>
        <w:rPr>
          <w:lang w:eastAsia="sv-SE"/>
        </w:rPr>
        <w:t>The basic assumption during the formulation of the spatial exclusion concept for IAB shall be that it is product design and product implementation agnostic, i.e.</w:t>
      </w:r>
      <w:r w:rsidR="00F97AC4">
        <w:rPr>
          <w:lang w:eastAsia="sv-SE"/>
        </w:rPr>
        <w:t xml:space="preserve"> there shall be no assumption on number of antenna arrays, etc. </w:t>
      </w:r>
    </w:p>
    <w:p w14:paraId="10591471" w14:textId="5D5BB3D4" w:rsidR="00FA2530" w:rsidRDefault="00FA2530" w:rsidP="00F97AC4">
      <w:pPr>
        <w:pStyle w:val="NO"/>
        <w:numPr>
          <w:ilvl w:val="0"/>
          <w:numId w:val="22"/>
        </w:numPr>
        <w:rPr>
          <w:lang w:eastAsia="sv-SE"/>
        </w:rPr>
      </w:pPr>
      <w:r>
        <w:rPr>
          <w:lang w:eastAsia="sv-SE"/>
        </w:rPr>
        <w:t xml:space="preserve">It shall consider both black box and white box approaches, </w:t>
      </w:r>
      <w:r w:rsidR="00BC5133">
        <w:rPr>
          <w:lang w:eastAsia="sv-SE"/>
        </w:rPr>
        <w:t>i.e. there shall be no assumption on the knowledge of the antenna arrays</w:t>
      </w:r>
      <w:r w:rsidR="00F97AC4">
        <w:rPr>
          <w:lang w:eastAsia="sv-SE"/>
        </w:rPr>
        <w:t xml:space="preserve"> locations.</w:t>
      </w:r>
    </w:p>
    <w:p w14:paraId="4E66883C" w14:textId="7FF04B2F" w:rsidR="009E7CA6" w:rsidRPr="00223C07" w:rsidRDefault="009E7CA6" w:rsidP="009E7CA6">
      <w:pPr>
        <w:pStyle w:val="NO"/>
        <w:ind w:left="0" w:firstLine="0"/>
        <w:rPr>
          <w:lang w:eastAsia="sv-SE"/>
        </w:rPr>
      </w:pPr>
      <w:r>
        <w:rPr>
          <w:lang w:eastAsia="sv-SE"/>
        </w:rPr>
        <w:t xml:space="preserve">In the following sections we continue the discussion on the spatial aspects of the EMC RI testing. </w:t>
      </w:r>
    </w:p>
    <w:p w14:paraId="64A72AAF" w14:textId="77777777" w:rsidR="004E0424" w:rsidRPr="00395A27" w:rsidRDefault="004E0424" w:rsidP="004E0424">
      <w:pPr>
        <w:pStyle w:val="Heading1"/>
        <w:numPr>
          <w:ilvl w:val="2"/>
          <w:numId w:val="2"/>
        </w:numPr>
        <w:rPr>
          <w:lang w:eastAsia="sv-SE"/>
        </w:rPr>
      </w:pPr>
      <w:r>
        <w:rPr>
          <w:lang w:eastAsia="sv-SE"/>
        </w:rPr>
        <w:t xml:space="preserve">Determination of </w:t>
      </w:r>
      <w:r w:rsidRPr="00395A27">
        <w:rPr>
          <w:lang w:eastAsia="sv-SE"/>
        </w:rPr>
        <w:t>the test directions</w:t>
      </w:r>
    </w:p>
    <w:p w14:paraId="5365FD20" w14:textId="027D452B" w:rsidR="00395A27" w:rsidRDefault="00FA2530" w:rsidP="00001BD3">
      <w:pPr>
        <w:rPr>
          <w:lang w:eastAsia="sv-SE"/>
        </w:rPr>
      </w:pPr>
      <w:r w:rsidRPr="00395A27">
        <w:rPr>
          <w:lang w:eastAsia="sv-SE"/>
        </w:rPr>
        <w:t xml:space="preserve">The crucial aspect of the spatial exclusion definition is the knowledge of the </w:t>
      </w:r>
      <w:r w:rsidR="00186A24" w:rsidRPr="00395A27">
        <w:rPr>
          <w:lang w:eastAsia="sv-SE"/>
        </w:rPr>
        <w:t>IAB’s antenna arrays bore</w:t>
      </w:r>
      <w:r w:rsidR="00BC29F1">
        <w:rPr>
          <w:lang w:eastAsia="sv-SE"/>
        </w:rPr>
        <w:t xml:space="preserve">sight directions </w:t>
      </w:r>
      <w:r w:rsidR="00001BD3" w:rsidRPr="00395A27">
        <w:rPr>
          <w:lang w:eastAsia="sv-SE"/>
        </w:rPr>
        <w:t>and feasibility to perform the EMC RI from the directions not allowing the signal from test antenna to le</w:t>
      </w:r>
      <w:r w:rsidR="00395A27">
        <w:rPr>
          <w:lang w:eastAsia="sv-SE"/>
        </w:rPr>
        <w:t>ak into the RX chain of the EUT.</w:t>
      </w:r>
    </w:p>
    <w:p w14:paraId="21B3878F" w14:textId="43259FA2" w:rsidR="00F0012F" w:rsidRDefault="00F0012F" w:rsidP="00395A27">
      <w:pPr>
        <w:rPr>
          <w:lang w:eastAsia="sv-SE"/>
        </w:rPr>
      </w:pPr>
      <w:r w:rsidRPr="00395A27">
        <w:rPr>
          <w:lang w:eastAsia="sv-SE"/>
        </w:rPr>
        <w:t>Referring to IEC 61000-4-3</w:t>
      </w:r>
      <w:r w:rsidR="00395A27">
        <w:rPr>
          <w:lang w:eastAsia="sv-SE"/>
        </w:rPr>
        <w:t xml:space="preserve"> (Testing and measurement techniques – Radiated, radio-frequency, electromagnetic field immunity test)</w:t>
      </w:r>
      <w:r w:rsidRPr="00395A27">
        <w:rPr>
          <w:lang w:eastAsia="sv-SE"/>
        </w:rPr>
        <w:t>, the following is state</w:t>
      </w:r>
      <w:r>
        <w:rPr>
          <w:lang w:eastAsia="sv-SE"/>
        </w:rPr>
        <w:t xml:space="preserve">d for the testing procedure: </w:t>
      </w:r>
    </w:p>
    <w:p w14:paraId="7F644C7E" w14:textId="77777777" w:rsidR="00F0012F" w:rsidRPr="00BC0993" w:rsidRDefault="00F0012F" w:rsidP="00F0012F">
      <w:pPr>
        <w:pStyle w:val="NO"/>
        <w:rPr>
          <w:i/>
          <w:lang w:eastAsia="sv-SE"/>
        </w:rPr>
      </w:pPr>
      <w:r w:rsidRPr="002F77AF">
        <w:rPr>
          <w:i/>
          <w:lang w:eastAsia="sv-SE"/>
        </w:rPr>
        <w:lastRenderedPageBreak/>
        <w:t xml:space="preserve">“The test shall normally be performed with the generating antenna facing each side of the EUT. When equipment can be used in different orientations (i.e. vertical or horizontal) all sides shall be exposed to the field during the test. When technically justified, </w:t>
      </w:r>
      <w:r w:rsidRPr="00BC0993">
        <w:rPr>
          <w:i/>
          <w:lang w:eastAsia="sv-SE"/>
        </w:rPr>
        <w:t>some EUTs can be tested by exposing fewer faces to the generating antenna. In other cases, as determined for example by the type and size of EUT or the frequencies of test, more than four azimuths may need to be exposed.”</w:t>
      </w:r>
    </w:p>
    <w:p w14:paraId="0BFC3F6F" w14:textId="77777777" w:rsidR="009E3679" w:rsidRDefault="009E3679" w:rsidP="003208A6">
      <w:pPr>
        <w:rPr>
          <w:lang w:eastAsia="sv-SE"/>
        </w:rPr>
      </w:pPr>
    </w:p>
    <w:p w14:paraId="059B95E0" w14:textId="77777777" w:rsidR="00DA7A4E" w:rsidRDefault="009E3679" w:rsidP="003208A6">
      <w:pPr>
        <w:rPr>
          <w:lang w:eastAsia="sv-SE"/>
        </w:rPr>
      </w:pPr>
      <w:r>
        <w:rPr>
          <w:lang w:eastAsia="sv-SE"/>
        </w:rPr>
        <w:t>For the purpose of this discussion, l</w:t>
      </w:r>
      <w:r w:rsidR="00165096" w:rsidRPr="00BC0993">
        <w:rPr>
          <w:lang w:eastAsia="sv-SE"/>
        </w:rPr>
        <w:t>et’s assume one possible realization of the IAB node with 3-array facing direction with 120deg separation</w:t>
      </w:r>
      <w:r>
        <w:rPr>
          <w:lang w:eastAsia="sv-SE"/>
        </w:rPr>
        <w:t>, as depicted on figure 2</w:t>
      </w:r>
      <w:r w:rsidR="00165096" w:rsidRPr="00BC0993">
        <w:rPr>
          <w:lang w:eastAsia="sv-SE"/>
        </w:rPr>
        <w:t xml:space="preserve">. It is further assumed that only two </w:t>
      </w:r>
      <w:r>
        <w:rPr>
          <w:lang w:eastAsia="sv-SE"/>
        </w:rPr>
        <w:t xml:space="preserve">antenna arrays </w:t>
      </w:r>
      <w:r w:rsidR="00165096" w:rsidRPr="00BC0993">
        <w:rPr>
          <w:lang w:eastAsia="sv-SE"/>
        </w:rPr>
        <w:t xml:space="preserve">are active </w:t>
      </w:r>
      <w:r>
        <w:rPr>
          <w:lang w:eastAsia="sv-SE"/>
        </w:rPr>
        <w:t xml:space="preserve">at a time: one for </w:t>
      </w:r>
      <w:r w:rsidR="00165096" w:rsidRPr="00BC0993">
        <w:rPr>
          <w:lang w:eastAsia="sv-SE"/>
        </w:rPr>
        <w:t xml:space="preserve">radio link toward donor, </w:t>
      </w:r>
      <w:r>
        <w:rPr>
          <w:lang w:eastAsia="sv-SE"/>
        </w:rPr>
        <w:t xml:space="preserve">second one </w:t>
      </w:r>
      <w:r w:rsidR="00165096" w:rsidRPr="00BC0993">
        <w:rPr>
          <w:lang w:eastAsia="sv-SE"/>
        </w:rPr>
        <w:t>towards UEs</w:t>
      </w:r>
      <w:r w:rsidR="00AE1FD8">
        <w:rPr>
          <w:lang w:eastAsia="sv-SE"/>
        </w:rPr>
        <w:t xml:space="preserve"> (how to setup, or determine which arrays are to be </w:t>
      </w:r>
      <w:r w:rsidR="00DA7A4E">
        <w:rPr>
          <w:lang w:eastAsia="sv-SE"/>
        </w:rPr>
        <w:t>used for the IAB operation during testing is FFS</w:t>
      </w:r>
      <w:r w:rsidR="00AE1FD8">
        <w:rPr>
          <w:lang w:eastAsia="sv-SE"/>
        </w:rPr>
        <w:t>)</w:t>
      </w:r>
      <w:r w:rsidR="00165096" w:rsidRPr="00BC0993">
        <w:rPr>
          <w:lang w:eastAsia="sv-SE"/>
        </w:rPr>
        <w:t xml:space="preserve">. </w:t>
      </w:r>
    </w:p>
    <w:p w14:paraId="0551E14E" w14:textId="10E924C4" w:rsidR="002F77AF" w:rsidRPr="00BC0993" w:rsidRDefault="002F77AF" w:rsidP="003208A6">
      <w:pPr>
        <w:rPr>
          <w:b/>
          <w:lang w:eastAsia="sv-SE"/>
        </w:rPr>
      </w:pPr>
      <w:r w:rsidRPr="00BC0993">
        <w:rPr>
          <w:b/>
          <w:noProof/>
          <w:lang w:val="en-US" w:eastAsia="zh-CN"/>
        </w:rPr>
        <w:drawing>
          <wp:inline distT="0" distB="0" distL="0" distR="0" wp14:anchorId="58623C3B" wp14:editId="35622318">
            <wp:extent cx="6301740" cy="539496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01740" cy="5394960"/>
                    </a:xfrm>
                    <a:prstGeom prst="rect">
                      <a:avLst/>
                    </a:prstGeom>
                    <a:noFill/>
                  </pic:spPr>
                </pic:pic>
              </a:graphicData>
            </a:graphic>
          </wp:inline>
        </w:drawing>
      </w:r>
    </w:p>
    <w:p w14:paraId="69448005" w14:textId="41F812A7" w:rsidR="00165096" w:rsidRPr="00BC0993" w:rsidRDefault="00165096" w:rsidP="00165096">
      <w:pPr>
        <w:jc w:val="center"/>
        <w:rPr>
          <w:b/>
        </w:rPr>
      </w:pPr>
      <w:r w:rsidRPr="00BC0993">
        <w:rPr>
          <w:b/>
        </w:rPr>
        <w:t>Figure 2: Example 3-array IAB node with spatial exclusions depicted, and RI testing directions (red)</w:t>
      </w:r>
    </w:p>
    <w:p w14:paraId="65583A40" w14:textId="108057CF" w:rsidR="00DA7A4E" w:rsidRDefault="00DA7A4E" w:rsidP="00DA7A4E">
      <w:pPr>
        <w:rPr>
          <w:lang w:eastAsia="sv-SE"/>
        </w:rPr>
      </w:pPr>
      <w:r w:rsidRPr="00BC0993">
        <w:rPr>
          <w:lang w:eastAsia="sv-SE"/>
        </w:rPr>
        <w:t xml:space="preserve">If we would try to directly reuse the </w:t>
      </w:r>
      <w:r>
        <w:rPr>
          <w:lang w:eastAsia="sv-SE"/>
        </w:rPr>
        <w:t xml:space="preserve">NR BS </w:t>
      </w:r>
      <w:r w:rsidRPr="00BC0993">
        <w:rPr>
          <w:lang w:eastAsia="sv-SE"/>
        </w:rPr>
        <w:t>spatial excl</w:t>
      </w:r>
      <w:r>
        <w:rPr>
          <w:lang w:eastAsia="sv-SE"/>
        </w:rPr>
        <w:t>usion concept in this scenario</w:t>
      </w:r>
      <w:r w:rsidRPr="00BC0993">
        <w:rPr>
          <w:lang w:eastAsia="sv-SE"/>
        </w:rPr>
        <w:t>, then we would and up with 3 exclusion zones</w:t>
      </w:r>
      <w:r>
        <w:rPr>
          <w:lang w:eastAsia="sv-SE"/>
        </w:rPr>
        <w:t xml:space="preserve"> (fig. 2; note only two arrays to be used for the IAB operation during testing)</w:t>
      </w:r>
      <w:r w:rsidRPr="00BC0993">
        <w:rPr>
          <w:lang w:eastAsia="sv-SE"/>
        </w:rPr>
        <w:t>. With such arrangement, the RI testing of the IAB node would be significantly limited. The only possible RI testing direction seems to be the “back side” direction at 270deg.</w:t>
      </w:r>
    </w:p>
    <w:p w14:paraId="2473B196" w14:textId="105797CE" w:rsidR="003E1863" w:rsidRPr="00F0012F" w:rsidRDefault="00F0012F" w:rsidP="00F0012F">
      <w:pPr>
        <w:rPr>
          <w:lang w:eastAsia="sv-SE"/>
        </w:rPr>
      </w:pPr>
      <w:r w:rsidRPr="00BC0993">
        <w:rPr>
          <w:lang w:eastAsia="sv-SE"/>
        </w:rPr>
        <w:t xml:space="preserve">One can think that rotation of the </w:t>
      </w:r>
      <w:r w:rsidR="00001BD3">
        <w:rPr>
          <w:lang w:eastAsia="sv-SE"/>
        </w:rPr>
        <w:t>EUT</w:t>
      </w:r>
      <w:r w:rsidRPr="00BC0993">
        <w:rPr>
          <w:lang w:eastAsia="sv-SE"/>
        </w:rPr>
        <w:t xml:space="preserve"> may enable more RI testing directions, e.g. see figure 3. In this case, </w:t>
      </w:r>
      <w:r w:rsidR="003E1863" w:rsidRPr="00BC0993">
        <w:rPr>
          <w:lang w:eastAsia="sv-SE"/>
        </w:rPr>
        <w:t>it may be possible to perform test at 90deg and 180deg directions. However, there</w:t>
      </w:r>
      <w:r w:rsidR="003E1863">
        <w:rPr>
          <w:lang w:eastAsia="sv-SE"/>
        </w:rPr>
        <w:t xml:space="preserve"> is still risk of injecting the signal of the generating (test) antenna into the RX chain of the </w:t>
      </w:r>
      <w:r w:rsidR="00001BD3">
        <w:rPr>
          <w:lang w:eastAsia="sv-SE"/>
        </w:rPr>
        <w:t>EUT</w:t>
      </w:r>
      <w:r w:rsidR="003E1863">
        <w:rPr>
          <w:lang w:eastAsia="sv-SE"/>
        </w:rPr>
        <w:t xml:space="preserve"> (this may depend on the spatial coverage of the antenna array). </w:t>
      </w:r>
    </w:p>
    <w:p w14:paraId="784FCA24" w14:textId="19224B55" w:rsidR="00DF5663" w:rsidRDefault="00DF5663" w:rsidP="00165096">
      <w:pPr>
        <w:jc w:val="center"/>
        <w:rPr>
          <w:b/>
        </w:rPr>
      </w:pPr>
      <w:r>
        <w:rPr>
          <w:b/>
          <w:noProof/>
          <w:lang w:val="en-US" w:eastAsia="zh-CN"/>
        </w:rPr>
        <w:lastRenderedPageBreak/>
        <w:drawing>
          <wp:inline distT="0" distB="0" distL="0" distR="0" wp14:anchorId="6E5D14B5" wp14:editId="0997A1AE">
            <wp:extent cx="5661660" cy="539496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61660" cy="5394960"/>
                    </a:xfrm>
                    <a:prstGeom prst="rect">
                      <a:avLst/>
                    </a:prstGeom>
                    <a:noFill/>
                  </pic:spPr>
                </pic:pic>
              </a:graphicData>
            </a:graphic>
          </wp:inline>
        </w:drawing>
      </w:r>
    </w:p>
    <w:p w14:paraId="475E4E70" w14:textId="15A1B956" w:rsidR="00DF5663" w:rsidRDefault="00DF5663" w:rsidP="00DF5663">
      <w:pPr>
        <w:jc w:val="center"/>
        <w:rPr>
          <w:b/>
        </w:rPr>
      </w:pPr>
      <w:r>
        <w:rPr>
          <w:b/>
        </w:rPr>
        <w:t>Figure 3</w:t>
      </w:r>
      <w:r w:rsidRPr="00165096">
        <w:rPr>
          <w:b/>
        </w:rPr>
        <w:t>:</w:t>
      </w:r>
      <w:r>
        <w:rPr>
          <w:b/>
        </w:rPr>
        <w:t xml:space="preserve"> Example 3-array IAB node with spatial exclusions depicted, and RI testing directions (red) - rotated</w:t>
      </w:r>
    </w:p>
    <w:p w14:paraId="07CD2A94" w14:textId="64E719B9" w:rsidR="00A124A1" w:rsidRPr="00DC599C" w:rsidRDefault="00A124A1" w:rsidP="00A124A1">
      <w:pPr>
        <w:rPr>
          <w:lang w:eastAsia="sv-SE"/>
        </w:rPr>
      </w:pPr>
      <w:r>
        <w:rPr>
          <w:lang w:eastAsia="sv-SE"/>
        </w:rPr>
        <w:t xml:space="preserve">Further, referring to the TS 38.113 text (section 9.2.2: </w:t>
      </w:r>
      <w:r w:rsidRPr="009E3679">
        <w:rPr>
          <w:i/>
          <w:lang w:eastAsia="sv-SE"/>
        </w:rPr>
        <w:t xml:space="preserve">In the range of angles except the operational range of angles of the IAB type 1-O or IAB type 2-O antenna array (i.e. </w:t>
      </w:r>
      <w:r w:rsidRPr="009E3679">
        <w:rPr>
          <w:b/>
          <w:i/>
          <w:lang w:eastAsia="sv-SE"/>
        </w:rPr>
        <w:t>except for the half sphere around the EUT radiating direction</w:t>
      </w:r>
      <w:r w:rsidRPr="009E3679">
        <w:rPr>
          <w:i/>
          <w:lang w:eastAsia="sv-SE"/>
        </w:rPr>
        <w:t>) and for the frequency range above 690 MHz (according to the test method in ETSI EN 301 489-50 [28]), the EMC RF electromagnetic field immunity requirement applies</w:t>
      </w:r>
      <w:r>
        <w:rPr>
          <w:lang w:eastAsia="sv-SE"/>
        </w:rPr>
        <w:t xml:space="preserve">) if we would exclude half spheres around each of the arrays, then based on figure 2 or 3, actually no single azimuth direction would be allowed to be tested. </w:t>
      </w:r>
    </w:p>
    <w:p w14:paraId="60F0D57F" w14:textId="2AAEFB8D" w:rsidR="00937959" w:rsidRDefault="003E1863" w:rsidP="00F0012F">
      <w:pPr>
        <w:rPr>
          <w:lang w:eastAsia="sv-SE"/>
        </w:rPr>
      </w:pPr>
      <w:r>
        <w:rPr>
          <w:lang w:eastAsia="sv-SE"/>
        </w:rPr>
        <w:t>One shall also consider that the enclosure of the IAB may have various forms. To complicate this even further, one shall not exclude IAB products equipped with 4 or more antenna arrays</w:t>
      </w:r>
      <w:r w:rsidR="00D13229">
        <w:rPr>
          <w:lang w:eastAsia="sv-SE"/>
        </w:rPr>
        <w:t>. Such designs may be envisioned in case of antenna arrays with narrowed beams (narrower coverage in horizontal domain, traded for higher gain for “long range” applications)</w:t>
      </w:r>
      <w:r>
        <w:rPr>
          <w:lang w:eastAsia="sv-SE"/>
        </w:rPr>
        <w:t>.</w:t>
      </w:r>
      <w:r w:rsidR="005D3A38">
        <w:rPr>
          <w:lang w:eastAsia="sv-SE"/>
        </w:rPr>
        <w:t xml:space="preserve"> </w:t>
      </w:r>
      <w:r w:rsidR="00FF6A8E">
        <w:rPr>
          <w:lang w:eastAsia="sv-SE"/>
        </w:rPr>
        <w:t xml:space="preserve">This example has the same challenges as those described above. </w:t>
      </w:r>
    </w:p>
    <w:p w14:paraId="09FD3398" w14:textId="6604092B" w:rsidR="00AE52C5" w:rsidRDefault="00AE52C5" w:rsidP="00AE52C5">
      <w:pPr>
        <w:jc w:val="center"/>
        <w:rPr>
          <w:lang w:eastAsia="sv-SE"/>
        </w:rPr>
      </w:pPr>
      <w:r>
        <w:rPr>
          <w:noProof/>
          <w:lang w:val="en-US" w:eastAsia="zh-CN"/>
        </w:rPr>
        <w:lastRenderedPageBreak/>
        <w:drawing>
          <wp:inline distT="0" distB="0" distL="0" distR="0" wp14:anchorId="49AEFDE8" wp14:editId="6B7E4403">
            <wp:extent cx="2065020" cy="20421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65020" cy="2042160"/>
                    </a:xfrm>
                    <a:prstGeom prst="rect">
                      <a:avLst/>
                    </a:prstGeom>
                    <a:noFill/>
                  </pic:spPr>
                </pic:pic>
              </a:graphicData>
            </a:graphic>
          </wp:inline>
        </w:drawing>
      </w:r>
    </w:p>
    <w:p w14:paraId="597367F3" w14:textId="3ACB6C11" w:rsidR="001D2488" w:rsidRDefault="001D2488" w:rsidP="00AE52C5">
      <w:pPr>
        <w:jc w:val="center"/>
        <w:rPr>
          <w:b/>
        </w:rPr>
      </w:pPr>
      <w:r>
        <w:rPr>
          <w:b/>
        </w:rPr>
        <w:t>Figure 3</w:t>
      </w:r>
      <w:r w:rsidRPr="00165096">
        <w:rPr>
          <w:b/>
        </w:rPr>
        <w:t>:</w:t>
      </w:r>
      <w:r>
        <w:rPr>
          <w:b/>
        </w:rPr>
        <w:t xml:space="preserve"> Example 4-array IAB node </w:t>
      </w:r>
    </w:p>
    <w:p w14:paraId="13936520" w14:textId="77777777" w:rsidR="001D2488" w:rsidRDefault="001D2488" w:rsidP="00AE52C5">
      <w:pPr>
        <w:jc w:val="center"/>
        <w:rPr>
          <w:lang w:eastAsia="sv-SE"/>
        </w:rPr>
      </w:pPr>
    </w:p>
    <w:p w14:paraId="198D49D6" w14:textId="77777777" w:rsidR="00FF6A8E" w:rsidRDefault="00D13229" w:rsidP="00D13229">
      <w:pPr>
        <w:rPr>
          <w:lang w:eastAsia="sv-SE"/>
        </w:rPr>
      </w:pPr>
      <w:r w:rsidRPr="00D13229">
        <w:rPr>
          <w:b/>
          <w:lang w:eastAsia="sv-SE"/>
        </w:rPr>
        <w:t>Observation</w:t>
      </w:r>
      <w:r>
        <w:rPr>
          <w:lang w:eastAsia="sv-SE"/>
        </w:rPr>
        <w:t xml:space="preserve">:  analysis of the EMC RI testing with spatial exclusion shall consider various types of IAB implementations. </w:t>
      </w:r>
    </w:p>
    <w:p w14:paraId="534A1841" w14:textId="48FE6E0E" w:rsidR="00F0012F" w:rsidRPr="00A14B92" w:rsidRDefault="00F0012F" w:rsidP="00F0012F">
      <w:pPr>
        <w:rPr>
          <w:lang w:eastAsia="sv-SE"/>
        </w:rPr>
      </w:pPr>
      <w:r w:rsidRPr="00F0012F">
        <w:rPr>
          <w:lang w:eastAsia="sv-SE"/>
        </w:rPr>
        <w:t xml:space="preserve">Based on </w:t>
      </w:r>
      <w:r w:rsidR="00C756ED">
        <w:rPr>
          <w:lang w:eastAsia="sv-SE"/>
        </w:rPr>
        <w:t xml:space="preserve">this </w:t>
      </w:r>
      <w:r w:rsidRPr="00A14B92">
        <w:rPr>
          <w:lang w:eastAsia="sv-SE"/>
        </w:rPr>
        <w:t>discussion</w:t>
      </w:r>
      <w:r w:rsidR="00C756ED" w:rsidRPr="00A14B92">
        <w:rPr>
          <w:lang w:eastAsia="sv-SE"/>
        </w:rPr>
        <w:t xml:space="preserve"> and challenges related to the EMC RI testing in azimuth </w:t>
      </w:r>
      <w:r w:rsidR="00CD7661" w:rsidRPr="00A14B92">
        <w:rPr>
          <w:lang w:eastAsia="sv-SE"/>
        </w:rPr>
        <w:t xml:space="preserve">plane, one possible </w:t>
      </w:r>
      <w:r w:rsidRPr="00A14B92">
        <w:rPr>
          <w:lang w:eastAsia="sv-SE"/>
        </w:rPr>
        <w:t xml:space="preserve">solution may be to perform the EMC RI testing of the IAB only at </w:t>
      </w:r>
      <w:r w:rsidR="00CD7661" w:rsidRPr="00A14B92">
        <w:rPr>
          <w:lang w:eastAsia="sv-SE"/>
        </w:rPr>
        <w:t xml:space="preserve">its </w:t>
      </w:r>
      <w:r w:rsidRPr="00A14B92">
        <w:rPr>
          <w:lang w:eastAsia="sv-SE"/>
        </w:rPr>
        <w:t xml:space="preserve">top and bottom </w:t>
      </w:r>
      <w:r w:rsidR="00CD7661" w:rsidRPr="00A14B92">
        <w:rPr>
          <w:lang w:eastAsia="sv-SE"/>
        </w:rPr>
        <w:t>of the enclosure</w:t>
      </w:r>
      <w:r w:rsidRPr="00A14B92">
        <w:rPr>
          <w:lang w:eastAsia="sv-SE"/>
        </w:rPr>
        <w:t xml:space="preserve">. </w:t>
      </w:r>
    </w:p>
    <w:p w14:paraId="220EA6E8" w14:textId="1220AF3B" w:rsidR="00F97AC4" w:rsidRPr="00A14B92" w:rsidRDefault="00F97AC4" w:rsidP="003208A6">
      <w:pPr>
        <w:rPr>
          <w:lang w:eastAsia="sv-SE"/>
        </w:rPr>
      </w:pPr>
      <w:r w:rsidRPr="00A14B92">
        <w:rPr>
          <w:b/>
          <w:lang w:eastAsia="sv-SE"/>
        </w:rPr>
        <w:t>Proposal 1</w:t>
      </w:r>
      <w:r w:rsidR="00A14B92" w:rsidRPr="00A14B92">
        <w:rPr>
          <w:b/>
          <w:lang w:eastAsia="sv-SE"/>
        </w:rPr>
        <w:t xml:space="preserve">: </w:t>
      </w:r>
      <w:r w:rsidR="00A14B92" w:rsidRPr="00A14B92">
        <w:rPr>
          <w:lang w:eastAsia="sv-SE"/>
        </w:rPr>
        <w:t xml:space="preserve">if application of the spatial exclusion causes lack of EMC RI testing directions for IAB in the horizontal domain, the EUT shall be tested at the top and </w:t>
      </w:r>
      <w:r w:rsidR="00D74DAE" w:rsidRPr="00A14B92">
        <w:rPr>
          <w:lang w:eastAsia="sv-SE"/>
        </w:rPr>
        <w:t>bottom</w:t>
      </w:r>
      <w:r w:rsidR="00A14B92" w:rsidRPr="00A14B92">
        <w:rPr>
          <w:lang w:eastAsia="sv-SE"/>
        </w:rPr>
        <w:t xml:space="preserve"> directions, if technically feasible. </w:t>
      </w:r>
    </w:p>
    <w:p w14:paraId="4AA88FE7" w14:textId="277708F2" w:rsidR="00A82618" w:rsidRDefault="00A82618" w:rsidP="00A82618">
      <w:pPr>
        <w:pStyle w:val="Heading1"/>
        <w:numPr>
          <w:ilvl w:val="2"/>
          <w:numId w:val="2"/>
        </w:numPr>
        <w:rPr>
          <w:lang w:eastAsia="sv-SE"/>
        </w:rPr>
      </w:pPr>
      <w:r>
        <w:rPr>
          <w:lang w:eastAsia="sv-SE"/>
        </w:rPr>
        <w:t>Determination of the array boresights</w:t>
      </w:r>
    </w:p>
    <w:p w14:paraId="7A01D81E" w14:textId="0586045F" w:rsidR="00F97AC4" w:rsidRPr="000834A0" w:rsidRDefault="000834A0" w:rsidP="00A82618">
      <w:pPr>
        <w:rPr>
          <w:lang w:eastAsia="sv-SE"/>
        </w:rPr>
      </w:pPr>
      <w:r>
        <w:rPr>
          <w:lang w:eastAsia="sv-SE"/>
        </w:rPr>
        <w:t>For the purpose of the EMC RI testing, the IAB will have to be in operational mode. This will require two radio links to be established. As we shall have no assumption on the number of IAB antenna arrays, there is need to determine which arrays are to be used, and how to configure them</w:t>
      </w:r>
      <w:r w:rsidR="00F97AC4" w:rsidRPr="00A82618">
        <w:rPr>
          <w:lang w:eastAsia="sv-SE"/>
        </w:rPr>
        <w:t xml:space="preserve">: </w:t>
      </w:r>
    </w:p>
    <w:p w14:paraId="501BE9FB" w14:textId="728ACDF0" w:rsidR="00F97AC4" w:rsidRPr="000834A0" w:rsidRDefault="00F97AC4" w:rsidP="00A82618">
      <w:pPr>
        <w:pStyle w:val="ListParagraph"/>
        <w:numPr>
          <w:ilvl w:val="0"/>
          <w:numId w:val="27"/>
        </w:numPr>
        <w:rPr>
          <w:rFonts w:ascii="Times New Roman" w:hAnsi="Times New Roman" w:cs="Times New Roman"/>
          <w:sz w:val="20"/>
          <w:szCs w:val="20"/>
          <w:lang w:eastAsia="sv-SE"/>
        </w:rPr>
      </w:pPr>
      <w:r w:rsidRPr="000834A0">
        <w:rPr>
          <w:rFonts w:ascii="Times New Roman" w:hAnsi="Times New Roman" w:cs="Times New Roman"/>
          <w:sz w:val="20"/>
          <w:szCs w:val="20"/>
          <w:lang w:eastAsia="sv-SE"/>
        </w:rPr>
        <w:t xml:space="preserve">White box approach: manufacturer may declare locations of all the antenna arrays of the IAB node, e.g. refer to the Coordinate system reference point (note: depending on the product, multiple such points may be required, one per panel/antenna array) and Coordinate system orientation as already used for the NR BS conformance testing.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11"/>
        <w:gridCol w:w="2368"/>
        <w:gridCol w:w="6752"/>
      </w:tblGrid>
      <w:tr w:rsidR="00F97AC4" w:rsidRPr="000834A0" w14:paraId="73574670" w14:textId="77777777" w:rsidTr="00E2712E">
        <w:trPr>
          <w:cantSplit/>
          <w:jc w:val="center"/>
        </w:trPr>
        <w:tc>
          <w:tcPr>
            <w:tcW w:w="0" w:type="auto"/>
            <w:tcBorders>
              <w:top w:val="single" w:sz="4" w:space="0" w:color="auto"/>
              <w:left w:val="single" w:sz="4" w:space="0" w:color="auto"/>
              <w:bottom w:val="single" w:sz="4" w:space="0" w:color="auto"/>
              <w:right w:val="single" w:sz="4" w:space="0" w:color="auto"/>
            </w:tcBorders>
          </w:tcPr>
          <w:p w14:paraId="019C4984" w14:textId="77777777" w:rsidR="00F97AC4" w:rsidRPr="000834A0" w:rsidRDefault="00F97AC4" w:rsidP="009D070E">
            <w:pPr>
              <w:pStyle w:val="TAL"/>
              <w:rPr>
                <w:rFonts w:ascii="Times New Roman" w:hAnsi="Times New Roman"/>
                <w:sz w:val="20"/>
              </w:rPr>
            </w:pPr>
            <w:r w:rsidRPr="000834A0">
              <w:rPr>
                <w:rFonts w:ascii="Times New Roman" w:hAnsi="Times New Roman"/>
                <w:sz w:val="20"/>
              </w:rPr>
              <w:t>D.1</w:t>
            </w:r>
          </w:p>
        </w:tc>
        <w:tc>
          <w:tcPr>
            <w:tcW w:w="0" w:type="auto"/>
            <w:tcBorders>
              <w:top w:val="single" w:sz="4" w:space="0" w:color="auto"/>
              <w:left w:val="single" w:sz="4" w:space="0" w:color="auto"/>
              <w:bottom w:val="single" w:sz="4" w:space="0" w:color="auto"/>
              <w:right w:val="single" w:sz="4" w:space="0" w:color="auto"/>
            </w:tcBorders>
          </w:tcPr>
          <w:p w14:paraId="63BD0359" w14:textId="77777777" w:rsidR="00F97AC4" w:rsidRPr="000834A0" w:rsidRDefault="00F97AC4" w:rsidP="009D070E">
            <w:pPr>
              <w:pStyle w:val="TAL"/>
              <w:rPr>
                <w:rFonts w:ascii="Times New Roman" w:hAnsi="Times New Roman"/>
                <w:sz w:val="20"/>
              </w:rPr>
            </w:pPr>
            <w:r w:rsidRPr="000834A0">
              <w:rPr>
                <w:rFonts w:ascii="Times New Roman" w:hAnsi="Times New Roman"/>
                <w:sz w:val="20"/>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65366897" w14:textId="77777777" w:rsidR="00F97AC4" w:rsidRPr="000834A0" w:rsidRDefault="00F97AC4" w:rsidP="009D070E">
            <w:pPr>
              <w:pStyle w:val="TAL"/>
              <w:rPr>
                <w:rFonts w:ascii="Times New Roman" w:hAnsi="Times New Roman"/>
                <w:sz w:val="20"/>
              </w:rPr>
            </w:pPr>
            <w:r w:rsidRPr="000834A0">
              <w:rPr>
                <w:rFonts w:ascii="Times New Roman" w:hAnsi="Times New Roman"/>
                <w:sz w:val="20"/>
              </w:rPr>
              <w:t xml:space="preserve">Location of coordinated system reference point </w:t>
            </w:r>
            <w:r w:rsidRPr="000834A0">
              <w:rPr>
                <w:rFonts w:ascii="Times New Roman" w:hAnsi="Times New Roman"/>
                <w:sz w:val="20"/>
                <w:lang w:eastAsia="zh-CN"/>
              </w:rPr>
              <w:t>in reference to an identifiable physical feature of the BS enclosure.</w:t>
            </w:r>
          </w:p>
        </w:tc>
      </w:tr>
      <w:tr w:rsidR="00F97AC4" w:rsidRPr="000834A0" w14:paraId="11145057" w14:textId="77777777" w:rsidTr="00E2712E">
        <w:trPr>
          <w:cantSplit/>
          <w:jc w:val="center"/>
        </w:trPr>
        <w:tc>
          <w:tcPr>
            <w:tcW w:w="0" w:type="auto"/>
            <w:tcBorders>
              <w:top w:val="single" w:sz="4" w:space="0" w:color="auto"/>
              <w:left w:val="single" w:sz="4" w:space="0" w:color="auto"/>
              <w:bottom w:val="single" w:sz="4" w:space="0" w:color="auto"/>
              <w:right w:val="single" w:sz="4" w:space="0" w:color="auto"/>
            </w:tcBorders>
          </w:tcPr>
          <w:p w14:paraId="763631DE" w14:textId="77777777" w:rsidR="00F97AC4" w:rsidRPr="000834A0" w:rsidRDefault="00F97AC4" w:rsidP="009D070E">
            <w:pPr>
              <w:pStyle w:val="TAL"/>
              <w:rPr>
                <w:rFonts w:ascii="Times New Roman" w:hAnsi="Times New Roman"/>
                <w:sz w:val="20"/>
              </w:rPr>
            </w:pPr>
            <w:r w:rsidRPr="000834A0">
              <w:rPr>
                <w:rFonts w:ascii="Times New Roman" w:hAnsi="Times New Roman"/>
                <w:sz w:val="20"/>
              </w:rPr>
              <w:t>D.2</w:t>
            </w:r>
          </w:p>
        </w:tc>
        <w:tc>
          <w:tcPr>
            <w:tcW w:w="0" w:type="auto"/>
            <w:tcBorders>
              <w:top w:val="single" w:sz="4" w:space="0" w:color="auto"/>
              <w:left w:val="single" w:sz="4" w:space="0" w:color="auto"/>
              <w:bottom w:val="single" w:sz="4" w:space="0" w:color="auto"/>
              <w:right w:val="single" w:sz="4" w:space="0" w:color="auto"/>
            </w:tcBorders>
          </w:tcPr>
          <w:p w14:paraId="1824032B" w14:textId="77777777" w:rsidR="00F97AC4" w:rsidRPr="000834A0" w:rsidRDefault="00F97AC4" w:rsidP="009D070E">
            <w:pPr>
              <w:pStyle w:val="TAL"/>
              <w:rPr>
                <w:rFonts w:ascii="Times New Roman" w:hAnsi="Times New Roman"/>
                <w:sz w:val="20"/>
              </w:rPr>
            </w:pPr>
            <w:r w:rsidRPr="000834A0">
              <w:rPr>
                <w:rFonts w:ascii="Times New Roman" w:hAnsi="Times New Roman"/>
                <w:sz w:val="20"/>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389A434A" w14:textId="77777777" w:rsidR="00F97AC4" w:rsidRPr="000834A0" w:rsidRDefault="00F97AC4" w:rsidP="009D070E">
            <w:pPr>
              <w:pStyle w:val="TAL"/>
              <w:rPr>
                <w:rFonts w:ascii="Times New Roman" w:hAnsi="Times New Roman"/>
                <w:sz w:val="20"/>
              </w:rPr>
            </w:pPr>
            <w:r w:rsidRPr="000834A0">
              <w:rPr>
                <w:rFonts w:ascii="Times New Roman" w:hAnsi="Times New Roman"/>
                <w:sz w:val="20"/>
              </w:rPr>
              <w:t>Orientation of the coordinate system</w:t>
            </w:r>
            <w:r w:rsidRPr="000834A0">
              <w:rPr>
                <w:rFonts w:ascii="Times New Roman" w:hAnsi="Times New Roman"/>
                <w:sz w:val="20"/>
                <w:lang w:eastAsia="zh-CN"/>
              </w:rPr>
              <w:t xml:space="preserve"> in reference to an identifiable physical feature of the BS enclosure.</w:t>
            </w:r>
          </w:p>
        </w:tc>
      </w:tr>
    </w:tbl>
    <w:p w14:paraId="66FB1ECF" w14:textId="77777777" w:rsidR="00A82618" w:rsidRPr="000834A0" w:rsidRDefault="00A82618" w:rsidP="00A82618">
      <w:pPr>
        <w:rPr>
          <w:lang w:eastAsia="sv-SE"/>
        </w:rPr>
      </w:pPr>
    </w:p>
    <w:p w14:paraId="2725D26C" w14:textId="20BC130C" w:rsidR="00F97AC4" w:rsidRPr="000834A0" w:rsidRDefault="00F97AC4" w:rsidP="00A82618">
      <w:pPr>
        <w:pStyle w:val="ListParagraph"/>
        <w:numPr>
          <w:ilvl w:val="0"/>
          <w:numId w:val="25"/>
        </w:numPr>
        <w:rPr>
          <w:rFonts w:ascii="Times New Roman" w:hAnsi="Times New Roman" w:cs="Times New Roman"/>
          <w:sz w:val="20"/>
          <w:szCs w:val="20"/>
          <w:lang w:eastAsia="sv-SE"/>
        </w:rPr>
      </w:pPr>
      <w:r w:rsidRPr="000834A0">
        <w:rPr>
          <w:rFonts w:ascii="Times New Roman" w:hAnsi="Times New Roman" w:cs="Times New Roman"/>
          <w:sz w:val="20"/>
          <w:szCs w:val="20"/>
          <w:lang w:eastAsia="sv-SE"/>
        </w:rPr>
        <w:t xml:space="preserve">Black box approach: in case the locations of the </w:t>
      </w:r>
      <w:r w:rsidR="00EC1E61" w:rsidRPr="000834A0">
        <w:rPr>
          <w:rFonts w:ascii="Times New Roman" w:hAnsi="Times New Roman" w:cs="Times New Roman"/>
          <w:sz w:val="20"/>
          <w:szCs w:val="20"/>
          <w:lang w:eastAsia="sv-SE"/>
        </w:rPr>
        <w:t xml:space="preserve">antenna arrays are not known to the tester, </w:t>
      </w:r>
      <w:r w:rsidRPr="000834A0">
        <w:rPr>
          <w:rFonts w:ascii="Times New Roman" w:hAnsi="Times New Roman" w:cs="Times New Roman"/>
          <w:sz w:val="20"/>
          <w:szCs w:val="20"/>
          <w:lang w:eastAsia="sv-SE"/>
        </w:rPr>
        <w:t xml:space="preserve">it may be required to perform spatial scanning in order to determine the </w:t>
      </w:r>
      <w:r w:rsidR="00EC1E61" w:rsidRPr="000834A0">
        <w:rPr>
          <w:rFonts w:ascii="Times New Roman" w:hAnsi="Times New Roman" w:cs="Times New Roman"/>
          <w:sz w:val="20"/>
          <w:szCs w:val="20"/>
          <w:lang w:eastAsia="sv-SE"/>
        </w:rPr>
        <w:t xml:space="preserve">boresights </w:t>
      </w:r>
      <w:r w:rsidRPr="000834A0">
        <w:rPr>
          <w:rFonts w:ascii="Times New Roman" w:hAnsi="Times New Roman" w:cs="Times New Roman"/>
          <w:sz w:val="20"/>
          <w:szCs w:val="20"/>
          <w:lang w:eastAsia="sv-SE"/>
        </w:rPr>
        <w:t>of all the antenna arrays</w:t>
      </w:r>
      <w:r w:rsidR="00EC1E61" w:rsidRPr="000834A0">
        <w:rPr>
          <w:rFonts w:ascii="Times New Roman" w:hAnsi="Times New Roman" w:cs="Times New Roman"/>
          <w:sz w:val="20"/>
          <w:szCs w:val="20"/>
          <w:lang w:eastAsia="sv-SE"/>
        </w:rPr>
        <w:t xml:space="preserve"> of the IAB node</w:t>
      </w:r>
      <w:r w:rsidRPr="000834A0">
        <w:rPr>
          <w:rFonts w:ascii="Times New Roman" w:hAnsi="Times New Roman" w:cs="Times New Roman"/>
          <w:sz w:val="20"/>
          <w:szCs w:val="20"/>
          <w:lang w:eastAsia="sv-SE"/>
        </w:rPr>
        <w:t xml:space="preserve">. </w:t>
      </w:r>
    </w:p>
    <w:p w14:paraId="5B10EF76" w14:textId="77777777" w:rsidR="00131AE1" w:rsidRDefault="00131AE1" w:rsidP="003208A6">
      <w:pPr>
        <w:rPr>
          <w:b/>
          <w:lang w:eastAsia="sv-SE"/>
        </w:rPr>
      </w:pPr>
    </w:p>
    <w:p w14:paraId="21B192C3" w14:textId="24E31B99" w:rsidR="00F97AC4" w:rsidRDefault="00131AE1" w:rsidP="003208A6">
      <w:pPr>
        <w:rPr>
          <w:lang w:eastAsia="sv-SE"/>
        </w:rPr>
      </w:pPr>
      <w:r w:rsidRPr="000834A0">
        <w:rPr>
          <w:b/>
          <w:lang w:eastAsia="sv-SE"/>
        </w:rPr>
        <w:t xml:space="preserve">Proposal 2: </w:t>
      </w:r>
      <w:r w:rsidRPr="000834A0">
        <w:rPr>
          <w:lang w:eastAsia="sv-SE"/>
        </w:rPr>
        <w:t>further study both white box and</w:t>
      </w:r>
      <w:r>
        <w:rPr>
          <w:lang w:eastAsia="sv-SE"/>
        </w:rPr>
        <w:t xml:space="preserve"> black box approache</w:t>
      </w:r>
      <w:r w:rsidR="000834A0">
        <w:rPr>
          <w:lang w:eastAsia="sv-SE"/>
        </w:rPr>
        <w:t>s</w:t>
      </w:r>
      <w:r>
        <w:rPr>
          <w:lang w:eastAsia="sv-SE"/>
        </w:rPr>
        <w:t xml:space="preserve"> for the determination of the IAB arrays boresights. </w:t>
      </w:r>
    </w:p>
    <w:p w14:paraId="01D7C550" w14:textId="77777777" w:rsidR="00686A5F" w:rsidRDefault="00131AE1" w:rsidP="00686A5F">
      <w:pPr>
        <w:rPr>
          <w:b/>
          <w:lang w:eastAsia="sv-SE"/>
        </w:rPr>
      </w:pPr>
      <w:r>
        <w:rPr>
          <w:b/>
          <w:lang w:eastAsia="sv-SE"/>
        </w:rPr>
        <w:t>Proposal 3</w:t>
      </w:r>
      <w:r w:rsidRPr="00A14B92">
        <w:rPr>
          <w:b/>
          <w:lang w:eastAsia="sv-SE"/>
        </w:rPr>
        <w:t>:</w:t>
      </w:r>
      <w:r>
        <w:rPr>
          <w:b/>
          <w:lang w:eastAsia="sv-SE"/>
        </w:rPr>
        <w:t xml:space="preserve"> </w:t>
      </w:r>
      <w:r w:rsidRPr="00131AE1">
        <w:rPr>
          <w:lang w:eastAsia="sv-SE"/>
        </w:rPr>
        <w:t>for the white box approach, introduce necessary manufacturer’s declarations into the IAB conformance testing specification.</w:t>
      </w:r>
      <w:r>
        <w:rPr>
          <w:lang w:eastAsia="sv-SE"/>
        </w:rPr>
        <w:t xml:space="preserve"> Further study in the RF session is required. </w:t>
      </w:r>
      <w:r>
        <w:rPr>
          <w:b/>
          <w:lang w:eastAsia="sv-SE"/>
        </w:rPr>
        <w:t xml:space="preserve">  </w:t>
      </w:r>
    </w:p>
    <w:p w14:paraId="0FBA86F3" w14:textId="2E631F58" w:rsidR="00686A5F" w:rsidRDefault="00686A5F" w:rsidP="00686A5F">
      <w:pPr>
        <w:rPr>
          <w:lang w:eastAsia="sv-SE"/>
        </w:rPr>
      </w:pPr>
      <w:r w:rsidRPr="000834A0">
        <w:rPr>
          <w:lang w:eastAsia="sv-SE"/>
        </w:rPr>
        <w:t xml:space="preserve">The </w:t>
      </w:r>
      <w:r>
        <w:rPr>
          <w:lang w:eastAsia="sv-SE"/>
        </w:rPr>
        <w:t xml:space="preserve">aspect of the configuration of selected antenna arrays by the tester is expected to be discussed in RF room as well. EMC discussion is suggested to follow RF conformance testing agreements. Still, further analyses for EMC purposes shall not be precluded. </w:t>
      </w:r>
    </w:p>
    <w:p w14:paraId="580871D0" w14:textId="184DEFA4" w:rsidR="00686A5F" w:rsidRPr="000834A0" w:rsidRDefault="00686A5F" w:rsidP="00686A5F">
      <w:pPr>
        <w:rPr>
          <w:lang w:eastAsia="sv-SE"/>
        </w:rPr>
      </w:pPr>
      <w:r w:rsidRPr="00686A5F">
        <w:rPr>
          <w:b/>
          <w:lang w:eastAsia="sv-SE"/>
        </w:rPr>
        <w:t xml:space="preserve">Proposal 4: </w:t>
      </w:r>
      <w:r w:rsidRPr="00686A5F">
        <w:rPr>
          <w:lang w:eastAsia="sv-SE"/>
        </w:rPr>
        <w:t>Further study on the selection/activation of the IAB’s arrays for the purposes of EMC RI testing.</w:t>
      </w:r>
    </w:p>
    <w:p w14:paraId="4D123157" w14:textId="45332DD3" w:rsidR="00131AE1" w:rsidRDefault="00131AE1" w:rsidP="003208A6">
      <w:pPr>
        <w:rPr>
          <w:b/>
          <w:highlight w:val="yellow"/>
          <w:lang w:eastAsia="sv-SE"/>
        </w:rPr>
      </w:pPr>
    </w:p>
    <w:p w14:paraId="7F5B979B" w14:textId="2E7CC4FD" w:rsidR="00CD7661" w:rsidRDefault="00CD7661" w:rsidP="00CD7661">
      <w:pPr>
        <w:pStyle w:val="Heading1"/>
        <w:numPr>
          <w:ilvl w:val="2"/>
          <w:numId w:val="28"/>
        </w:numPr>
        <w:rPr>
          <w:lang w:eastAsia="sv-SE"/>
        </w:rPr>
      </w:pPr>
      <w:r>
        <w:rPr>
          <w:lang w:eastAsia="sv-SE"/>
        </w:rPr>
        <w:lastRenderedPageBreak/>
        <w:t>Interpretation of the IEC 61000-4-3</w:t>
      </w:r>
    </w:p>
    <w:p w14:paraId="363E4E05" w14:textId="77777777" w:rsidR="00CD7661" w:rsidRDefault="00CD7661" w:rsidP="00CD7661">
      <w:pPr>
        <w:pStyle w:val="NO"/>
        <w:ind w:left="0" w:firstLine="0"/>
        <w:rPr>
          <w:lang w:eastAsia="sv-SE"/>
        </w:rPr>
      </w:pPr>
      <w:r>
        <w:rPr>
          <w:lang w:eastAsia="sv-SE"/>
        </w:rPr>
        <w:t xml:space="preserve">Referring to IEC 61000-4-3, the following is stated for the testing procedure: </w:t>
      </w:r>
    </w:p>
    <w:p w14:paraId="0F43F4C1" w14:textId="77777777" w:rsidR="00CD7661" w:rsidRPr="002F77AF" w:rsidRDefault="00CD7661" w:rsidP="00CD7661">
      <w:pPr>
        <w:pStyle w:val="NO"/>
        <w:rPr>
          <w:i/>
          <w:lang w:eastAsia="sv-SE"/>
        </w:rPr>
      </w:pPr>
      <w:r w:rsidRPr="002F77AF">
        <w:rPr>
          <w:i/>
          <w:lang w:eastAsia="sv-SE"/>
        </w:rPr>
        <w:t xml:space="preserve">“The test shall normally be performed with the generating antenna facing </w:t>
      </w:r>
      <w:r w:rsidRPr="00CD7661">
        <w:rPr>
          <w:b/>
          <w:i/>
          <w:lang w:eastAsia="sv-SE"/>
        </w:rPr>
        <w:t>each side of the EUT.</w:t>
      </w:r>
      <w:r w:rsidRPr="002F77AF">
        <w:rPr>
          <w:i/>
          <w:lang w:eastAsia="sv-SE"/>
        </w:rPr>
        <w:t xml:space="preserve"> When equipment can be used in different orientations (i.e. vertical or horizontal) all sides shall be exposed to the field during the test. When technically justified, some EUTs can be tested by exposing fewer faces to the generating antenna. In other cases, as determined for example by the type and size of EUT or the frequencies of test, more than four azimuths may need to be exposed.”</w:t>
      </w:r>
    </w:p>
    <w:p w14:paraId="6AE38A52" w14:textId="76A11837" w:rsidR="00CD7661" w:rsidRPr="00CD7661" w:rsidRDefault="00CD7661" w:rsidP="003208A6">
      <w:pPr>
        <w:rPr>
          <w:lang w:eastAsia="sv-SE"/>
        </w:rPr>
      </w:pPr>
      <w:r w:rsidRPr="00CD7661">
        <w:rPr>
          <w:lang w:eastAsia="sv-SE"/>
        </w:rPr>
        <w:t>Based on the above discussion, it is not entirely clear what shall be meant by “</w:t>
      </w:r>
      <w:r w:rsidRPr="00CD7661">
        <w:rPr>
          <w:i/>
          <w:lang w:eastAsia="sv-SE"/>
        </w:rPr>
        <w:t>each side of the EUT</w:t>
      </w:r>
      <w:r w:rsidRPr="00CD7661">
        <w:rPr>
          <w:lang w:eastAsia="sv-SE"/>
        </w:rPr>
        <w:t xml:space="preserve">”. </w:t>
      </w:r>
    </w:p>
    <w:p w14:paraId="3D1148E9" w14:textId="0E391530" w:rsidR="00CD7661" w:rsidRPr="00CD7661" w:rsidRDefault="00CD7661" w:rsidP="003208A6">
      <w:pPr>
        <w:rPr>
          <w:lang w:eastAsia="sv-SE"/>
        </w:rPr>
      </w:pPr>
      <w:r w:rsidRPr="00CD7661">
        <w:rPr>
          <w:lang w:eastAsia="sv-SE"/>
        </w:rPr>
        <w:t>Furthermore the test on orientations (“</w:t>
      </w:r>
      <w:r w:rsidRPr="00CD7661">
        <w:rPr>
          <w:i/>
          <w:lang w:eastAsia="sv-SE"/>
        </w:rPr>
        <w:t>When equipment can be used in different orientations (i.e. vertical or horizontal) all sides shall be exposed to the field during the test</w:t>
      </w:r>
      <w:r w:rsidRPr="00CD7661">
        <w:rPr>
          <w:lang w:eastAsia="sv-SE"/>
        </w:rPr>
        <w:t>”)</w:t>
      </w:r>
      <w:r>
        <w:rPr>
          <w:lang w:eastAsia="sv-SE"/>
        </w:rPr>
        <w:t xml:space="preserve">: from IAB point of view, it will used only in horizontal orientation. Does that allow </w:t>
      </w:r>
      <w:r w:rsidRPr="00CD7661">
        <w:rPr>
          <w:lang w:eastAsia="sv-SE"/>
        </w:rPr>
        <w:t xml:space="preserve">to show </w:t>
      </w:r>
      <w:r>
        <w:rPr>
          <w:lang w:eastAsia="sv-SE"/>
        </w:rPr>
        <w:t xml:space="preserve">IAB’s </w:t>
      </w:r>
      <w:r w:rsidRPr="00CD7661">
        <w:rPr>
          <w:lang w:eastAsia="sv-SE"/>
        </w:rPr>
        <w:t xml:space="preserve">compliance </w:t>
      </w:r>
      <w:r>
        <w:rPr>
          <w:lang w:eastAsia="sv-SE"/>
        </w:rPr>
        <w:t xml:space="preserve">by testing top and bottom </w:t>
      </w:r>
      <w:r w:rsidRPr="00CD7661">
        <w:rPr>
          <w:lang w:eastAsia="sv-SE"/>
        </w:rPr>
        <w:t>directions only (as other directions are excluded due to antenna array locations).</w:t>
      </w:r>
    </w:p>
    <w:p w14:paraId="1D2AF4C3" w14:textId="3EEE9473" w:rsidR="00CD7661" w:rsidRPr="00CD7661" w:rsidRDefault="00CD7661" w:rsidP="003208A6">
      <w:pPr>
        <w:rPr>
          <w:lang w:eastAsia="sv-SE"/>
        </w:rPr>
      </w:pPr>
      <w:r w:rsidRPr="00CD7661">
        <w:rPr>
          <w:lang w:eastAsia="sv-SE"/>
        </w:rPr>
        <w:t xml:space="preserve">The above aspects require further analysis. </w:t>
      </w:r>
    </w:p>
    <w:p w14:paraId="70DDD500" w14:textId="6FFE7CA7" w:rsidR="00A82618" w:rsidRPr="00CD7661" w:rsidRDefault="00A82618" w:rsidP="003208A6">
      <w:pPr>
        <w:rPr>
          <w:lang w:eastAsia="sv-SE"/>
        </w:rPr>
      </w:pPr>
      <w:r w:rsidRPr="00CD7661">
        <w:rPr>
          <w:b/>
          <w:lang w:eastAsia="sv-SE"/>
        </w:rPr>
        <w:t>Observation</w:t>
      </w:r>
      <w:r w:rsidRPr="00CD7661">
        <w:rPr>
          <w:lang w:eastAsia="sv-SE"/>
        </w:rPr>
        <w:t xml:space="preserve">: </w:t>
      </w:r>
      <w:r w:rsidR="00CD7661" w:rsidRPr="00CD7661">
        <w:rPr>
          <w:lang w:eastAsia="sv-SE"/>
        </w:rPr>
        <w:t xml:space="preserve">existing IEC 61000-4-3 specification text requires clarification when it comes to the analysed IAB implementations testing. </w:t>
      </w:r>
    </w:p>
    <w:p w14:paraId="1101162C" w14:textId="33919329" w:rsidR="00CD7661" w:rsidRPr="00CD7661" w:rsidRDefault="00CD7661" w:rsidP="003208A6">
      <w:pPr>
        <w:rPr>
          <w:lang w:eastAsia="sv-SE"/>
        </w:rPr>
      </w:pPr>
      <w:r w:rsidRPr="00CD7661">
        <w:rPr>
          <w:b/>
          <w:lang w:eastAsia="sv-SE"/>
        </w:rPr>
        <w:t>Proposal</w:t>
      </w:r>
      <w:r w:rsidR="00EE35AC">
        <w:rPr>
          <w:b/>
          <w:lang w:eastAsia="sv-SE"/>
        </w:rPr>
        <w:t xml:space="preserve"> </w:t>
      </w:r>
      <w:r w:rsidR="00686A5F">
        <w:rPr>
          <w:b/>
          <w:lang w:eastAsia="sv-SE"/>
        </w:rPr>
        <w:t>5</w:t>
      </w:r>
      <w:r w:rsidRPr="00CD7661">
        <w:rPr>
          <w:lang w:eastAsia="sv-SE"/>
        </w:rPr>
        <w:t>: send</w:t>
      </w:r>
      <w:r w:rsidR="00420444">
        <w:rPr>
          <w:lang w:eastAsia="sv-SE"/>
        </w:rPr>
        <w:t xml:space="preserve"> </w:t>
      </w:r>
      <w:r w:rsidRPr="00CD7661">
        <w:rPr>
          <w:lang w:eastAsia="sv-SE"/>
        </w:rPr>
        <w:t>LS to IEC to describe challenges in RAN4 for the EMC RI test setup for IAB</w:t>
      </w:r>
      <w:r w:rsidR="00420444">
        <w:rPr>
          <w:lang w:eastAsia="sv-SE"/>
        </w:rPr>
        <w:t>, and ask for guidance, or IEC spec updates</w:t>
      </w:r>
      <w:r w:rsidRPr="00CD7661">
        <w:rPr>
          <w:lang w:eastAsia="sv-SE"/>
        </w:rPr>
        <w:t xml:space="preserve">. </w:t>
      </w:r>
      <w:r w:rsidR="00686A5F">
        <w:rPr>
          <w:lang w:eastAsia="sv-SE"/>
        </w:rPr>
        <w:t>Timing of the LS is FFS.</w:t>
      </w:r>
    </w:p>
    <w:p w14:paraId="4B5C5F80" w14:textId="68F102D9" w:rsidR="00B65B96" w:rsidRPr="00440201" w:rsidRDefault="00B65B96" w:rsidP="00CD7661">
      <w:pPr>
        <w:pStyle w:val="Heading1"/>
        <w:numPr>
          <w:ilvl w:val="0"/>
          <w:numId w:val="28"/>
        </w:numPr>
        <w:rPr>
          <w:lang w:eastAsia="sv-SE"/>
        </w:rPr>
      </w:pPr>
      <w:r w:rsidRPr="00440201">
        <w:rPr>
          <w:lang w:eastAsia="sv-SE"/>
        </w:rPr>
        <w:t>Conclusions</w:t>
      </w:r>
    </w:p>
    <w:p w14:paraId="25DD2164" w14:textId="158DFE9B" w:rsidR="00770C24" w:rsidRDefault="00867032" w:rsidP="00AF4F3E">
      <w:pPr>
        <w:rPr>
          <w:lang w:eastAsia="sv-SE"/>
        </w:rPr>
      </w:pPr>
      <w:r w:rsidRPr="00440201">
        <w:rPr>
          <w:lang w:eastAsia="sv-SE"/>
        </w:rPr>
        <w:t xml:space="preserve">Based on the above discussion, the following </w:t>
      </w:r>
      <w:r w:rsidR="000834A0">
        <w:rPr>
          <w:lang w:eastAsia="sv-SE"/>
        </w:rPr>
        <w:t>proposals were formulated</w:t>
      </w:r>
      <w:r w:rsidRPr="00440201">
        <w:rPr>
          <w:lang w:eastAsia="sv-SE"/>
        </w:rPr>
        <w:t xml:space="preserve">: </w:t>
      </w:r>
      <w:r w:rsidR="00397BBE" w:rsidRPr="00440201">
        <w:rPr>
          <w:lang w:eastAsia="sv-SE"/>
        </w:rPr>
        <w:t xml:space="preserve"> </w:t>
      </w:r>
    </w:p>
    <w:p w14:paraId="1FE98360" w14:textId="77777777" w:rsidR="000834A0" w:rsidRPr="00A14B92" w:rsidRDefault="000834A0" w:rsidP="000834A0">
      <w:pPr>
        <w:rPr>
          <w:lang w:eastAsia="sv-SE"/>
        </w:rPr>
      </w:pPr>
      <w:r w:rsidRPr="00A14B92">
        <w:rPr>
          <w:b/>
          <w:lang w:eastAsia="sv-SE"/>
        </w:rPr>
        <w:t xml:space="preserve">Proposal 1: </w:t>
      </w:r>
      <w:r w:rsidRPr="00A14B92">
        <w:rPr>
          <w:lang w:eastAsia="sv-SE"/>
        </w:rPr>
        <w:t xml:space="preserve">if application of the spatial exclusion causes lack of EMC RI testing directions for IAB in the horizontal domain, the EUT shall be tested at the top and bottom directions, if technically feasible. </w:t>
      </w:r>
    </w:p>
    <w:p w14:paraId="1688B8FD" w14:textId="0FB05476" w:rsidR="000834A0" w:rsidRDefault="000834A0" w:rsidP="000834A0">
      <w:pPr>
        <w:rPr>
          <w:lang w:eastAsia="sv-SE"/>
        </w:rPr>
      </w:pPr>
      <w:r>
        <w:rPr>
          <w:b/>
          <w:lang w:eastAsia="sv-SE"/>
        </w:rPr>
        <w:t>Proposal 2</w:t>
      </w:r>
      <w:r w:rsidRPr="00A14B92">
        <w:rPr>
          <w:b/>
          <w:lang w:eastAsia="sv-SE"/>
        </w:rPr>
        <w:t xml:space="preserve">: </w:t>
      </w:r>
      <w:r>
        <w:rPr>
          <w:lang w:eastAsia="sv-SE"/>
        </w:rPr>
        <w:t xml:space="preserve">further study both white box and black box approaches for the determination of the IAB arrays boresights. </w:t>
      </w:r>
    </w:p>
    <w:p w14:paraId="162D6F78" w14:textId="77777777" w:rsidR="000834A0" w:rsidRDefault="000834A0" w:rsidP="000834A0">
      <w:pPr>
        <w:rPr>
          <w:b/>
          <w:highlight w:val="yellow"/>
          <w:lang w:eastAsia="sv-SE"/>
        </w:rPr>
      </w:pPr>
      <w:r>
        <w:rPr>
          <w:b/>
          <w:lang w:eastAsia="sv-SE"/>
        </w:rPr>
        <w:t>Proposal 3</w:t>
      </w:r>
      <w:r w:rsidRPr="00A14B92">
        <w:rPr>
          <w:b/>
          <w:lang w:eastAsia="sv-SE"/>
        </w:rPr>
        <w:t>:</w:t>
      </w:r>
      <w:r>
        <w:rPr>
          <w:b/>
          <w:lang w:eastAsia="sv-SE"/>
        </w:rPr>
        <w:t xml:space="preserve"> </w:t>
      </w:r>
      <w:r w:rsidRPr="00131AE1">
        <w:rPr>
          <w:lang w:eastAsia="sv-SE"/>
        </w:rPr>
        <w:t>for the white box approach, introduce necessary manufacturer’s declarations into the IAB conformance testing specification.</w:t>
      </w:r>
      <w:r>
        <w:rPr>
          <w:lang w:eastAsia="sv-SE"/>
        </w:rPr>
        <w:t xml:space="preserve"> Further study in the RF session is required. </w:t>
      </w:r>
      <w:r>
        <w:rPr>
          <w:b/>
          <w:lang w:eastAsia="sv-SE"/>
        </w:rPr>
        <w:t xml:space="preserve">  </w:t>
      </w:r>
    </w:p>
    <w:p w14:paraId="5F7B1BE5" w14:textId="77777777" w:rsidR="00686A5F" w:rsidRPr="00415865" w:rsidRDefault="00686A5F" w:rsidP="00686A5F">
      <w:pPr>
        <w:rPr>
          <w:lang w:eastAsia="sv-SE"/>
        </w:rPr>
      </w:pPr>
      <w:r w:rsidRPr="00686A5F">
        <w:rPr>
          <w:b/>
          <w:lang w:eastAsia="sv-SE"/>
        </w:rPr>
        <w:t xml:space="preserve">Proposal 4: </w:t>
      </w:r>
      <w:r w:rsidRPr="00686A5F">
        <w:rPr>
          <w:lang w:eastAsia="sv-SE"/>
        </w:rPr>
        <w:t xml:space="preserve">Further study </w:t>
      </w:r>
      <w:r w:rsidRPr="00415865">
        <w:rPr>
          <w:lang w:eastAsia="sv-SE"/>
        </w:rPr>
        <w:t>on the selection/activation of the IAB’s arrays for the purposes of EMC RI testing.</w:t>
      </w:r>
    </w:p>
    <w:p w14:paraId="7CB47258" w14:textId="1BAB5E50" w:rsidR="00A124A1" w:rsidRPr="00415865" w:rsidRDefault="00686A5F" w:rsidP="00AF4F3E">
      <w:pPr>
        <w:rPr>
          <w:lang w:eastAsia="sv-SE"/>
        </w:rPr>
      </w:pPr>
      <w:r w:rsidRPr="00415865">
        <w:rPr>
          <w:b/>
          <w:lang w:eastAsia="sv-SE"/>
        </w:rPr>
        <w:t>Proposal 5</w:t>
      </w:r>
      <w:r w:rsidRPr="00415865">
        <w:rPr>
          <w:lang w:eastAsia="sv-SE"/>
        </w:rPr>
        <w:t>: send LS to IEC to describe challenges in RAN4 for the EMC RI test setup for IAB, and ask for guidance, or IEC spec updates. Timing of the LS is FFS.</w:t>
      </w:r>
    </w:p>
    <w:p w14:paraId="60956F2F" w14:textId="3DBA4F32" w:rsidR="00CF1773" w:rsidRPr="00415865" w:rsidRDefault="00CF1773" w:rsidP="00CD7661">
      <w:pPr>
        <w:pStyle w:val="Heading1"/>
        <w:numPr>
          <w:ilvl w:val="0"/>
          <w:numId w:val="28"/>
        </w:numPr>
        <w:rPr>
          <w:lang w:eastAsia="sv-SE"/>
        </w:rPr>
      </w:pPr>
      <w:r w:rsidRPr="00415865">
        <w:rPr>
          <w:lang w:eastAsia="sv-SE"/>
        </w:rPr>
        <w:t>References</w:t>
      </w:r>
    </w:p>
    <w:p w14:paraId="59CD1020" w14:textId="49F964B0" w:rsidR="00C94E55" w:rsidRPr="00415865" w:rsidRDefault="00C94E55" w:rsidP="00C94E55">
      <w:pPr>
        <w:rPr>
          <w:lang w:eastAsia="sv-SE"/>
        </w:rPr>
      </w:pPr>
      <w:r w:rsidRPr="00415865">
        <w:rPr>
          <w:lang w:eastAsia="sv-SE"/>
        </w:rPr>
        <w:t>[1]</w:t>
      </w:r>
      <w:r w:rsidRPr="00415865">
        <w:rPr>
          <w:lang w:eastAsia="sv-SE"/>
        </w:rPr>
        <w:tab/>
      </w:r>
      <w:r w:rsidRPr="00415865">
        <w:rPr>
          <w:lang w:eastAsia="sv-SE"/>
        </w:rPr>
        <w:tab/>
        <w:t>RP-202927</w:t>
      </w:r>
      <w:r w:rsidRPr="00415865">
        <w:rPr>
          <w:lang w:eastAsia="sv-SE"/>
        </w:rPr>
        <w:tab/>
        <w:t>New WID proposal for NR Repeaters, RAN#90-e</w:t>
      </w:r>
    </w:p>
    <w:sectPr w:rsidR="00C94E55" w:rsidRPr="004158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3AB83" w14:textId="77777777" w:rsidR="00B318E5" w:rsidRDefault="00B318E5">
      <w:r>
        <w:separator/>
      </w:r>
    </w:p>
  </w:endnote>
  <w:endnote w:type="continuationSeparator" w:id="0">
    <w:p w14:paraId="790F1959" w14:textId="77777777" w:rsidR="00B318E5" w:rsidRDefault="00B31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23196" w14:textId="77777777" w:rsidR="00B318E5" w:rsidRDefault="00B318E5">
      <w:r>
        <w:separator/>
      </w:r>
    </w:p>
  </w:footnote>
  <w:footnote w:type="continuationSeparator" w:id="0">
    <w:p w14:paraId="0EE3F658" w14:textId="77777777" w:rsidR="00B318E5" w:rsidRDefault="00B318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3708BB"/>
    <w:multiLevelType w:val="hybridMultilevel"/>
    <w:tmpl w:val="251C0A2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F096161"/>
    <w:multiLevelType w:val="hybridMultilevel"/>
    <w:tmpl w:val="FB162562"/>
    <w:lvl w:ilvl="0" w:tplc="7914848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B27E56"/>
    <w:multiLevelType w:val="hybridMultilevel"/>
    <w:tmpl w:val="5F445110"/>
    <w:lvl w:ilvl="0" w:tplc="7D6AB3C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E08DE"/>
    <w:multiLevelType w:val="hybridMultilevel"/>
    <w:tmpl w:val="AAE45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347BAE"/>
    <w:multiLevelType w:val="hybridMultilevel"/>
    <w:tmpl w:val="EBD87932"/>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5ED7777"/>
    <w:multiLevelType w:val="hybridMultilevel"/>
    <w:tmpl w:val="BBCE5E9C"/>
    <w:lvl w:ilvl="0" w:tplc="F9E0D3A8">
      <w:start w:val="2"/>
      <w:numFmt w:val="decimal"/>
      <w:lvlText w:val="%1."/>
      <w:lvlJc w:val="left"/>
      <w:pPr>
        <w:ind w:left="720" w:hanging="360"/>
      </w:pPr>
      <w:rPr>
        <w:rFonts w:ascii="Calibri" w:hAnsi="Calibri" w:cs="Calibr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5B657A"/>
    <w:multiLevelType w:val="hybridMultilevel"/>
    <w:tmpl w:val="6C9E8788"/>
    <w:lvl w:ilvl="0" w:tplc="F9E0D3A8">
      <w:start w:val="2"/>
      <w:numFmt w:val="decimal"/>
      <w:lvlText w:val="%1."/>
      <w:lvlJc w:val="left"/>
      <w:pPr>
        <w:ind w:left="720" w:hanging="360"/>
      </w:pPr>
      <w:rPr>
        <w:rFonts w:ascii="Calibri" w:hAnsi="Calibri" w:cs="Calibr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F73940"/>
    <w:multiLevelType w:val="hybridMultilevel"/>
    <w:tmpl w:val="02E09C0E"/>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F0083A"/>
    <w:multiLevelType w:val="hybridMultilevel"/>
    <w:tmpl w:val="D93441EA"/>
    <w:lvl w:ilvl="0" w:tplc="A998A7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20A1BE9"/>
    <w:multiLevelType w:val="hybridMultilevel"/>
    <w:tmpl w:val="C9E02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B212DD"/>
    <w:multiLevelType w:val="hybridMultilevel"/>
    <w:tmpl w:val="66D45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F8768C"/>
    <w:multiLevelType w:val="hybridMultilevel"/>
    <w:tmpl w:val="72DA7D94"/>
    <w:lvl w:ilvl="0" w:tplc="6F8A7A3A">
      <w:start w:val="2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4A5790"/>
    <w:multiLevelType w:val="hybridMultilevel"/>
    <w:tmpl w:val="F564C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3252C8"/>
    <w:multiLevelType w:val="hybridMultilevel"/>
    <w:tmpl w:val="611CEBF0"/>
    <w:lvl w:ilvl="0" w:tplc="F9E0D3A8">
      <w:start w:val="2"/>
      <w:numFmt w:val="decimal"/>
      <w:lvlText w:val="%1."/>
      <w:lvlJc w:val="left"/>
      <w:pPr>
        <w:ind w:left="720" w:hanging="360"/>
      </w:pPr>
      <w:rPr>
        <w:rFonts w:ascii="Calibri" w:hAnsi="Calibri" w:cs="Calibr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796F11"/>
    <w:multiLevelType w:val="hybridMultilevel"/>
    <w:tmpl w:val="EBD87932"/>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36D6E5E"/>
    <w:multiLevelType w:val="hybridMultilevel"/>
    <w:tmpl w:val="CABC16C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5" w15:restartNumberingAfterBreak="0">
    <w:nsid w:val="764F0D6C"/>
    <w:multiLevelType w:val="hybridMultilevel"/>
    <w:tmpl w:val="7A6AD016"/>
    <w:lvl w:ilvl="0" w:tplc="2F0AE1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57B2DB46">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D3200D"/>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num w:numId="1">
    <w:abstractNumId w:val="12"/>
  </w:num>
  <w:num w:numId="2">
    <w:abstractNumId w:val="4"/>
  </w:num>
  <w:num w:numId="3">
    <w:abstractNumId w:val="13"/>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25"/>
  </w:num>
  <w:num w:numId="9">
    <w:abstractNumId w:val="17"/>
  </w:num>
  <w:num w:numId="10">
    <w:abstractNumId w:val="19"/>
  </w:num>
  <w:num w:numId="11">
    <w:abstractNumId w:val="0"/>
  </w:num>
  <w:num w:numId="12">
    <w:abstractNumId w:val="8"/>
  </w:num>
  <w:num w:numId="13">
    <w:abstractNumId w:val="11"/>
  </w:num>
  <w:num w:numId="14">
    <w:abstractNumId w:val="15"/>
  </w:num>
  <w:num w:numId="15">
    <w:abstractNumId w:val="23"/>
  </w:num>
  <w:num w:numId="16">
    <w:abstractNumId w:val="24"/>
  </w:num>
  <w:num w:numId="17">
    <w:abstractNumId w:val="2"/>
  </w:num>
  <w:num w:numId="18">
    <w:abstractNumId w:val="14"/>
  </w:num>
  <w:num w:numId="19">
    <w:abstractNumId w:val="22"/>
  </w:num>
  <w:num w:numId="20">
    <w:abstractNumId w:val="5"/>
  </w:num>
  <w:num w:numId="21">
    <w:abstractNumId w:val="7"/>
  </w:num>
  <w:num w:numId="22">
    <w:abstractNumId w:val="20"/>
  </w:num>
  <w:num w:numId="23">
    <w:abstractNumId w:val="6"/>
  </w:num>
  <w:num w:numId="24">
    <w:abstractNumId w:val="21"/>
  </w:num>
  <w:num w:numId="25">
    <w:abstractNumId w:val="10"/>
  </w:num>
  <w:num w:numId="26">
    <w:abstractNumId w:val="9"/>
  </w:num>
  <w:num w:numId="27">
    <w:abstractNumId w:val="16"/>
  </w:num>
  <w:num w:numId="28">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48E"/>
    <w:rsid w:val="00001BD3"/>
    <w:rsid w:val="00002FFE"/>
    <w:rsid w:val="00006518"/>
    <w:rsid w:val="00015FBE"/>
    <w:rsid w:val="00021379"/>
    <w:rsid w:val="0002191D"/>
    <w:rsid w:val="00022980"/>
    <w:rsid w:val="000266A0"/>
    <w:rsid w:val="00031C1D"/>
    <w:rsid w:val="000322CD"/>
    <w:rsid w:val="00034CE8"/>
    <w:rsid w:val="00036F4C"/>
    <w:rsid w:val="00041883"/>
    <w:rsid w:val="00046532"/>
    <w:rsid w:val="00050F28"/>
    <w:rsid w:val="0005496D"/>
    <w:rsid w:val="00056887"/>
    <w:rsid w:val="0006715B"/>
    <w:rsid w:val="000671EE"/>
    <w:rsid w:val="00073ED1"/>
    <w:rsid w:val="0007612B"/>
    <w:rsid w:val="00076523"/>
    <w:rsid w:val="000834A0"/>
    <w:rsid w:val="00085221"/>
    <w:rsid w:val="00093D43"/>
    <w:rsid w:val="00093E7E"/>
    <w:rsid w:val="00094CDD"/>
    <w:rsid w:val="000A036B"/>
    <w:rsid w:val="000A7DD0"/>
    <w:rsid w:val="000B131D"/>
    <w:rsid w:val="000B5956"/>
    <w:rsid w:val="000C34F6"/>
    <w:rsid w:val="000C6E1F"/>
    <w:rsid w:val="000D435B"/>
    <w:rsid w:val="000D5B15"/>
    <w:rsid w:val="000D6CFC"/>
    <w:rsid w:val="000D77BA"/>
    <w:rsid w:val="000D7CB9"/>
    <w:rsid w:val="000E3591"/>
    <w:rsid w:val="000E5044"/>
    <w:rsid w:val="000E51ED"/>
    <w:rsid w:val="000F4FA3"/>
    <w:rsid w:val="000F5829"/>
    <w:rsid w:val="00101B3D"/>
    <w:rsid w:val="00103185"/>
    <w:rsid w:val="001044A2"/>
    <w:rsid w:val="001047B7"/>
    <w:rsid w:val="00105A80"/>
    <w:rsid w:val="001066DE"/>
    <w:rsid w:val="0010729F"/>
    <w:rsid w:val="00114519"/>
    <w:rsid w:val="001208C3"/>
    <w:rsid w:val="001269BC"/>
    <w:rsid w:val="00131AE1"/>
    <w:rsid w:val="00132940"/>
    <w:rsid w:val="00133E73"/>
    <w:rsid w:val="00136F5C"/>
    <w:rsid w:val="00144609"/>
    <w:rsid w:val="0014687A"/>
    <w:rsid w:val="001500C9"/>
    <w:rsid w:val="00153528"/>
    <w:rsid w:val="001568A9"/>
    <w:rsid w:val="001604CD"/>
    <w:rsid w:val="00165096"/>
    <w:rsid w:val="00167A05"/>
    <w:rsid w:val="00171DF3"/>
    <w:rsid w:val="00172B63"/>
    <w:rsid w:val="001733C5"/>
    <w:rsid w:val="001761B2"/>
    <w:rsid w:val="00176B33"/>
    <w:rsid w:val="00177627"/>
    <w:rsid w:val="00186A24"/>
    <w:rsid w:val="00191FD0"/>
    <w:rsid w:val="001A08AA"/>
    <w:rsid w:val="001A3120"/>
    <w:rsid w:val="001A3896"/>
    <w:rsid w:val="001A51E3"/>
    <w:rsid w:val="001A5F0B"/>
    <w:rsid w:val="001A70D1"/>
    <w:rsid w:val="001A7E04"/>
    <w:rsid w:val="001B256C"/>
    <w:rsid w:val="001B2F0C"/>
    <w:rsid w:val="001B306F"/>
    <w:rsid w:val="001B3E3A"/>
    <w:rsid w:val="001B627A"/>
    <w:rsid w:val="001C0B57"/>
    <w:rsid w:val="001C1603"/>
    <w:rsid w:val="001C3A35"/>
    <w:rsid w:val="001C53E5"/>
    <w:rsid w:val="001C5C71"/>
    <w:rsid w:val="001D1877"/>
    <w:rsid w:val="001D2488"/>
    <w:rsid w:val="001D5E31"/>
    <w:rsid w:val="001D635C"/>
    <w:rsid w:val="001E135B"/>
    <w:rsid w:val="001E25BC"/>
    <w:rsid w:val="001F42F9"/>
    <w:rsid w:val="00211A2C"/>
    <w:rsid w:val="00212373"/>
    <w:rsid w:val="002138EA"/>
    <w:rsid w:val="00214FBD"/>
    <w:rsid w:val="00222897"/>
    <w:rsid w:val="00223C07"/>
    <w:rsid w:val="00233269"/>
    <w:rsid w:val="00235394"/>
    <w:rsid w:val="0023738A"/>
    <w:rsid w:val="00253510"/>
    <w:rsid w:val="0025557B"/>
    <w:rsid w:val="00257598"/>
    <w:rsid w:val="00257D7D"/>
    <w:rsid w:val="002613BF"/>
    <w:rsid w:val="0026179F"/>
    <w:rsid w:val="00274E1A"/>
    <w:rsid w:val="00275C58"/>
    <w:rsid w:val="0027731D"/>
    <w:rsid w:val="002806BB"/>
    <w:rsid w:val="00282213"/>
    <w:rsid w:val="00285262"/>
    <w:rsid w:val="002867EC"/>
    <w:rsid w:val="00287385"/>
    <w:rsid w:val="0028752F"/>
    <w:rsid w:val="0029016E"/>
    <w:rsid w:val="00294CB9"/>
    <w:rsid w:val="00296077"/>
    <w:rsid w:val="002B1867"/>
    <w:rsid w:val="002B2C01"/>
    <w:rsid w:val="002C1ACE"/>
    <w:rsid w:val="002C6647"/>
    <w:rsid w:val="002D2F29"/>
    <w:rsid w:val="002D64B4"/>
    <w:rsid w:val="002E343E"/>
    <w:rsid w:val="002E7C37"/>
    <w:rsid w:val="002F4093"/>
    <w:rsid w:val="002F6239"/>
    <w:rsid w:val="002F77AF"/>
    <w:rsid w:val="003076EE"/>
    <w:rsid w:val="00307EEA"/>
    <w:rsid w:val="00307FE3"/>
    <w:rsid w:val="00312074"/>
    <w:rsid w:val="003141E7"/>
    <w:rsid w:val="00315006"/>
    <w:rsid w:val="003208A6"/>
    <w:rsid w:val="0032343E"/>
    <w:rsid w:val="00324C71"/>
    <w:rsid w:val="003252D8"/>
    <w:rsid w:val="00325E42"/>
    <w:rsid w:val="00327A96"/>
    <w:rsid w:val="00327E49"/>
    <w:rsid w:val="0033563F"/>
    <w:rsid w:val="00337528"/>
    <w:rsid w:val="00342A28"/>
    <w:rsid w:val="00342E32"/>
    <w:rsid w:val="003450C4"/>
    <w:rsid w:val="003473D0"/>
    <w:rsid w:val="00352B40"/>
    <w:rsid w:val="003547E6"/>
    <w:rsid w:val="003553B2"/>
    <w:rsid w:val="003602AF"/>
    <w:rsid w:val="00360D36"/>
    <w:rsid w:val="0036189F"/>
    <w:rsid w:val="00362AE4"/>
    <w:rsid w:val="00367724"/>
    <w:rsid w:val="00373BEF"/>
    <w:rsid w:val="0037650E"/>
    <w:rsid w:val="00377081"/>
    <w:rsid w:val="00380500"/>
    <w:rsid w:val="003845D4"/>
    <w:rsid w:val="003855D7"/>
    <w:rsid w:val="00391B92"/>
    <w:rsid w:val="00393DA8"/>
    <w:rsid w:val="003943E2"/>
    <w:rsid w:val="00395A27"/>
    <w:rsid w:val="00396594"/>
    <w:rsid w:val="00397BBE"/>
    <w:rsid w:val="003A44A5"/>
    <w:rsid w:val="003A54B2"/>
    <w:rsid w:val="003B2363"/>
    <w:rsid w:val="003B3240"/>
    <w:rsid w:val="003B3EB4"/>
    <w:rsid w:val="003B7128"/>
    <w:rsid w:val="003C127C"/>
    <w:rsid w:val="003C1CF6"/>
    <w:rsid w:val="003C32D4"/>
    <w:rsid w:val="003D4A98"/>
    <w:rsid w:val="003D7224"/>
    <w:rsid w:val="003E0755"/>
    <w:rsid w:val="003E1863"/>
    <w:rsid w:val="003E2915"/>
    <w:rsid w:val="003E4B1C"/>
    <w:rsid w:val="003E4E92"/>
    <w:rsid w:val="003F063B"/>
    <w:rsid w:val="003F0FF2"/>
    <w:rsid w:val="003F1F78"/>
    <w:rsid w:val="003F7CBC"/>
    <w:rsid w:val="004040C3"/>
    <w:rsid w:val="0040792D"/>
    <w:rsid w:val="004104BD"/>
    <w:rsid w:val="00412F40"/>
    <w:rsid w:val="00415865"/>
    <w:rsid w:val="00416DA7"/>
    <w:rsid w:val="00420444"/>
    <w:rsid w:val="004219AB"/>
    <w:rsid w:val="00422C8A"/>
    <w:rsid w:val="00425DC9"/>
    <w:rsid w:val="00430980"/>
    <w:rsid w:val="00437037"/>
    <w:rsid w:val="00440201"/>
    <w:rsid w:val="00440BB1"/>
    <w:rsid w:val="00443021"/>
    <w:rsid w:val="00444225"/>
    <w:rsid w:val="00447EA4"/>
    <w:rsid w:val="00450ADA"/>
    <w:rsid w:val="004712A6"/>
    <w:rsid w:val="00472E74"/>
    <w:rsid w:val="004832A7"/>
    <w:rsid w:val="004836DA"/>
    <w:rsid w:val="00483A70"/>
    <w:rsid w:val="00486547"/>
    <w:rsid w:val="00494025"/>
    <w:rsid w:val="004A17C7"/>
    <w:rsid w:val="004A3423"/>
    <w:rsid w:val="004B3A0A"/>
    <w:rsid w:val="004B5C8E"/>
    <w:rsid w:val="004B73BB"/>
    <w:rsid w:val="004B73DB"/>
    <w:rsid w:val="004C04A3"/>
    <w:rsid w:val="004C3CE5"/>
    <w:rsid w:val="004C4342"/>
    <w:rsid w:val="004D71B0"/>
    <w:rsid w:val="004D7A3C"/>
    <w:rsid w:val="004E0424"/>
    <w:rsid w:val="004F5611"/>
    <w:rsid w:val="004F7A3D"/>
    <w:rsid w:val="00505BFA"/>
    <w:rsid w:val="00505F46"/>
    <w:rsid w:val="00513582"/>
    <w:rsid w:val="00517471"/>
    <w:rsid w:val="00522E0F"/>
    <w:rsid w:val="00523FE5"/>
    <w:rsid w:val="00525F54"/>
    <w:rsid w:val="005267DA"/>
    <w:rsid w:val="00542158"/>
    <w:rsid w:val="005421E4"/>
    <w:rsid w:val="005425EF"/>
    <w:rsid w:val="005530AA"/>
    <w:rsid w:val="00556D68"/>
    <w:rsid w:val="00563274"/>
    <w:rsid w:val="00573894"/>
    <w:rsid w:val="00574154"/>
    <w:rsid w:val="00583B03"/>
    <w:rsid w:val="005858AA"/>
    <w:rsid w:val="00595980"/>
    <w:rsid w:val="005B0171"/>
    <w:rsid w:val="005C33E9"/>
    <w:rsid w:val="005D1D8B"/>
    <w:rsid w:val="005D3A38"/>
    <w:rsid w:val="005D6354"/>
    <w:rsid w:val="005E3BCA"/>
    <w:rsid w:val="005E49CA"/>
    <w:rsid w:val="005E6887"/>
    <w:rsid w:val="005F3F0D"/>
    <w:rsid w:val="005F4883"/>
    <w:rsid w:val="005F66E6"/>
    <w:rsid w:val="006073B3"/>
    <w:rsid w:val="00614C3C"/>
    <w:rsid w:val="00616966"/>
    <w:rsid w:val="006171EA"/>
    <w:rsid w:val="00620DBC"/>
    <w:rsid w:val="0062377C"/>
    <w:rsid w:val="0063021D"/>
    <w:rsid w:val="00632875"/>
    <w:rsid w:val="00633224"/>
    <w:rsid w:val="00634D04"/>
    <w:rsid w:val="00636B8B"/>
    <w:rsid w:val="00636E4B"/>
    <w:rsid w:val="00641F74"/>
    <w:rsid w:val="00642BEA"/>
    <w:rsid w:val="00645857"/>
    <w:rsid w:val="0064709C"/>
    <w:rsid w:val="006505B2"/>
    <w:rsid w:val="00650D90"/>
    <w:rsid w:val="00655BDF"/>
    <w:rsid w:val="00657D51"/>
    <w:rsid w:val="00664491"/>
    <w:rsid w:val="006657D5"/>
    <w:rsid w:val="006733AC"/>
    <w:rsid w:val="00675951"/>
    <w:rsid w:val="00677620"/>
    <w:rsid w:val="0068057B"/>
    <w:rsid w:val="0068251F"/>
    <w:rsid w:val="00685058"/>
    <w:rsid w:val="006856E5"/>
    <w:rsid w:val="00686A5F"/>
    <w:rsid w:val="006903FC"/>
    <w:rsid w:val="00696140"/>
    <w:rsid w:val="00696899"/>
    <w:rsid w:val="006A2B28"/>
    <w:rsid w:val="006A3DEF"/>
    <w:rsid w:val="006B0D02"/>
    <w:rsid w:val="006B3304"/>
    <w:rsid w:val="006B4324"/>
    <w:rsid w:val="006B7184"/>
    <w:rsid w:val="006C1D31"/>
    <w:rsid w:val="006C6E22"/>
    <w:rsid w:val="006D2CB3"/>
    <w:rsid w:val="006D3D53"/>
    <w:rsid w:val="00703205"/>
    <w:rsid w:val="0070336F"/>
    <w:rsid w:val="0070646B"/>
    <w:rsid w:val="007066FA"/>
    <w:rsid w:val="0070677D"/>
    <w:rsid w:val="00707941"/>
    <w:rsid w:val="00711F5E"/>
    <w:rsid w:val="0071287E"/>
    <w:rsid w:val="00716661"/>
    <w:rsid w:val="00722929"/>
    <w:rsid w:val="007247D5"/>
    <w:rsid w:val="00727761"/>
    <w:rsid w:val="0073182D"/>
    <w:rsid w:val="00731930"/>
    <w:rsid w:val="00733573"/>
    <w:rsid w:val="007350F6"/>
    <w:rsid w:val="00740C8F"/>
    <w:rsid w:val="00751982"/>
    <w:rsid w:val="007552FB"/>
    <w:rsid w:val="00760EC0"/>
    <w:rsid w:val="0076232E"/>
    <w:rsid w:val="00764591"/>
    <w:rsid w:val="007651E3"/>
    <w:rsid w:val="00766A77"/>
    <w:rsid w:val="00770C24"/>
    <w:rsid w:val="0078144D"/>
    <w:rsid w:val="00782ADF"/>
    <w:rsid w:val="00787CE3"/>
    <w:rsid w:val="0079243C"/>
    <w:rsid w:val="00793BA1"/>
    <w:rsid w:val="007A4A05"/>
    <w:rsid w:val="007A4D94"/>
    <w:rsid w:val="007A5A27"/>
    <w:rsid w:val="007A72E9"/>
    <w:rsid w:val="007A794E"/>
    <w:rsid w:val="007B6162"/>
    <w:rsid w:val="007B6D18"/>
    <w:rsid w:val="007B6D70"/>
    <w:rsid w:val="007C1BCF"/>
    <w:rsid w:val="007C2BC8"/>
    <w:rsid w:val="007D6048"/>
    <w:rsid w:val="007D6120"/>
    <w:rsid w:val="007D7C47"/>
    <w:rsid w:val="007E084C"/>
    <w:rsid w:val="007E3118"/>
    <w:rsid w:val="007E376C"/>
    <w:rsid w:val="007E54CD"/>
    <w:rsid w:val="007E59AE"/>
    <w:rsid w:val="007E6A3B"/>
    <w:rsid w:val="007F0E1E"/>
    <w:rsid w:val="007F4253"/>
    <w:rsid w:val="007F6103"/>
    <w:rsid w:val="007F62EA"/>
    <w:rsid w:val="0080368A"/>
    <w:rsid w:val="00803F95"/>
    <w:rsid w:val="00812D42"/>
    <w:rsid w:val="008239B4"/>
    <w:rsid w:val="00823E1D"/>
    <w:rsid w:val="00832EC2"/>
    <w:rsid w:val="00835023"/>
    <w:rsid w:val="00836C44"/>
    <w:rsid w:val="00842E9E"/>
    <w:rsid w:val="00844063"/>
    <w:rsid w:val="00853E16"/>
    <w:rsid w:val="00867032"/>
    <w:rsid w:val="00867FC7"/>
    <w:rsid w:val="008717AB"/>
    <w:rsid w:val="00873725"/>
    <w:rsid w:val="008854DE"/>
    <w:rsid w:val="008873FB"/>
    <w:rsid w:val="0089240B"/>
    <w:rsid w:val="00893454"/>
    <w:rsid w:val="00893DD9"/>
    <w:rsid w:val="00895EC8"/>
    <w:rsid w:val="008A3376"/>
    <w:rsid w:val="008B554C"/>
    <w:rsid w:val="008B6EE0"/>
    <w:rsid w:val="008B77DD"/>
    <w:rsid w:val="008C1E19"/>
    <w:rsid w:val="008C59C4"/>
    <w:rsid w:val="008C60E9"/>
    <w:rsid w:val="008C6746"/>
    <w:rsid w:val="008C7A0B"/>
    <w:rsid w:val="008D3724"/>
    <w:rsid w:val="008D4165"/>
    <w:rsid w:val="008D6505"/>
    <w:rsid w:val="008E7FF8"/>
    <w:rsid w:val="008F7D93"/>
    <w:rsid w:val="00900342"/>
    <w:rsid w:val="00900976"/>
    <w:rsid w:val="0090245D"/>
    <w:rsid w:val="00902558"/>
    <w:rsid w:val="00904A82"/>
    <w:rsid w:val="00904B36"/>
    <w:rsid w:val="0090737F"/>
    <w:rsid w:val="00911FD0"/>
    <w:rsid w:val="0091665C"/>
    <w:rsid w:val="0092124A"/>
    <w:rsid w:val="009245A1"/>
    <w:rsid w:val="009246C1"/>
    <w:rsid w:val="009250A3"/>
    <w:rsid w:val="009252DA"/>
    <w:rsid w:val="00927470"/>
    <w:rsid w:val="00930BD6"/>
    <w:rsid w:val="00931702"/>
    <w:rsid w:val="00931F09"/>
    <w:rsid w:val="0093235B"/>
    <w:rsid w:val="00937959"/>
    <w:rsid w:val="00940B14"/>
    <w:rsid w:val="00946169"/>
    <w:rsid w:val="009472CE"/>
    <w:rsid w:val="00951AE4"/>
    <w:rsid w:val="00952FA0"/>
    <w:rsid w:val="00954374"/>
    <w:rsid w:val="0095460F"/>
    <w:rsid w:val="00960B00"/>
    <w:rsid w:val="00961462"/>
    <w:rsid w:val="00961F97"/>
    <w:rsid w:val="00970A09"/>
    <w:rsid w:val="009747CA"/>
    <w:rsid w:val="00976620"/>
    <w:rsid w:val="00976C55"/>
    <w:rsid w:val="00976F7A"/>
    <w:rsid w:val="0097727B"/>
    <w:rsid w:val="00980247"/>
    <w:rsid w:val="00983910"/>
    <w:rsid w:val="00984798"/>
    <w:rsid w:val="00984BA1"/>
    <w:rsid w:val="0098598B"/>
    <w:rsid w:val="00985A48"/>
    <w:rsid w:val="009868CB"/>
    <w:rsid w:val="00986C06"/>
    <w:rsid w:val="00991CCC"/>
    <w:rsid w:val="0099497B"/>
    <w:rsid w:val="00996D3C"/>
    <w:rsid w:val="00997615"/>
    <w:rsid w:val="009A37B6"/>
    <w:rsid w:val="009A56E4"/>
    <w:rsid w:val="009B2AFC"/>
    <w:rsid w:val="009B2E99"/>
    <w:rsid w:val="009B3F98"/>
    <w:rsid w:val="009C0727"/>
    <w:rsid w:val="009C330C"/>
    <w:rsid w:val="009C3926"/>
    <w:rsid w:val="009C7C4B"/>
    <w:rsid w:val="009D0AB1"/>
    <w:rsid w:val="009D1CC7"/>
    <w:rsid w:val="009D2F96"/>
    <w:rsid w:val="009D39C5"/>
    <w:rsid w:val="009D3C34"/>
    <w:rsid w:val="009D442B"/>
    <w:rsid w:val="009D55CE"/>
    <w:rsid w:val="009D564B"/>
    <w:rsid w:val="009E3679"/>
    <w:rsid w:val="009E425F"/>
    <w:rsid w:val="009E7CA6"/>
    <w:rsid w:val="009F128A"/>
    <w:rsid w:val="009F180A"/>
    <w:rsid w:val="009F4540"/>
    <w:rsid w:val="009F5663"/>
    <w:rsid w:val="009F5923"/>
    <w:rsid w:val="009F7834"/>
    <w:rsid w:val="00A01CA7"/>
    <w:rsid w:val="00A033F1"/>
    <w:rsid w:val="00A05300"/>
    <w:rsid w:val="00A124A1"/>
    <w:rsid w:val="00A14B92"/>
    <w:rsid w:val="00A1648E"/>
    <w:rsid w:val="00A16E2F"/>
    <w:rsid w:val="00A17573"/>
    <w:rsid w:val="00A205A9"/>
    <w:rsid w:val="00A21EC9"/>
    <w:rsid w:val="00A22836"/>
    <w:rsid w:val="00A40EC8"/>
    <w:rsid w:val="00A5625D"/>
    <w:rsid w:val="00A623E9"/>
    <w:rsid w:val="00A63A9C"/>
    <w:rsid w:val="00A65439"/>
    <w:rsid w:val="00A72864"/>
    <w:rsid w:val="00A76C5E"/>
    <w:rsid w:val="00A81B15"/>
    <w:rsid w:val="00A82618"/>
    <w:rsid w:val="00A835D7"/>
    <w:rsid w:val="00A83631"/>
    <w:rsid w:val="00A841F1"/>
    <w:rsid w:val="00A85DBC"/>
    <w:rsid w:val="00A9364F"/>
    <w:rsid w:val="00A96C36"/>
    <w:rsid w:val="00AA1ACA"/>
    <w:rsid w:val="00AA46C6"/>
    <w:rsid w:val="00AA570E"/>
    <w:rsid w:val="00AA582E"/>
    <w:rsid w:val="00AA5DED"/>
    <w:rsid w:val="00AB0EA4"/>
    <w:rsid w:val="00AB1649"/>
    <w:rsid w:val="00AB3F85"/>
    <w:rsid w:val="00AB5257"/>
    <w:rsid w:val="00AC43E6"/>
    <w:rsid w:val="00AC4D01"/>
    <w:rsid w:val="00AC694F"/>
    <w:rsid w:val="00AD091A"/>
    <w:rsid w:val="00AD2C26"/>
    <w:rsid w:val="00AD692B"/>
    <w:rsid w:val="00AD6C47"/>
    <w:rsid w:val="00AD6E09"/>
    <w:rsid w:val="00AD6E1C"/>
    <w:rsid w:val="00AD7B11"/>
    <w:rsid w:val="00AE1FD8"/>
    <w:rsid w:val="00AE3E1C"/>
    <w:rsid w:val="00AE4558"/>
    <w:rsid w:val="00AE52C5"/>
    <w:rsid w:val="00AE5E8E"/>
    <w:rsid w:val="00AE64B3"/>
    <w:rsid w:val="00AE6BBA"/>
    <w:rsid w:val="00AE75F4"/>
    <w:rsid w:val="00AE778F"/>
    <w:rsid w:val="00AF4F3E"/>
    <w:rsid w:val="00AF6F25"/>
    <w:rsid w:val="00B02DAA"/>
    <w:rsid w:val="00B12D97"/>
    <w:rsid w:val="00B159D5"/>
    <w:rsid w:val="00B16360"/>
    <w:rsid w:val="00B21530"/>
    <w:rsid w:val="00B22AE5"/>
    <w:rsid w:val="00B250A2"/>
    <w:rsid w:val="00B25DE0"/>
    <w:rsid w:val="00B26517"/>
    <w:rsid w:val="00B306F1"/>
    <w:rsid w:val="00B318E5"/>
    <w:rsid w:val="00B34565"/>
    <w:rsid w:val="00B373D3"/>
    <w:rsid w:val="00B43095"/>
    <w:rsid w:val="00B53FE2"/>
    <w:rsid w:val="00B579B9"/>
    <w:rsid w:val="00B60E0F"/>
    <w:rsid w:val="00B65641"/>
    <w:rsid w:val="00B65B96"/>
    <w:rsid w:val="00B663E1"/>
    <w:rsid w:val="00B72448"/>
    <w:rsid w:val="00B724A5"/>
    <w:rsid w:val="00B72691"/>
    <w:rsid w:val="00B746E7"/>
    <w:rsid w:val="00B75969"/>
    <w:rsid w:val="00B80F80"/>
    <w:rsid w:val="00B83244"/>
    <w:rsid w:val="00B834D1"/>
    <w:rsid w:val="00B8446C"/>
    <w:rsid w:val="00B84582"/>
    <w:rsid w:val="00B85CA4"/>
    <w:rsid w:val="00B96A86"/>
    <w:rsid w:val="00B9734C"/>
    <w:rsid w:val="00BA3EC1"/>
    <w:rsid w:val="00BA723E"/>
    <w:rsid w:val="00BA7A28"/>
    <w:rsid w:val="00BB15DB"/>
    <w:rsid w:val="00BB1CCD"/>
    <w:rsid w:val="00BB1E7F"/>
    <w:rsid w:val="00BB5A12"/>
    <w:rsid w:val="00BB63C0"/>
    <w:rsid w:val="00BC0993"/>
    <w:rsid w:val="00BC29F1"/>
    <w:rsid w:val="00BC3A23"/>
    <w:rsid w:val="00BC47D8"/>
    <w:rsid w:val="00BC5133"/>
    <w:rsid w:val="00BC658E"/>
    <w:rsid w:val="00BC6AC6"/>
    <w:rsid w:val="00BD1CE6"/>
    <w:rsid w:val="00BD4A0C"/>
    <w:rsid w:val="00BD5530"/>
    <w:rsid w:val="00BD6420"/>
    <w:rsid w:val="00BF497C"/>
    <w:rsid w:val="00BF52AB"/>
    <w:rsid w:val="00C152F5"/>
    <w:rsid w:val="00C212D7"/>
    <w:rsid w:val="00C2149E"/>
    <w:rsid w:val="00C24B2F"/>
    <w:rsid w:val="00C27797"/>
    <w:rsid w:val="00C3068F"/>
    <w:rsid w:val="00C33600"/>
    <w:rsid w:val="00C34B0C"/>
    <w:rsid w:val="00C37EA9"/>
    <w:rsid w:val="00C43808"/>
    <w:rsid w:val="00C43C6E"/>
    <w:rsid w:val="00C47215"/>
    <w:rsid w:val="00C50F5E"/>
    <w:rsid w:val="00C51828"/>
    <w:rsid w:val="00C526F9"/>
    <w:rsid w:val="00C538DB"/>
    <w:rsid w:val="00C55C02"/>
    <w:rsid w:val="00C578E5"/>
    <w:rsid w:val="00C602F1"/>
    <w:rsid w:val="00C619D3"/>
    <w:rsid w:val="00C6213A"/>
    <w:rsid w:val="00C72303"/>
    <w:rsid w:val="00C72631"/>
    <w:rsid w:val="00C72BA2"/>
    <w:rsid w:val="00C732D5"/>
    <w:rsid w:val="00C73DAC"/>
    <w:rsid w:val="00C756ED"/>
    <w:rsid w:val="00C80450"/>
    <w:rsid w:val="00C841E3"/>
    <w:rsid w:val="00C8473B"/>
    <w:rsid w:val="00C86D1F"/>
    <w:rsid w:val="00C94711"/>
    <w:rsid w:val="00C94E55"/>
    <w:rsid w:val="00CB2802"/>
    <w:rsid w:val="00CB58F9"/>
    <w:rsid w:val="00CB76A8"/>
    <w:rsid w:val="00CC00F0"/>
    <w:rsid w:val="00CC0A92"/>
    <w:rsid w:val="00CC2547"/>
    <w:rsid w:val="00CC4027"/>
    <w:rsid w:val="00CC410F"/>
    <w:rsid w:val="00CC700B"/>
    <w:rsid w:val="00CD0627"/>
    <w:rsid w:val="00CD28F2"/>
    <w:rsid w:val="00CD325E"/>
    <w:rsid w:val="00CD7661"/>
    <w:rsid w:val="00CD76AD"/>
    <w:rsid w:val="00CE0628"/>
    <w:rsid w:val="00CE1BE6"/>
    <w:rsid w:val="00CE5967"/>
    <w:rsid w:val="00CE627D"/>
    <w:rsid w:val="00CE6E30"/>
    <w:rsid w:val="00CF1773"/>
    <w:rsid w:val="00CF19D2"/>
    <w:rsid w:val="00CF3861"/>
    <w:rsid w:val="00CF61C0"/>
    <w:rsid w:val="00CF76BC"/>
    <w:rsid w:val="00CF7BED"/>
    <w:rsid w:val="00D005DC"/>
    <w:rsid w:val="00D04E92"/>
    <w:rsid w:val="00D072C4"/>
    <w:rsid w:val="00D07331"/>
    <w:rsid w:val="00D1157F"/>
    <w:rsid w:val="00D115EA"/>
    <w:rsid w:val="00D122C0"/>
    <w:rsid w:val="00D13229"/>
    <w:rsid w:val="00D2097A"/>
    <w:rsid w:val="00D233BA"/>
    <w:rsid w:val="00D2486E"/>
    <w:rsid w:val="00D248FE"/>
    <w:rsid w:val="00D26FE8"/>
    <w:rsid w:val="00D32B25"/>
    <w:rsid w:val="00D330E2"/>
    <w:rsid w:val="00D34E20"/>
    <w:rsid w:val="00D3707F"/>
    <w:rsid w:val="00D41BEE"/>
    <w:rsid w:val="00D46ED8"/>
    <w:rsid w:val="00D5006B"/>
    <w:rsid w:val="00D50AE9"/>
    <w:rsid w:val="00D50BBD"/>
    <w:rsid w:val="00D510B7"/>
    <w:rsid w:val="00D520E4"/>
    <w:rsid w:val="00D57DFA"/>
    <w:rsid w:val="00D625B3"/>
    <w:rsid w:val="00D64225"/>
    <w:rsid w:val="00D64EF6"/>
    <w:rsid w:val="00D666E2"/>
    <w:rsid w:val="00D70273"/>
    <w:rsid w:val="00D72BC9"/>
    <w:rsid w:val="00D73C0E"/>
    <w:rsid w:val="00D74DAE"/>
    <w:rsid w:val="00D756B6"/>
    <w:rsid w:val="00D8154B"/>
    <w:rsid w:val="00D8669A"/>
    <w:rsid w:val="00D91919"/>
    <w:rsid w:val="00D92FE0"/>
    <w:rsid w:val="00DA0F3D"/>
    <w:rsid w:val="00DA7A4E"/>
    <w:rsid w:val="00DB07C0"/>
    <w:rsid w:val="00DC0640"/>
    <w:rsid w:val="00DC599C"/>
    <w:rsid w:val="00DD0C2C"/>
    <w:rsid w:val="00DF240E"/>
    <w:rsid w:val="00DF4787"/>
    <w:rsid w:val="00DF5663"/>
    <w:rsid w:val="00DF7083"/>
    <w:rsid w:val="00E107F0"/>
    <w:rsid w:val="00E12EB7"/>
    <w:rsid w:val="00E13055"/>
    <w:rsid w:val="00E13A4A"/>
    <w:rsid w:val="00E15D38"/>
    <w:rsid w:val="00E24148"/>
    <w:rsid w:val="00E24717"/>
    <w:rsid w:val="00E24FE0"/>
    <w:rsid w:val="00E253A9"/>
    <w:rsid w:val="00E25C05"/>
    <w:rsid w:val="00E2712E"/>
    <w:rsid w:val="00E31856"/>
    <w:rsid w:val="00E3585D"/>
    <w:rsid w:val="00E417C4"/>
    <w:rsid w:val="00E42B42"/>
    <w:rsid w:val="00E510D4"/>
    <w:rsid w:val="00E5253B"/>
    <w:rsid w:val="00E52F3B"/>
    <w:rsid w:val="00E55ABC"/>
    <w:rsid w:val="00E57B74"/>
    <w:rsid w:val="00E61E32"/>
    <w:rsid w:val="00E677DC"/>
    <w:rsid w:val="00E72D9D"/>
    <w:rsid w:val="00E73A60"/>
    <w:rsid w:val="00E7697D"/>
    <w:rsid w:val="00E77A9C"/>
    <w:rsid w:val="00E840D7"/>
    <w:rsid w:val="00E8629F"/>
    <w:rsid w:val="00E8690F"/>
    <w:rsid w:val="00E90178"/>
    <w:rsid w:val="00E954F0"/>
    <w:rsid w:val="00E96009"/>
    <w:rsid w:val="00E96535"/>
    <w:rsid w:val="00EA3C24"/>
    <w:rsid w:val="00EB2196"/>
    <w:rsid w:val="00EB37D2"/>
    <w:rsid w:val="00EB3BDE"/>
    <w:rsid w:val="00EB5789"/>
    <w:rsid w:val="00EC0173"/>
    <w:rsid w:val="00EC1E61"/>
    <w:rsid w:val="00EC49B6"/>
    <w:rsid w:val="00EC4D3D"/>
    <w:rsid w:val="00EC6CD3"/>
    <w:rsid w:val="00ED04DF"/>
    <w:rsid w:val="00ED26E6"/>
    <w:rsid w:val="00ED43A0"/>
    <w:rsid w:val="00EE35AC"/>
    <w:rsid w:val="00EE370E"/>
    <w:rsid w:val="00EE41ED"/>
    <w:rsid w:val="00EE569A"/>
    <w:rsid w:val="00EE587A"/>
    <w:rsid w:val="00EE65B0"/>
    <w:rsid w:val="00EE65ED"/>
    <w:rsid w:val="00EF2512"/>
    <w:rsid w:val="00EF5BDD"/>
    <w:rsid w:val="00EF6BA9"/>
    <w:rsid w:val="00EF70A8"/>
    <w:rsid w:val="00EF7683"/>
    <w:rsid w:val="00EF7FFB"/>
    <w:rsid w:val="00F0012F"/>
    <w:rsid w:val="00F00DE1"/>
    <w:rsid w:val="00F019DA"/>
    <w:rsid w:val="00F06D1D"/>
    <w:rsid w:val="00F072D8"/>
    <w:rsid w:val="00F11183"/>
    <w:rsid w:val="00F14AF8"/>
    <w:rsid w:val="00F21347"/>
    <w:rsid w:val="00F21F81"/>
    <w:rsid w:val="00F22A25"/>
    <w:rsid w:val="00F250D8"/>
    <w:rsid w:val="00F25D2D"/>
    <w:rsid w:val="00F30686"/>
    <w:rsid w:val="00F331D1"/>
    <w:rsid w:val="00F36AA3"/>
    <w:rsid w:val="00F4067C"/>
    <w:rsid w:val="00F414FE"/>
    <w:rsid w:val="00F41723"/>
    <w:rsid w:val="00F43944"/>
    <w:rsid w:val="00F452AE"/>
    <w:rsid w:val="00F62826"/>
    <w:rsid w:val="00F63271"/>
    <w:rsid w:val="00F63459"/>
    <w:rsid w:val="00F636DB"/>
    <w:rsid w:val="00F64E36"/>
    <w:rsid w:val="00F6636D"/>
    <w:rsid w:val="00F66E51"/>
    <w:rsid w:val="00F6718A"/>
    <w:rsid w:val="00F67E92"/>
    <w:rsid w:val="00F75719"/>
    <w:rsid w:val="00F821F0"/>
    <w:rsid w:val="00F859B5"/>
    <w:rsid w:val="00F91D25"/>
    <w:rsid w:val="00F97AC4"/>
    <w:rsid w:val="00FA24CD"/>
    <w:rsid w:val="00FA2530"/>
    <w:rsid w:val="00FA3290"/>
    <w:rsid w:val="00FA5865"/>
    <w:rsid w:val="00FB374B"/>
    <w:rsid w:val="00FB7064"/>
    <w:rsid w:val="00FC051F"/>
    <w:rsid w:val="00FC211A"/>
    <w:rsid w:val="00FC2177"/>
    <w:rsid w:val="00FC3F06"/>
    <w:rsid w:val="00FC5E1A"/>
    <w:rsid w:val="00FC7BFC"/>
    <w:rsid w:val="00FD5616"/>
    <w:rsid w:val="00FE0E93"/>
    <w:rsid w:val="00FE3587"/>
    <w:rsid w:val="00FE4CA6"/>
    <w:rsid w:val="00FE4D24"/>
    <w:rsid w:val="00FE5E98"/>
    <w:rsid w:val="00FF358B"/>
    <w:rsid w:val="00FF4F73"/>
    <w:rsid w:val="00FF6A8E"/>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8A11EC"/>
  <w15:chartTrackingRefBased/>
  <w15:docId w15:val="{C097F2F8-B109-4B55-9E9D-51FC47C29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rsid w:val="00B65B96"/>
    <w:rPr>
      <w:lang w:eastAsia="en-US"/>
    </w:rPr>
  </w:style>
  <w:style w:type="character" w:customStyle="1" w:styleId="FootnoteTextChar">
    <w:name w:val="Footnote Text Char"/>
    <w:basedOn w:val="DefaultParagraphFont"/>
    <w:link w:val="FootnoteText"/>
    <w:rsid w:val="005F3F0D"/>
    <w:rPr>
      <w:sz w:val="16"/>
      <w:lang w:val="en-GB" w:eastAsia="en-US"/>
    </w:rPr>
  </w:style>
  <w:style w:type="character" w:customStyle="1" w:styleId="date-display-single">
    <w:name w:val="date-display-single"/>
    <w:basedOn w:val="DefaultParagraphFont"/>
    <w:rsid w:val="00AB1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03657">
      <w:bodyDiv w:val="1"/>
      <w:marLeft w:val="0"/>
      <w:marRight w:val="0"/>
      <w:marTop w:val="0"/>
      <w:marBottom w:val="0"/>
      <w:divBdr>
        <w:top w:val="none" w:sz="0" w:space="0" w:color="auto"/>
        <w:left w:val="none" w:sz="0" w:space="0" w:color="auto"/>
        <w:bottom w:val="none" w:sz="0" w:space="0" w:color="auto"/>
        <w:right w:val="none" w:sz="0" w:space="0" w:color="auto"/>
      </w:divBdr>
    </w:div>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71672711">
      <w:bodyDiv w:val="1"/>
      <w:marLeft w:val="0"/>
      <w:marRight w:val="0"/>
      <w:marTop w:val="0"/>
      <w:marBottom w:val="0"/>
      <w:divBdr>
        <w:top w:val="none" w:sz="0" w:space="0" w:color="auto"/>
        <w:left w:val="none" w:sz="0" w:space="0" w:color="auto"/>
        <w:bottom w:val="none" w:sz="0" w:space="0" w:color="auto"/>
        <w:right w:val="none" w:sz="0" w:space="0" w:color="auto"/>
      </w:divBdr>
    </w:div>
    <w:div w:id="309677895">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68978499">
      <w:bodyDiv w:val="1"/>
      <w:marLeft w:val="0"/>
      <w:marRight w:val="0"/>
      <w:marTop w:val="0"/>
      <w:marBottom w:val="0"/>
      <w:divBdr>
        <w:top w:val="none" w:sz="0" w:space="0" w:color="auto"/>
        <w:left w:val="none" w:sz="0" w:space="0" w:color="auto"/>
        <w:bottom w:val="none" w:sz="0" w:space="0" w:color="auto"/>
        <w:right w:val="none" w:sz="0" w:space="0" w:color="auto"/>
      </w:divBdr>
    </w:div>
    <w:div w:id="1013610695">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48608220">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215771954">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84906171">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97685-23B0-4DC9-9BB0-BEFD64FCF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1766</Words>
  <Characters>9162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10907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cp:lastModifiedBy>
  <cp:revision>2</cp:revision>
  <dcterms:created xsi:type="dcterms:W3CDTF">2021-01-15T18:51:00Z</dcterms:created>
  <dcterms:modified xsi:type="dcterms:W3CDTF">2021-01-15T18:51:00Z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1610736669</vt:lpwstr>
  </property>
</Properties>
</file>