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70886DC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2D39D1">
        <w:rPr>
          <w:rFonts w:cs="Arial"/>
          <w:sz w:val="24"/>
          <w:szCs w:val="24"/>
          <w:lang w:val="de-DE"/>
        </w:rPr>
        <w:t>2417</w:t>
      </w:r>
      <w:bookmarkStart w:id="0" w:name="_GoBack"/>
      <w:bookmarkEnd w:id="0"/>
    </w:p>
    <w:p w14:paraId="5A5E9D28" w14:textId="4C5CDFF3" w:rsidR="00A40206" w:rsidRPr="00DB3907" w:rsidRDefault="00EE2E39" w:rsidP="00A40206">
      <w:pPr>
        <w:pStyle w:val="Header"/>
        <w:tabs>
          <w:tab w:val="left" w:pos="6521"/>
        </w:tabs>
        <w:rPr>
          <w:rFonts w:cs="Arial"/>
          <w:sz w:val="24"/>
          <w:szCs w:val="24"/>
        </w:rPr>
      </w:pPr>
      <w:r>
        <w:rPr>
          <w:rFonts w:cs="Arial"/>
          <w:sz w:val="24"/>
          <w:szCs w:val="24"/>
        </w:rPr>
        <w:t>January</w:t>
      </w:r>
      <w:r w:rsidR="00A40206">
        <w:rPr>
          <w:rFonts w:cs="Arial"/>
          <w:sz w:val="24"/>
          <w:szCs w:val="24"/>
        </w:rPr>
        <w:t xml:space="preserve"> 25</w:t>
      </w:r>
      <w:r w:rsidR="00A40206">
        <w:rPr>
          <w:rFonts w:cs="Arial"/>
          <w:sz w:val="24"/>
          <w:szCs w:val="24"/>
          <w:vertAlign w:val="superscript"/>
        </w:rPr>
        <w:t>th</w:t>
      </w:r>
      <w:r w:rsidR="00A40206">
        <w:rPr>
          <w:rFonts w:cs="Arial"/>
          <w:sz w:val="24"/>
          <w:szCs w:val="24"/>
        </w:rPr>
        <w:t xml:space="preserve"> ‒ </w:t>
      </w:r>
      <w:r>
        <w:rPr>
          <w:rFonts w:cs="Arial"/>
          <w:sz w:val="24"/>
          <w:szCs w:val="24"/>
        </w:rPr>
        <w:t>February</w:t>
      </w:r>
      <w:r w:rsidR="00A40206">
        <w:rPr>
          <w:rFonts w:cs="Arial"/>
          <w:sz w:val="24"/>
          <w:szCs w:val="24"/>
        </w:rPr>
        <w:t xml:space="preserve"> 5</w:t>
      </w:r>
      <w:r w:rsidR="00A40206">
        <w:rPr>
          <w:rFonts w:cs="Arial"/>
          <w:sz w:val="24"/>
          <w:szCs w:val="24"/>
          <w:vertAlign w:val="superscript"/>
        </w:rPr>
        <w:t>th</w:t>
      </w:r>
      <w:r w:rsidR="00A40206">
        <w:rPr>
          <w:rFonts w:cs="Arial"/>
          <w:sz w:val="24"/>
          <w:szCs w:val="24"/>
        </w:rPr>
        <w:t>, 202</w:t>
      </w:r>
      <w:r>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5862E2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B3390">
        <w:rPr>
          <w:rFonts w:ascii="Arial" w:hAnsi="Arial"/>
          <w:sz w:val="24"/>
          <w:lang w:val="en-US"/>
        </w:rPr>
        <w:t>9.34.2.2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E906755"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A172C">
        <w:rPr>
          <w:rFonts w:ascii="Arial" w:hAnsi="Arial"/>
          <w:sz w:val="24"/>
          <w:lang w:val="en-US"/>
        </w:rPr>
        <w:t>PC 1.5 for bands n77 and n78</w:t>
      </w:r>
    </w:p>
    <w:p w14:paraId="013F978F" w14:textId="3F56F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21E5D">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904905" w14:textId="06232223" w:rsidR="00EE2E39" w:rsidRDefault="000A172C" w:rsidP="00676DCA">
      <w:pPr>
        <w:rPr>
          <w:lang w:val="en-US"/>
        </w:rPr>
      </w:pPr>
      <w:r>
        <w:rPr>
          <w:lang w:val="en-US"/>
        </w:rPr>
        <w:t>Power class 1.5 with UE maximum output power of 29 dBm has been introduced into the 38.101-1 specification for Band n41 [</w:t>
      </w:r>
      <w:r w:rsidR="00B044D9">
        <w:t>1</w:t>
      </w:r>
      <w:r>
        <w:rPr>
          <w:lang w:val="en-US"/>
        </w:rPr>
        <w:t>].  More recently, a new work item [</w:t>
      </w:r>
      <w:r w:rsidR="00B044D9">
        <w:rPr>
          <w:lang w:val="en-US"/>
        </w:rPr>
        <w:t>2</w:t>
      </w:r>
      <w:r>
        <w:rPr>
          <w:lang w:val="en-US"/>
        </w:rPr>
        <w:t>] was agreed to introduce</w:t>
      </w:r>
      <w:r w:rsidR="00310352">
        <w:rPr>
          <w:lang w:val="en-US"/>
        </w:rPr>
        <w:t xml:space="preserve"> power class 1.5 for bands n77 and n78.</w:t>
      </w:r>
    </w:p>
    <w:p w14:paraId="10F6602E" w14:textId="29A34847" w:rsidR="007E1E78" w:rsidRDefault="007E1E78" w:rsidP="0099327E">
      <w:pPr>
        <w:pStyle w:val="Heading1"/>
        <w:tabs>
          <w:tab w:val="clear" w:pos="432"/>
          <w:tab w:val="num" w:pos="522"/>
        </w:tabs>
        <w:ind w:left="522" w:hanging="522"/>
        <w:rPr>
          <w:lang w:val="en-US"/>
        </w:rPr>
      </w:pPr>
      <w:r>
        <w:rPr>
          <w:lang w:val="en-US"/>
        </w:rPr>
        <w:t>Discussion</w:t>
      </w:r>
    </w:p>
    <w:p w14:paraId="78188449" w14:textId="379423BC" w:rsidR="00310352" w:rsidRDefault="00310352" w:rsidP="00310352">
      <w:pPr>
        <w:rPr>
          <w:lang w:val="en-US"/>
        </w:rPr>
      </w:pPr>
      <w:r>
        <w:rPr>
          <w:lang w:val="en-US"/>
        </w:rPr>
        <w:t>The objectives for the PC1.5 work item from [</w:t>
      </w:r>
      <w:r w:rsidR="00B044D9">
        <w:rPr>
          <w:lang w:val="en-US"/>
        </w:rPr>
        <w:t>2</w:t>
      </w:r>
      <w:r>
        <w:rPr>
          <w:lang w:val="en-US"/>
        </w:rPr>
        <w:t>] are shown below</w:t>
      </w:r>
    </w:p>
    <w:p w14:paraId="7A13B71F" w14:textId="77777777" w:rsidR="00310352" w:rsidRPr="00F94B2B" w:rsidRDefault="00310352" w:rsidP="00F94B2B">
      <w:pPr>
        <w:pStyle w:val="NoSpacing"/>
        <w:ind w:left="540" w:right="721"/>
        <w:rPr>
          <w:sz w:val="16"/>
          <w:szCs w:val="16"/>
          <w:lang w:val="en-US"/>
        </w:rPr>
      </w:pPr>
      <w:r w:rsidRPr="00F94B2B">
        <w:rPr>
          <w:sz w:val="16"/>
          <w:szCs w:val="16"/>
          <w:lang w:val="en-US"/>
        </w:rPr>
        <w:t>The objective of this work is to develop RF requirements that are applicable to new power UE mobile device and FWA operations over the 3GPP NR band n77 and n78, including</w:t>
      </w:r>
    </w:p>
    <w:p w14:paraId="61652781" w14:textId="77777777" w:rsidR="00310352" w:rsidRPr="00F94B2B" w:rsidRDefault="00310352" w:rsidP="00F94B2B">
      <w:pPr>
        <w:numPr>
          <w:ilvl w:val="0"/>
          <w:numId w:val="24"/>
        </w:numPr>
        <w:overflowPunct w:val="0"/>
        <w:autoSpaceDE w:val="0"/>
        <w:autoSpaceDN w:val="0"/>
        <w:adjustRightInd w:val="0"/>
        <w:spacing w:after="0"/>
        <w:ind w:left="540" w:right="721" w:firstLine="0"/>
        <w:textAlignment w:val="baseline"/>
        <w:rPr>
          <w:rFonts w:eastAsia="Malgun Gothic"/>
          <w:bCs/>
          <w:sz w:val="16"/>
          <w:szCs w:val="16"/>
          <w:lang w:eastAsia="ko-KR"/>
        </w:rPr>
      </w:pPr>
      <w:r w:rsidRPr="00F94B2B">
        <w:rPr>
          <w:rFonts w:eastAsia="Malgun Gothic"/>
          <w:bCs/>
          <w:sz w:val="16"/>
          <w:szCs w:val="16"/>
          <w:lang w:eastAsia="ko-KR"/>
        </w:rPr>
        <w:t>Introduce PC1.5 (29 dBm) power class and all associated requirements to both band n77 and n78 to enable single component carrier UL operation and dual-PA equipped devices for standalone NR operation.</w:t>
      </w:r>
      <w:r w:rsidRPr="00F94B2B" w:rsidDel="0062246C">
        <w:rPr>
          <w:rFonts w:eastAsia="Malgun Gothic"/>
          <w:bCs/>
          <w:sz w:val="16"/>
          <w:szCs w:val="16"/>
          <w:lang w:eastAsia="ko-KR"/>
        </w:rPr>
        <w:t xml:space="preserve"> </w:t>
      </w:r>
    </w:p>
    <w:p w14:paraId="00A97AD3" w14:textId="77777777" w:rsidR="00310352" w:rsidRPr="00F94B2B" w:rsidRDefault="00310352" w:rsidP="00F94B2B">
      <w:pPr>
        <w:numPr>
          <w:ilvl w:val="1"/>
          <w:numId w:val="24"/>
        </w:numPr>
        <w:overflowPunct w:val="0"/>
        <w:autoSpaceDE w:val="0"/>
        <w:autoSpaceDN w:val="0"/>
        <w:adjustRightInd w:val="0"/>
        <w:spacing w:after="0"/>
        <w:ind w:left="1080" w:right="721" w:hanging="180"/>
        <w:textAlignment w:val="baseline"/>
        <w:rPr>
          <w:rFonts w:eastAsia="Malgun Gothic"/>
          <w:bCs/>
          <w:sz w:val="16"/>
          <w:szCs w:val="16"/>
          <w:lang w:eastAsia="ko-KR"/>
        </w:rPr>
      </w:pPr>
      <w:r w:rsidRPr="00F94B2B">
        <w:rPr>
          <w:rFonts w:eastAsia="Malgun Gothic"/>
          <w:bCs/>
          <w:sz w:val="16"/>
          <w:szCs w:val="16"/>
          <w:lang w:eastAsia="ko-KR"/>
        </w:rPr>
        <w:t>The PC1.5 specifications are applicable to both mobile and FWA form factors</w:t>
      </w:r>
    </w:p>
    <w:p w14:paraId="00D9A6E8" w14:textId="77777777" w:rsidR="00310352" w:rsidRPr="00F94B2B" w:rsidRDefault="00310352" w:rsidP="00F94B2B">
      <w:pPr>
        <w:numPr>
          <w:ilvl w:val="1"/>
          <w:numId w:val="24"/>
        </w:numPr>
        <w:overflowPunct w:val="0"/>
        <w:autoSpaceDE w:val="0"/>
        <w:autoSpaceDN w:val="0"/>
        <w:adjustRightInd w:val="0"/>
        <w:spacing w:after="0"/>
        <w:ind w:left="1080" w:right="721" w:hanging="180"/>
        <w:textAlignment w:val="baseline"/>
        <w:rPr>
          <w:rFonts w:eastAsia="Malgun Gothic"/>
          <w:bCs/>
          <w:sz w:val="16"/>
          <w:szCs w:val="16"/>
          <w:lang w:eastAsia="ko-KR"/>
        </w:rPr>
      </w:pPr>
      <w:r w:rsidRPr="00F94B2B">
        <w:rPr>
          <w:rFonts w:eastAsia="Malgun Gothic"/>
          <w:bCs/>
          <w:sz w:val="16"/>
          <w:szCs w:val="16"/>
          <w:lang w:eastAsia="ko-KR"/>
        </w:rPr>
        <w:t>The PC1.5 specifications are applicable over the entire frequency range of Bands n77 and n78 and are not limited to operation in the US.  All regional regulations shall be adhered to.</w:t>
      </w:r>
    </w:p>
    <w:p w14:paraId="38E4B2E1" w14:textId="77777777" w:rsidR="00310352" w:rsidRPr="00F94B2B" w:rsidRDefault="00310352" w:rsidP="00F94B2B">
      <w:pPr>
        <w:numPr>
          <w:ilvl w:val="0"/>
          <w:numId w:val="24"/>
        </w:numPr>
        <w:overflowPunct w:val="0"/>
        <w:autoSpaceDE w:val="0"/>
        <w:autoSpaceDN w:val="0"/>
        <w:adjustRightInd w:val="0"/>
        <w:spacing w:after="0"/>
        <w:ind w:left="540" w:right="721" w:firstLine="0"/>
        <w:textAlignment w:val="baseline"/>
        <w:rPr>
          <w:rFonts w:eastAsia="Malgun Gothic"/>
          <w:bCs/>
          <w:sz w:val="16"/>
          <w:szCs w:val="16"/>
          <w:lang w:eastAsia="ko-KR"/>
        </w:rPr>
      </w:pPr>
      <w:r w:rsidRPr="00F94B2B">
        <w:rPr>
          <w:rFonts w:eastAsia="Malgun Gothic"/>
          <w:bCs/>
          <w:sz w:val="16"/>
          <w:szCs w:val="16"/>
          <w:lang w:eastAsia="ko-KR"/>
        </w:rPr>
        <w:t>Specify A-MPR for PC1.5 for Band n77 and n78 if needed</w:t>
      </w:r>
    </w:p>
    <w:p w14:paraId="38AF213D" w14:textId="77777777" w:rsidR="00310352" w:rsidRPr="00F94B2B" w:rsidRDefault="00310352" w:rsidP="00F94B2B">
      <w:pPr>
        <w:numPr>
          <w:ilvl w:val="0"/>
          <w:numId w:val="24"/>
        </w:numPr>
        <w:overflowPunct w:val="0"/>
        <w:autoSpaceDE w:val="0"/>
        <w:autoSpaceDN w:val="0"/>
        <w:adjustRightInd w:val="0"/>
        <w:spacing w:after="0"/>
        <w:ind w:left="540" w:right="721" w:firstLine="0"/>
        <w:textAlignment w:val="baseline"/>
        <w:rPr>
          <w:rFonts w:eastAsia="Malgun Gothic"/>
          <w:bCs/>
          <w:sz w:val="16"/>
          <w:szCs w:val="16"/>
          <w:lang w:eastAsia="ko-KR"/>
        </w:rPr>
      </w:pPr>
      <w:r w:rsidRPr="00F94B2B">
        <w:rPr>
          <w:rFonts w:eastAsia="Malgun Gothic"/>
          <w:bCs/>
          <w:sz w:val="16"/>
          <w:szCs w:val="16"/>
          <w:lang w:eastAsia="ko-KR"/>
        </w:rPr>
        <w:t>Reuse existing mechanism for PC1.5 to meet the regional SAR limit for n77 and n78 handheld device and meet all of the regulatory requirements.</w:t>
      </w:r>
    </w:p>
    <w:p w14:paraId="576F1FFE" w14:textId="0DA37587" w:rsidR="00F94B2B" w:rsidRDefault="00F94B2B" w:rsidP="00F94B2B">
      <w:pPr>
        <w:pStyle w:val="Heading2"/>
        <w:rPr>
          <w:lang w:val="en-US"/>
        </w:rPr>
      </w:pPr>
      <w:r>
        <w:rPr>
          <w:lang w:val="en-US"/>
        </w:rPr>
        <w:t xml:space="preserve">UE </w:t>
      </w:r>
      <w:r w:rsidR="00085A9C">
        <w:rPr>
          <w:lang w:val="en-US"/>
        </w:rPr>
        <w:t xml:space="preserve">device </w:t>
      </w:r>
      <w:r>
        <w:rPr>
          <w:lang w:val="en-US"/>
        </w:rPr>
        <w:t>types</w:t>
      </w:r>
      <w:r w:rsidR="000F685C">
        <w:rPr>
          <w:lang w:val="en-US"/>
        </w:rPr>
        <w:t xml:space="preserve"> -- FWA and mobile UE</w:t>
      </w:r>
    </w:p>
    <w:p w14:paraId="5243EDC1" w14:textId="4855F3F5" w:rsidR="00785429" w:rsidRPr="00024C2B" w:rsidRDefault="00F94B2B" w:rsidP="00BA4A39">
      <w:pPr>
        <w:rPr>
          <w:rFonts w:eastAsia="SimSun"/>
          <w:lang w:val="en-US" w:eastAsia="zh-CN"/>
        </w:rPr>
      </w:pPr>
      <w:r>
        <w:rPr>
          <w:lang w:val="en-US"/>
        </w:rPr>
        <w:t xml:space="preserve">Two types of devices are mentioned in the WID – UE mobile device and fixed wireless access (FWA) device.  Power class 1.5 is intended to be applicable to both of these power classes, however, the </w:t>
      </w:r>
      <w:r w:rsidR="00085A9C">
        <w:rPr>
          <w:lang w:val="en-US"/>
        </w:rPr>
        <w:t xml:space="preserve">38.101-1 </w:t>
      </w:r>
      <w:r>
        <w:rPr>
          <w:lang w:val="en-US"/>
        </w:rPr>
        <w:t xml:space="preserve">UE specifications do not </w:t>
      </w:r>
      <w:r w:rsidR="00785429">
        <w:rPr>
          <w:lang w:val="en-US"/>
        </w:rPr>
        <w:t xml:space="preserve">clearly distingush different types of UE’s.  The following mention of </w:t>
      </w:r>
      <w:r w:rsidR="00BA4A39">
        <w:rPr>
          <w:lang w:val="en-US"/>
        </w:rPr>
        <w:t>FWA</w:t>
      </w:r>
      <w:r w:rsidR="00785429">
        <w:rPr>
          <w:lang w:val="en-US"/>
        </w:rPr>
        <w:t xml:space="preserve"> are made in 38.101-1 </w:t>
      </w:r>
    </w:p>
    <w:p w14:paraId="5549A0ED" w14:textId="494FA148" w:rsidR="00785429" w:rsidRDefault="00785429" w:rsidP="00785429">
      <w:r>
        <w:t>From Table 5.2D-1</w:t>
      </w:r>
    </w:p>
    <w:p w14:paraId="3CE9D52B" w14:textId="77777777" w:rsidR="00785429" w:rsidRDefault="00785429" w:rsidP="00785429">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785429" w14:paraId="2E332704"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71A3A663" w14:textId="77777777" w:rsidR="00785429" w:rsidRDefault="00785429" w:rsidP="00D841C7">
            <w:pPr>
              <w:pStyle w:val="TAH"/>
              <w:rPr>
                <w:lang w:val="en-US" w:eastAsia="ko-KR"/>
              </w:rPr>
            </w:pPr>
            <w:r>
              <w:rPr>
                <w:lang w:eastAsia="ko-KR"/>
              </w:rPr>
              <w:t>NR operating band</w:t>
            </w:r>
          </w:p>
        </w:tc>
      </w:tr>
      <w:tr w:rsidR="00785429" w:rsidRPr="00A03B29" w14:paraId="0F3B495B" w14:textId="77777777" w:rsidTr="00D841C7">
        <w:trPr>
          <w:jc w:val="center"/>
        </w:trPr>
        <w:tc>
          <w:tcPr>
            <w:tcW w:w="4945" w:type="dxa"/>
            <w:tcBorders>
              <w:top w:val="single" w:sz="4" w:space="0" w:color="auto"/>
              <w:left w:val="single" w:sz="4" w:space="0" w:color="auto"/>
              <w:bottom w:val="nil"/>
              <w:right w:val="single" w:sz="4" w:space="0" w:color="auto"/>
            </w:tcBorders>
          </w:tcPr>
          <w:p w14:paraId="7B6C9273" w14:textId="77777777" w:rsidR="00785429" w:rsidRPr="00A03B29" w:rsidRDefault="00785429" w:rsidP="00D841C7">
            <w:pPr>
              <w:pStyle w:val="TAH"/>
              <w:rPr>
                <w:rFonts w:cs="Arial"/>
                <w:b w:val="0"/>
                <w:szCs w:val="18"/>
                <w:lang w:eastAsia="ja-JP"/>
              </w:rPr>
            </w:pPr>
            <w:r w:rsidRPr="00A03B29">
              <w:rPr>
                <w:rFonts w:cs="Arial"/>
                <w:b w:val="0"/>
                <w:szCs w:val="18"/>
                <w:lang w:eastAsia="ja-JP"/>
              </w:rPr>
              <w:t>n1</w:t>
            </w:r>
          </w:p>
        </w:tc>
      </w:tr>
      <w:tr w:rsidR="00785429" w:rsidRPr="00A03B29" w14:paraId="0DAE6B08" w14:textId="77777777" w:rsidTr="00D841C7">
        <w:trPr>
          <w:jc w:val="center"/>
        </w:trPr>
        <w:tc>
          <w:tcPr>
            <w:tcW w:w="4945" w:type="dxa"/>
            <w:tcBorders>
              <w:top w:val="single" w:sz="4" w:space="0" w:color="auto"/>
              <w:left w:val="single" w:sz="4" w:space="0" w:color="auto"/>
              <w:bottom w:val="nil"/>
              <w:right w:val="single" w:sz="4" w:space="0" w:color="auto"/>
            </w:tcBorders>
          </w:tcPr>
          <w:p w14:paraId="7079DA08" w14:textId="77777777" w:rsidR="00785429" w:rsidRPr="00A03B29" w:rsidRDefault="00785429" w:rsidP="00D841C7">
            <w:pPr>
              <w:pStyle w:val="TAH"/>
              <w:rPr>
                <w:rFonts w:cs="Arial"/>
                <w:b w:val="0"/>
                <w:szCs w:val="18"/>
                <w:lang w:eastAsia="ko-KR"/>
              </w:rPr>
            </w:pPr>
            <w:r w:rsidRPr="00A03B29">
              <w:rPr>
                <w:rFonts w:cs="Arial"/>
                <w:b w:val="0"/>
                <w:szCs w:val="18"/>
              </w:rPr>
              <w:t>n2</w:t>
            </w:r>
          </w:p>
        </w:tc>
      </w:tr>
      <w:tr w:rsidR="00785429" w:rsidRPr="00A03B29" w14:paraId="580C08F6" w14:textId="77777777" w:rsidTr="00D841C7">
        <w:trPr>
          <w:jc w:val="center"/>
        </w:trPr>
        <w:tc>
          <w:tcPr>
            <w:tcW w:w="4945" w:type="dxa"/>
            <w:tcBorders>
              <w:top w:val="single" w:sz="4" w:space="0" w:color="auto"/>
              <w:left w:val="single" w:sz="4" w:space="0" w:color="auto"/>
              <w:bottom w:val="nil"/>
              <w:right w:val="single" w:sz="4" w:space="0" w:color="auto"/>
            </w:tcBorders>
          </w:tcPr>
          <w:p w14:paraId="774CCAC6" w14:textId="77777777" w:rsidR="00785429" w:rsidRPr="00A03B29" w:rsidRDefault="00785429" w:rsidP="00D841C7">
            <w:pPr>
              <w:pStyle w:val="TAC"/>
              <w:rPr>
                <w:rFonts w:cs="Arial"/>
                <w:szCs w:val="18"/>
                <w:lang w:eastAsia="ko-KR"/>
              </w:rPr>
            </w:pPr>
            <w:r w:rsidRPr="00A03B29">
              <w:rPr>
                <w:rFonts w:cs="Arial"/>
                <w:szCs w:val="18"/>
              </w:rPr>
              <w:t>n3</w:t>
            </w:r>
          </w:p>
        </w:tc>
      </w:tr>
      <w:tr w:rsidR="00785429" w:rsidRPr="00A03B29" w14:paraId="5A23F4DA"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60C0A918" w14:textId="77777777" w:rsidR="00785429" w:rsidRPr="00A03B29" w:rsidRDefault="00785429" w:rsidP="00D841C7">
            <w:pPr>
              <w:pStyle w:val="TAC"/>
              <w:rPr>
                <w:rFonts w:cs="Arial"/>
                <w:szCs w:val="18"/>
              </w:rPr>
            </w:pPr>
            <w:r w:rsidRPr="00A03B29">
              <w:rPr>
                <w:rFonts w:cs="Arial"/>
                <w:szCs w:val="18"/>
              </w:rPr>
              <w:t>n7</w:t>
            </w:r>
          </w:p>
        </w:tc>
      </w:tr>
      <w:tr w:rsidR="00785429" w:rsidRPr="00A03B29" w14:paraId="1E5A1A67" w14:textId="77777777" w:rsidTr="00D841C7">
        <w:trPr>
          <w:jc w:val="center"/>
        </w:trPr>
        <w:tc>
          <w:tcPr>
            <w:tcW w:w="4945" w:type="dxa"/>
            <w:tcBorders>
              <w:top w:val="single" w:sz="4" w:space="0" w:color="auto"/>
              <w:left w:val="single" w:sz="4" w:space="0" w:color="auto"/>
              <w:bottom w:val="nil"/>
              <w:right w:val="single" w:sz="4" w:space="0" w:color="auto"/>
            </w:tcBorders>
          </w:tcPr>
          <w:p w14:paraId="3075480E" w14:textId="77777777" w:rsidR="00785429" w:rsidRPr="00A03B29" w:rsidRDefault="00785429" w:rsidP="00D841C7">
            <w:pPr>
              <w:pStyle w:val="TAC"/>
              <w:rPr>
                <w:rFonts w:cs="Arial"/>
                <w:szCs w:val="18"/>
              </w:rPr>
            </w:pPr>
            <w:r w:rsidRPr="00A03B29">
              <w:rPr>
                <w:rFonts w:cs="Arial"/>
                <w:szCs w:val="18"/>
              </w:rPr>
              <w:t>n25</w:t>
            </w:r>
          </w:p>
        </w:tc>
      </w:tr>
      <w:tr w:rsidR="00785429" w:rsidRPr="00A03B29" w14:paraId="645AC4B8" w14:textId="77777777" w:rsidTr="00D841C7">
        <w:trPr>
          <w:jc w:val="center"/>
        </w:trPr>
        <w:tc>
          <w:tcPr>
            <w:tcW w:w="4945" w:type="dxa"/>
            <w:tcBorders>
              <w:top w:val="single" w:sz="4" w:space="0" w:color="auto"/>
              <w:left w:val="single" w:sz="4" w:space="0" w:color="auto"/>
              <w:bottom w:val="nil"/>
              <w:right w:val="single" w:sz="4" w:space="0" w:color="auto"/>
            </w:tcBorders>
          </w:tcPr>
          <w:p w14:paraId="01B3A8AE" w14:textId="77777777" w:rsidR="00785429" w:rsidRPr="00A03B29" w:rsidRDefault="00785429" w:rsidP="00D841C7">
            <w:pPr>
              <w:pStyle w:val="TAC"/>
              <w:rPr>
                <w:rFonts w:cs="Arial"/>
                <w:szCs w:val="18"/>
              </w:rPr>
            </w:pPr>
            <w:r w:rsidRPr="00A03B29">
              <w:rPr>
                <w:rFonts w:cs="Arial"/>
                <w:szCs w:val="18"/>
              </w:rPr>
              <w:t>n30</w:t>
            </w:r>
            <w:r w:rsidRPr="00A03B29">
              <w:rPr>
                <w:rFonts w:cs="Arial"/>
                <w:szCs w:val="18"/>
                <w:vertAlign w:val="superscript"/>
              </w:rPr>
              <w:t>1</w:t>
            </w:r>
          </w:p>
        </w:tc>
      </w:tr>
      <w:tr w:rsidR="00785429" w:rsidRPr="00A03B29" w14:paraId="0673D89C" w14:textId="77777777" w:rsidTr="00D841C7">
        <w:trPr>
          <w:jc w:val="center"/>
        </w:trPr>
        <w:tc>
          <w:tcPr>
            <w:tcW w:w="4945" w:type="dxa"/>
            <w:tcBorders>
              <w:top w:val="single" w:sz="4" w:space="0" w:color="auto"/>
              <w:left w:val="single" w:sz="4" w:space="0" w:color="auto"/>
              <w:bottom w:val="nil"/>
              <w:right w:val="single" w:sz="4" w:space="0" w:color="auto"/>
            </w:tcBorders>
          </w:tcPr>
          <w:p w14:paraId="0939B8D1" w14:textId="77777777" w:rsidR="00785429" w:rsidRPr="00A03B29" w:rsidRDefault="00785429" w:rsidP="00D841C7">
            <w:pPr>
              <w:pStyle w:val="TAC"/>
              <w:rPr>
                <w:rFonts w:cs="Arial"/>
                <w:szCs w:val="18"/>
                <w:lang w:eastAsia="ko-KR"/>
              </w:rPr>
            </w:pPr>
            <w:r w:rsidRPr="00A03B29">
              <w:rPr>
                <w:rFonts w:cs="Arial"/>
                <w:szCs w:val="18"/>
              </w:rPr>
              <w:t>n34</w:t>
            </w:r>
          </w:p>
        </w:tc>
      </w:tr>
      <w:tr w:rsidR="00785429" w:rsidRPr="00A03B29" w14:paraId="1280F4BF"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2549925E" w14:textId="77777777" w:rsidR="00785429" w:rsidRPr="00A03B29" w:rsidRDefault="00785429" w:rsidP="00D841C7">
            <w:pPr>
              <w:pStyle w:val="TAC"/>
              <w:rPr>
                <w:rFonts w:cs="Arial"/>
                <w:szCs w:val="18"/>
              </w:rPr>
            </w:pPr>
            <w:r w:rsidRPr="00A03B29">
              <w:rPr>
                <w:rFonts w:cs="Arial"/>
                <w:szCs w:val="18"/>
              </w:rPr>
              <w:t>n38</w:t>
            </w:r>
          </w:p>
        </w:tc>
      </w:tr>
      <w:tr w:rsidR="00785429" w:rsidRPr="00A03B29" w14:paraId="632AA92C" w14:textId="77777777" w:rsidTr="00D841C7">
        <w:trPr>
          <w:jc w:val="center"/>
        </w:trPr>
        <w:tc>
          <w:tcPr>
            <w:tcW w:w="4945" w:type="dxa"/>
            <w:tcBorders>
              <w:top w:val="single" w:sz="4" w:space="0" w:color="auto"/>
              <w:left w:val="single" w:sz="4" w:space="0" w:color="auto"/>
              <w:bottom w:val="nil"/>
              <w:right w:val="single" w:sz="4" w:space="0" w:color="auto"/>
            </w:tcBorders>
          </w:tcPr>
          <w:p w14:paraId="7839F9A2" w14:textId="77777777" w:rsidR="00785429" w:rsidRPr="00A03B29" w:rsidRDefault="00785429" w:rsidP="00D841C7">
            <w:pPr>
              <w:pStyle w:val="TAC"/>
              <w:rPr>
                <w:rFonts w:cs="Arial"/>
                <w:szCs w:val="18"/>
                <w:lang w:eastAsia="ko-KR"/>
              </w:rPr>
            </w:pPr>
            <w:r w:rsidRPr="00A03B29">
              <w:rPr>
                <w:rFonts w:cs="Arial"/>
                <w:szCs w:val="18"/>
              </w:rPr>
              <w:t>n39</w:t>
            </w:r>
          </w:p>
        </w:tc>
      </w:tr>
      <w:tr w:rsidR="00785429" w:rsidRPr="00A03B29" w14:paraId="465D2D4A" w14:textId="77777777" w:rsidTr="00D841C7">
        <w:trPr>
          <w:jc w:val="center"/>
        </w:trPr>
        <w:tc>
          <w:tcPr>
            <w:tcW w:w="4945" w:type="dxa"/>
            <w:tcBorders>
              <w:top w:val="single" w:sz="4" w:space="0" w:color="auto"/>
              <w:left w:val="single" w:sz="4" w:space="0" w:color="auto"/>
              <w:bottom w:val="nil"/>
              <w:right w:val="single" w:sz="4" w:space="0" w:color="auto"/>
            </w:tcBorders>
          </w:tcPr>
          <w:p w14:paraId="76A8D76B" w14:textId="77777777" w:rsidR="00785429" w:rsidRPr="00A03B29" w:rsidRDefault="00785429" w:rsidP="00D841C7">
            <w:pPr>
              <w:pStyle w:val="TAC"/>
              <w:rPr>
                <w:rFonts w:cs="Arial"/>
                <w:szCs w:val="18"/>
                <w:lang w:eastAsia="ko-KR"/>
              </w:rPr>
            </w:pPr>
            <w:r w:rsidRPr="00A03B29">
              <w:rPr>
                <w:rFonts w:cs="Arial"/>
                <w:szCs w:val="18"/>
              </w:rPr>
              <w:t>n40</w:t>
            </w:r>
          </w:p>
        </w:tc>
      </w:tr>
      <w:tr w:rsidR="00785429" w:rsidRPr="00A03B29" w14:paraId="1D9F8716"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7F9F4ED0" w14:textId="77777777" w:rsidR="00785429" w:rsidRPr="00A03B29" w:rsidRDefault="00785429" w:rsidP="00D841C7">
            <w:pPr>
              <w:pStyle w:val="TAC"/>
              <w:rPr>
                <w:rFonts w:cs="Arial"/>
                <w:szCs w:val="18"/>
                <w:lang w:eastAsia="ko-KR"/>
              </w:rPr>
            </w:pPr>
            <w:r w:rsidRPr="00A03B29">
              <w:rPr>
                <w:rFonts w:cs="Arial"/>
                <w:szCs w:val="18"/>
                <w:lang w:eastAsia="ko-KR"/>
              </w:rPr>
              <w:t>n41</w:t>
            </w:r>
          </w:p>
        </w:tc>
      </w:tr>
      <w:tr w:rsidR="00785429" w:rsidRPr="00A03B29" w14:paraId="15A841BF" w14:textId="77777777" w:rsidTr="00D841C7">
        <w:trPr>
          <w:jc w:val="center"/>
        </w:trPr>
        <w:tc>
          <w:tcPr>
            <w:tcW w:w="4945" w:type="dxa"/>
            <w:tcBorders>
              <w:top w:val="single" w:sz="4" w:space="0" w:color="auto"/>
              <w:left w:val="single" w:sz="4" w:space="0" w:color="auto"/>
              <w:bottom w:val="nil"/>
              <w:right w:val="single" w:sz="4" w:space="0" w:color="auto"/>
            </w:tcBorders>
          </w:tcPr>
          <w:p w14:paraId="0C0E24D9" w14:textId="77777777" w:rsidR="00785429" w:rsidRPr="00A03B29" w:rsidRDefault="00785429" w:rsidP="00D841C7">
            <w:pPr>
              <w:pStyle w:val="TAC"/>
              <w:rPr>
                <w:rFonts w:cs="Arial"/>
                <w:szCs w:val="18"/>
                <w:lang w:eastAsia="ko-KR"/>
              </w:rPr>
            </w:pPr>
            <w:r>
              <w:rPr>
                <w:rFonts w:cs="Arial"/>
                <w:szCs w:val="18"/>
                <w:lang w:eastAsia="ko-KR"/>
              </w:rPr>
              <w:t>n46</w:t>
            </w:r>
          </w:p>
        </w:tc>
      </w:tr>
      <w:tr w:rsidR="00785429" w:rsidRPr="00A03B29" w14:paraId="54777751"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72EEF69A" w14:textId="77777777" w:rsidR="00785429" w:rsidRPr="00A03B29" w:rsidRDefault="00785429" w:rsidP="00D841C7">
            <w:pPr>
              <w:pStyle w:val="TAC"/>
              <w:rPr>
                <w:rFonts w:cs="Arial"/>
                <w:szCs w:val="18"/>
                <w:lang w:eastAsia="ko-KR"/>
              </w:rPr>
            </w:pPr>
            <w:r w:rsidRPr="00A03B29">
              <w:rPr>
                <w:rFonts w:cs="Arial"/>
                <w:szCs w:val="18"/>
                <w:lang w:eastAsia="ko-KR"/>
              </w:rPr>
              <w:t>n48</w:t>
            </w:r>
          </w:p>
        </w:tc>
      </w:tr>
      <w:tr w:rsidR="00785429" w:rsidRPr="00A03B29" w14:paraId="7837C52A" w14:textId="77777777" w:rsidTr="00D841C7">
        <w:trPr>
          <w:jc w:val="center"/>
        </w:trPr>
        <w:tc>
          <w:tcPr>
            <w:tcW w:w="4945" w:type="dxa"/>
            <w:tcBorders>
              <w:top w:val="single" w:sz="4" w:space="0" w:color="auto"/>
              <w:left w:val="single" w:sz="4" w:space="0" w:color="auto"/>
              <w:bottom w:val="nil"/>
              <w:right w:val="single" w:sz="4" w:space="0" w:color="auto"/>
            </w:tcBorders>
          </w:tcPr>
          <w:p w14:paraId="0629448F" w14:textId="77777777" w:rsidR="00785429" w:rsidRPr="00A03B29" w:rsidRDefault="00785429" w:rsidP="00D841C7">
            <w:pPr>
              <w:pStyle w:val="TAC"/>
              <w:rPr>
                <w:rFonts w:cs="Arial"/>
                <w:szCs w:val="18"/>
                <w:lang w:eastAsia="ko-KR"/>
              </w:rPr>
            </w:pPr>
            <w:r w:rsidRPr="00A03B29">
              <w:rPr>
                <w:rFonts w:cs="Arial"/>
                <w:szCs w:val="18"/>
              </w:rPr>
              <w:t>n66</w:t>
            </w:r>
          </w:p>
        </w:tc>
      </w:tr>
      <w:tr w:rsidR="00785429" w:rsidRPr="00A03B29" w14:paraId="55DFD642" w14:textId="77777777" w:rsidTr="00D841C7">
        <w:trPr>
          <w:jc w:val="center"/>
        </w:trPr>
        <w:tc>
          <w:tcPr>
            <w:tcW w:w="4945" w:type="dxa"/>
            <w:tcBorders>
              <w:top w:val="single" w:sz="4" w:space="0" w:color="auto"/>
              <w:left w:val="single" w:sz="4" w:space="0" w:color="auto"/>
              <w:bottom w:val="nil"/>
              <w:right w:val="single" w:sz="4" w:space="0" w:color="auto"/>
            </w:tcBorders>
          </w:tcPr>
          <w:p w14:paraId="0E93C456" w14:textId="77777777" w:rsidR="00785429" w:rsidRPr="00A03B29" w:rsidRDefault="00785429" w:rsidP="00D841C7">
            <w:pPr>
              <w:pStyle w:val="TAC"/>
              <w:rPr>
                <w:rFonts w:cs="Arial"/>
                <w:szCs w:val="18"/>
              </w:rPr>
            </w:pPr>
            <w:r w:rsidRPr="00A03B29">
              <w:rPr>
                <w:rFonts w:cs="Arial"/>
                <w:szCs w:val="18"/>
              </w:rPr>
              <w:t>n70</w:t>
            </w:r>
          </w:p>
        </w:tc>
      </w:tr>
      <w:tr w:rsidR="00785429" w:rsidRPr="00A03B29" w14:paraId="28D84282" w14:textId="77777777" w:rsidTr="00D841C7">
        <w:trPr>
          <w:jc w:val="center"/>
        </w:trPr>
        <w:tc>
          <w:tcPr>
            <w:tcW w:w="4945" w:type="dxa"/>
            <w:tcBorders>
              <w:top w:val="single" w:sz="4" w:space="0" w:color="auto"/>
              <w:left w:val="single" w:sz="4" w:space="0" w:color="auto"/>
              <w:bottom w:val="nil"/>
              <w:right w:val="single" w:sz="4" w:space="0" w:color="auto"/>
            </w:tcBorders>
          </w:tcPr>
          <w:p w14:paraId="072B729A" w14:textId="77777777" w:rsidR="00785429" w:rsidRPr="00CE1654" w:rsidRDefault="00785429" w:rsidP="00D841C7">
            <w:pPr>
              <w:pStyle w:val="TAC"/>
              <w:rPr>
                <w:rFonts w:cs="Arial"/>
                <w:szCs w:val="18"/>
              </w:rPr>
            </w:pPr>
            <w:r w:rsidRPr="00A03B29">
              <w:rPr>
                <w:rFonts w:cs="Arial"/>
                <w:szCs w:val="18"/>
              </w:rPr>
              <w:t>n71</w:t>
            </w:r>
            <w:r>
              <w:rPr>
                <w:rFonts w:cs="Arial"/>
                <w:szCs w:val="18"/>
                <w:vertAlign w:val="superscript"/>
              </w:rPr>
              <w:t>2</w:t>
            </w:r>
          </w:p>
        </w:tc>
      </w:tr>
      <w:tr w:rsidR="00785429" w:rsidRPr="00A03B29" w14:paraId="365A65BE" w14:textId="77777777" w:rsidTr="00D841C7">
        <w:trPr>
          <w:jc w:val="center"/>
        </w:trPr>
        <w:tc>
          <w:tcPr>
            <w:tcW w:w="4945" w:type="dxa"/>
            <w:tcBorders>
              <w:top w:val="single" w:sz="4" w:space="0" w:color="auto"/>
              <w:left w:val="single" w:sz="4" w:space="0" w:color="auto"/>
              <w:bottom w:val="nil"/>
              <w:right w:val="single" w:sz="4" w:space="0" w:color="auto"/>
            </w:tcBorders>
            <w:hideMark/>
          </w:tcPr>
          <w:p w14:paraId="0B7C306C" w14:textId="77777777" w:rsidR="00785429" w:rsidRPr="00A03B29" w:rsidRDefault="00785429" w:rsidP="00D841C7">
            <w:pPr>
              <w:pStyle w:val="TAC"/>
              <w:rPr>
                <w:rFonts w:cs="Arial"/>
                <w:szCs w:val="18"/>
                <w:lang w:eastAsia="ko-KR"/>
              </w:rPr>
            </w:pPr>
            <w:r w:rsidRPr="00A03B29">
              <w:rPr>
                <w:rFonts w:cs="Arial"/>
                <w:szCs w:val="18"/>
                <w:lang w:eastAsia="ko-KR"/>
              </w:rPr>
              <w:t>n77</w:t>
            </w:r>
          </w:p>
        </w:tc>
      </w:tr>
      <w:tr w:rsidR="00785429" w:rsidRPr="00A03B29" w14:paraId="5F76EC00" w14:textId="77777777" w:rsidTr="00D841C7">
        <w:trPr>
          <w:jc w:val="center"/>
        </w:trPr>
        <w:tc>
          <w:tcPr>
            <w:tcW w:w="4945" w:type="dxa"/>
            <w:tcBorders>
              <w:top w:val="single" w:sz="4" w:space="0" w:color="auto"/>
              <w:left w:val="single" w:sz="4" w:space="0" w:color="auto"/>
              <w:bottom w:val="single" w:sz="4" w:space="0" w:color="auto"/>
              <w:right w:val="single" w:sz="4" w:space="0" w:color="auto"/>
            </w:tcBorders>
            <w:hideMark/>
          </w:tcPr>
          <w:p w14:paraId="44FE00F1" w14:textId="77777777" w:rsidR="00785429" w:rsidRPr="00A03B29" w:rsidRDefault="00785429" w:rsidP="00D841C7">
            <w:pPr>
              <w:pStyle w:val="TAC"/>
              <w:rPr>
                <w:rFonts w:cs="Arial"/>
                <w:szCs w:val="18"/>
                <w:lang w:eastAsia="ko-KR"/>
              </w:rPr>
            </w:pPr>
            <w:r w:rsidRPr="00A03B29">
              <w:rPr>
                <w:rFonts w:cs="Arial"/>
                <w:szCs w:val="18"/>
                <w:lang w:eastAsia="ko-KR"/>
              </w:rPr>
              <w:t>n78</w:t>
            </w:r>
          </w:p>
        </w:tc>
      </w:tr>
      <w:tr w:rsidR="00785429" w:rsidRPr="00A03B29" w14:paraId="2CAEBF03" w14:textId="77777777" w:rsidTr="00D841C7">
        <w:trPr>
          <w:jc w:val="center"/>
        </w:trPr>
        <w:tc>
          <w:tcPr>
            <w:tcW w:w="4945" w:type="dxa"/>
            <w:tcBorders>
              <w:top w:val="single" w:sz="4" w:space="0" w:color="auto"/>
              <w:left w:val="single" w:sz="4" w:space="0" w:color="auto"/>
              <w:bottom w:val="single" w:sz="4" w:space="0" w:color="auto"/>
              <w:right w:val="single" w:sz="4" w:space="0" w:color="auto"/>
            </w:tcBorders>
            <w:hideMark/>
          </w:tcPr>
          <w:p w14:paraId="70489CA8" w14:textId="77777777" w:rsidR="00785429" w:rsidRPr="00A03B29" w:rsidRDefault="00785429" w:rsidP="00D841C7">
            <w:pPr>
              <w:pStyle w:val="TAC"/>
              <w:rPr>
                <w:rFonts w:cs="Arial"/>
                <w:szCs w:val="18"/>
                <w:lang w:eastAsia="ko-KR"/>
              </w:rPr>
            </w:pPr>
            <w:r w:rsidRPr="00A03B29">
              <w:rPr>
                <w:rFonts w:cs="Arial"/>
                <w:szCs w:val="18"/>
                <w:lang w:eastAsia="ko-KR"/>
              </w:rPr>
              <w:t>n79</w:t>
            </w:r>
          </w:p>
        </w:tc>
      </w:tr>
      <w:tr w:rsidR="00785429" w:rsidRPr="00A03B29" w14:paraId="7D00831E" w14:textId="77777777" w:rsidTr="00D841C7">
        <w:trPr>
          <w:jc w:val="center"/>
        </w:trPr>
        <w:tc>
          <w:tcPr>
            <w:tcW w:w="4945" w:type="dxa"/>
            <w:tcBorders>
              <w:top w:val="single" w:sz="4" w:space="0" w:color="auto"/>
              <w:left w:val="single" w:sz="4" w:space="0" w:color="auto"/>
              <w:bottom w:val="single" w:sz="4" w:space="0" w:color="auto"/>
              <w:right w:val="single" w:sz="4" w:space="0" w:color="auto"/>
            </w:tcBorders>
          </w:tcPr>
          <w:p w14:paraId="46E291CF" w14:textId="77777777" w:rsidR="00785429" w:rsidRPr="00A03B29" w:rsidRDefault="00785429" w:rsidP="00D841C7">
            <w:pPr>
              <w:pStyle w:val="TAC"/>
              <w:rPr>
                <w:rFonts w:cs="Arial"/>
                <w:szCs w:val="18"/>
                <w:lang w:eastAsia="ko-KR"/>
              </w:rPr>
            </w:pPr>
            <w:r>
              <w:rPr>
                <w:rFonts w:cs="Arial"/>
                <w:szCs w:val="18"/>
                <w:lang w:eastAsia="ko-KR"/>
              </w:rPr>
              <w:t>n96</w:t>
            </w:r>
          </w:p>
        </w:tc>
      </w:tr>
      <w:tr w:rsidR="00785429" w:rsidRPr="00A03B29" w14:paraId="105F5F8A" w14:textId="77777777" w:rsidTr="00D841C7">
        <w:trPr>
          <w:jc w:val="center"/>
        </w:trPr>
        <w:tc>
          <w:tcPr>
            <w:tcW w:w="4945" w:type="dxa"/>
            <w:tcBorders>
              <w:top w:val="single" w:sz="4" w:space="0" w:color="auto"/>
              <w:left w:val="single" w:sz="4" w:space="0" w:color="auto"/>
              <w:bottom w:val="single" w:sz="4" w:space="0" w:color="auto"/>
              <w:right w:val="single" w:sz="4" w:space="0" w:color="auto"/>
            </w:tcBorders>
          </w:tcPr>
          <w:p w14:paraId="17B31CB2" w14:textId="77777777" w:rsidR="00785429" w:rsidRDefault="00785429" w:rsidP="00D841C7">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4D60A9D0" w14:textId="77777777" w:rsidR="00785429" w:rsidRPr="00A03B29" w:rsidRDefault="00785429" w:rsidP="00D841C7">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2E16178" w14:textId="77777777" w:rsidR="00BA4A39" w:rsidRDefault="00BA4A39" w:rsidP="00BA4A39">
      <w:pPr>
        <w:rPr>
          <w:rFonts w:eastAsia="SimSun"/>
          <w:bCs/>
          <w:lang w:val="en-US" w:eastAsia="zh-CN"/>
        </w:rPr>
      </w:pPr>
    </w:p>
    <w:p w14:paraId="7E8DBD8B" w14:textId="326B8BDD" w:rsidR="00BA4A39" w:rsidRDefault="00BA4A39" w:rsidP="00BA4A39">
      <w:pPr>
        <w:rPr>
          <w:rFonts w:eastAsia="SimSun"/>
          <w:bCs/>
          <w:lang w:val="en-US" w:eastAsia="zh-CN"/>
        </w:rPr>
      </w:pPr>
      <w:r>
        <w:rPr>
          <w:rFonts w:eastAsia="SimSun"/>
          <w:bCs/>
          <w:lang w:val="en-US" w:eastAsia="zh-CN"/>
        </w:rPr>
        <w:t>From Table 7.3.2-2</w:t>
      </w:r>
    </w:p>
    <w:p w14:paraId="1EAD7F80" w14:textId="77777777" w:rsidR="00BA4A39" w:rsidRPr="001C0CC4" w:rsidRDefault="00BA4A39" w:rsidP="00BA4A39">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A4A39" w:rsidRPr="00F3410D" w14:paraId="35BB76DB" w14:textId="77777777" w:rsidTr="00D841C7">
        <w:trPr>
          <w:jc w:val="center"/>
        </w:trPr>
        <w:tc>
          <w:tcPr>
            <w:tcW w:w="2889" w:type="dxa"/>
          </w:tcPr>
          <w:p w14:paraId="01010AAD" w14:textId="77777777" w:rsidR="00BA4A39" w:rsidRPr="00F3410D" w:rsidRDefault="00BA4A39" w:rsidP="00D841C7">
            <w:pPr>
              <w:pStyle w:val="TAH"/>
            </w:pPr>
            <w:r w:rsidRPr="00F3410D">
              <w:t>Operating band</w:t>
            </w:r>
          </w:p>
        </w:tc>
        <w:tc>
          <w:tcPr>
            <w:tcW w:w="2970" w:type="dxa"/>
          </w:tcPr>
          <w:p w14:paraId="200332AA" w14:textId="77777777" w:rsidR="00BA4A39" w:rsidRPr="00F3410D" w:rsidRDefault="00BA4A39" w:rsidP="00D841C7">
            <w:pPr>
              <w:pStyle w:val="TAH"/>
            </w:pPr>
            <w:r w:rsidRPr="00F3410D">
              <w:t>ΔR</w:t>
            </w:r>
            <w:r w:rsidRPr="00F3410D">
              <w:rPr>
                <w:vertAlign w:val="subscript"/>
              </w:rPr>
              <w:t xml:space="preserve">IB,4R </w:t>
            </w:r>
            <w:r w:rsidRPr="00F3410D">
              <w:t>(dB)</w:t>
            </w:r>
          </w:p>
        </w:tc>
      </w:tr>
      <w:tr w:rsidR="00BA4A39" w:rsidRPr="00877D2E" w14:paraId="047413C6" w14:textId="77777777" w:rsidTr="00D841C7">
        <w:trPr>
          <w:jc w:val="center"/>
        </w:trPr>
        <w:tc>
          <w:tcPr>
            <w:tcW w:w="2889" w:type="dxa"/>
            <w:vAlign w:val="center"/>
          </w:tcPr>
          <w:p w14:paraId="73CB7F64" w14:textId="77777777" w:rsidR="00BA4A39" w:rsidRPr="00877D2E" w:rsidRDefault="00BA4A39" w:rsidP="00D841C7">
            <w:pPr>
              <w:pStyle w:val="TAC"/>
            </w:pPr>
            <w:r w:rsidRPr="00877D2E">
              <w:t>n28, n71</w:t>
            </w:r>
          </w:p>
        </w:tc>
        <w:tc>
          <w:tcPr>
            <w:tcW w:w="2970" w:type="dxa"/>
            <w:vAlign w:val="center"/>
          </w:tcPr>
          <w:p w14:paraId="60E320F4" w14:textId="77777777" w:rsidR="00BA4A39" w:rsidRPr="00877D2E" w:rsidRDefault="00BA4A39" w:rsidP="00D841C7">
            <w:pPr>
              <w:pStyle w:val="TAC"/>
            </w:pPr>
            <w:r w:rsidRPr="00877D2E">
              <w:t>-2.7</w:t>
            </w:r>
            <w:r w:rsidRPr="00EA24EF">
              <w:rPr>
                <w:vertAlign w:val="superscript"/>
              </w:rPr>
              <w:t>1</w:t>
            </w:r>
          </w:p>
        </w:tc>
      </w:tr>
      <w:tr w:rsidR="00BA4A39" w:rsidRPr="00877D2E" w14:paraId="14F96139" w14:textId="77777777" w:rsidTr="00D841C7">
        <w:trPr>
          <w:jc w:val="center"/>
        </w:trPr>
        <w:tc>
          <w:tcPr>
            <w:tcW w:w="2889" w:type="dxa"/>
            <w:vAlign w:val="center"/>
          </w:tcPr>
          <w:p w14:paraId="74275251" w14:textId="77777777" w:rsidR="00BA4A39" w:rsidRPr="00877D2E" w:rsidRDefault="00BA4A39" w:rsidP="00D841C7">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238DE0E4" w14:textId="77777777" w:rsidR="00BA4A39" w:rsidRPr="00877D2E" w:rsidRDefault="00BA4A39" w:rsidP="00D841C7">
            <w:pPr>
              <w:pStyle w:val="TAC"/>
            </w:pPr>
            <w:r w:rsidRPr="00877D2E">
              <w:t>-2.7</w:t>
            </w:r>
          </w:p>
        </w:tc>
      </w:tr>
      <w:tr w:rsidR="00BA4A39" w:rsidRPr="00877D2E" w14:paraId="7AEC619C" w14:textId="77777777" w:rsidTr="00D841C7">
        <w:trPr>
          <w:jc w:val="center"/>
        </w:trPr>
        <w:tc>
          <w:tcPr>
            <w:tcW w:w="2889" w:type="dxa"/>
            <w:vAlign w:val="center"/>
          </w:tcPr>
          <w:p w14:paraId="3E138BBE" w14:textId="77777777" w:rsidR="00BA4A39" w:rsidRPr="00877D2E" w:rsidRDefault="00BA4A39" w:rsidP="00D841C7">
            <w:pPr>
              <w:pStyle w:val="TAC"/>
              <w:rPr>
                <w:rFonts w:eastAsia="Calibri"/>
              </w:rPr>
            </w:pPr>
            <w:r w:rsidRPr="00877D2E">
              <w:rPr>
                <w:rFonts w:eastAsia="Calibri"/>
              </w:rPr>
              <w:t>n48, n77, n78, n79</w:t>
            </w:r>
          </w:p>
        </w:tc>
        <w:tc>
          <w:tcPr>
            <w:tcW w:w="2970" w:type="dxa"/>
            <w:vAlign w:val="center"/>
          </w:tcPr>
          <w:p w14:paraId="0EE4CF2B" w14:textId="77777777" w:rsidR="00BA4A39" w:rsidRPr="00877D2E" w:rsidRDefault="00BA4A39" w:rsidP="00D841C7">
            <w:pPr>
              <w:pStyle w:val="TAC"/>
            </w:pPr>
            <w:r w:rsidRPr="00877D2E">
              <w:t>-2.2</w:t>
            </w:r>
          </w:p>
        </w:tc>
      </w:tr>
      <w:tr w:rsidR="00BA4A39" w:rsidRPr="00877D2E" w14:paraId="4305B5B1" w14:textId="77777777" w:rsidTr="00D841C7">
        <w:trPr>
          <w:jc w:val="center"/>
        </w:trPr>
        <w:tc>
          <w:tcPr>
            <w:tcW w:w="5859" w:type="dxa"/>
            <w:gridSpan w:val="2"/>
            <w:vAlign w:val="center"/>
          </w:tcPr>
          <w:p w14:paraId="59699854" w14:textId="77777777" w:rsidR="00BA4A39" w:rsidRPr="00877D2E" w:rsidRDefault="00BA4A39" w:rsidP="00D841C7">
            <w:pPr>
              <w:pStyle w:val="TAC"/>
              <w:jc w:val="left"/>
            </w:pPr>
            <w:r w:rsidRPr="00877D2E">
              <w:t>NOTE 1:</w:t>
            </w:r>
            <w:r w:rsidRPr="00877D2E">
              <w:tab/>
              <w:t>4 Rx operation is targeted for FWA form factor</w:t>
            </w:r>
          </w:p>
        </w:tc>
      </w:tr>
    </w:tbl>
    <w:p w14:paraId="4D1825B6" w14:textId="77777777" w:rsidR="00BA4A39" w:rsidRDefault="00BA4A39" w:rsidP="00BA4A39"/>
    <w:p w14:paraId="41D93D99" w14:textId="42213646" w:rsidR="00BA4A39" w:rsidRDefault="00785429" w:rsidP="00310352">
      <w:r>
        <w:t xml:space="preserve">The purpose of identifying </w:t>
      </w:r>
      <w:r w:rsidR="00BA4A39">
        <w:t>FWA form factor is to provide guidance to the designer that UL and DL MIMO are targeted for FWA form factors; in other words, it is not expected that UL and DL MIMO in the low frequency bands are available in mobile handheld UE’s.  On the other hand, there is nothing in the requirements prohibiting a mobile handheld UE from supporting MIMO in these bands, so long as it can meet the associated minimum requirements.</w:t>
      </w:r>
    </w:p>
    <w:p w14:paraId="1B20EC64" w14:textId="657B59FC" w:rsidR="00BA4A39" w:rsidRDefault="00BA4A39" w:rsidP="00310352">
      <w:r>
        <w:t xml:space="preserve">For PC 1.5, </w:t>
      </w:r>
      <w:r w:rsidR="00651DBD">
        <w:t>there is similarly a performance gap achievable by an FWA form factor device that may not be met by a mobile handheld UE.  The FWA device is not as constrained in size, power consumption, and thermal dissipation in the same way that a mobile UE is.  Therefore, it should be possible for the FWA device to outfit more antennas, achieve better antenna placement and isolation, as well as possibly employ a more linear front-end design with improved filtering.  The FWA device may also have more modest requirements in the number of bands to be supported which can reduce its front-end complexity offseting the increase the complexity coming from a higher number of antennas to support higher order MIMO.</w:t>
      </w:r>
    </w:p>
    <w:p w14:paraId="48381561" w14:textId="66A2A8DF" w:rsidR="00651DBD" w:rsidRDefault="00651DBD" w:rsidP="00310352">
      <w:r>
        <w:t xml:space="preserve">Two approaches can be envisioned to derive specifications for the FWA device and the mobile UE.  </w:t>
      </w:r>
      <w:r w:rsidR="004F2600">
        <w:t xml:space="preserve">The first is to derive requirements based on the worst case performance between all form factors.  In this case, that is expected to be the mobile UE.  In this way, a FWA device should be able to easily meet the requirements and should very likely exceed them significantly.  At the same time, mobile UE devices will not be held to more stringent requirements that only FWA device could meet.  The second approach is to define two sets of requirements where they are expected to differ; for example, there may be two reference sensitivity requirements with a more stringent one for FWA and a more relaxed one for mobile UE devices.  </w:t>
      </w:r>
    </w:p>
    <w:p w14:paraId="09356A00" w14:textId="3B280031" w:rsidR="004F2600" w:rsidRPr="00D603DC" w:rsidRDefault="004F2600" w:rsidP="00310352">
      <w:pPr>
        <w:rPr>
          <w:b/>
          <w:bCs/>
        </w:rPr>
      </w:pPr>
      <w:r w:rsidRPr="00D603DC">
        <w:rPr>
          <w:b/>
          <w:bCs/>
        </w:rPr>
        <w:t xml:space="preserve">Observation:  Two approaches are available to derive requirements for FWA and </w:t>
      </w:r>
      <w:r w:rsidR="00D603DC" w:rsidRPr="00D603DC">
        <w:rPr>
          <w:b/>
          <w:bCs/>
        </w:rPr>
        <w:t>mobile UE.  The minimum requirement is based on mobile UE with the expectation that FWA can easily meet this, or two sets of requirements are defined according to each device type.</w:t>
      </w:r>
    </w:p>
    <w:p w14:paraId="2FE81BDC" w14:textId="5035245C" w:rsidR="00FC6066" w:rsidRDefault="00D603DC" w:rsidP="00310352">
      <w:r>
        <w:lastRenderedPageBreak/>
        <w:t xml:space="preserve">The advantage of defining a single set of requirements based on mobile UE is its simplicity.  Not only is a single set of requirements simpler from a requirements perspective, it also simplifies signaling or declaration since the UE does not need to indicate to the tester or to the network which set of requirements it complies with.  Moreover, single set of </w:t>
      </w:r>
      <w:r w:rsidRPr="00C16ED2">
        <w:t xml:space="preserve">requirements has already been defined for PC1.5 in Band n41 since FWA was not a </w:t>
      </w:r>
      <w:r w:rsidR="00C16ED2" w:rsidRPr="00C16ED2">
        <w:t xml:space="preserve">specific </w:t>
      </w:r>
      <w:r w:rsidRPr="00C16ED2">
        <w:t>consideration in that work</w:t>
      </w:r>
      <w:r>
        <w:t xml:space="preserve"> item; therefore, the same requirements in Band n77 and n78 can be extended more straightforwardly.  The disadvantage to following this simpler approach is that it does not adequately specify the requirement for an FWA.  </w:t>
      </w:r>
      <w:r w:rsidR="00D21E5D">
        <w:t xml:space="preserve">It is clear that an FWA device is very different from a handheld mobile UE.  </w:t>
      </w:r>
      <w:r w:rsidR="00F94C27">
        <w:t xml:space="preserve">While there </w:t>
      </w:r>
      <w:r w:rsidR="00D21E5D">
        <w:t>is</w:t>
      </w:r>
      <w:r w:rsidR="00F94C27">
        <w:t xml:space="preserve"> an expectation that the FWA device should be able achieve superior performance</w:t>
      </w:r>
      <w:r w:rsidR="00FC6066">
        <w:t xml:space="preserve"> compared to mobile UE</w:t>
      </w:r>
      <w:r w:rsidR="00F94C27">
        <w:t xml:space="preserve">, there is no 3GPP requirement to verify this.  </w:t>
      </w:r>
      <w:r w:rsidR="00FC6066">
        <w:t xml:space="preserve">The only additional requirements available are those associated with UL and DL MIMO which are also expected of a mobile UE in the 3.5 GHz frequency range (band n77 and n78 are bands where 4 Rx antenna ports are designated to be the baseline according to Note 1 of Table 7.3.2-1 in TS 38.101-1).  </w:t>
      </w:r>
    </w:p>
    <w:p w14:paraId="5A6AD43E" w14:textId="40783EF0" w:rsidR="00D21E5D" w:rsidRDefault="00D21E5D" w:rsidP="00310352">
      <w:r>
        <w:t>When the requirements were derived for PC 1.5 in Band n41, a set of assumptions was taken based on handheld mobile UE device parameters.  For example, assumptions for MPR were agreed in [3] as follows</w:t>
      </w:r>
    </w:p>
    <w:p w14:paraId="64397B13" w14:textId="77777777" w:rsidR="00D21E5D" w:rsidRPr="00D21E5D" w:rsidRDefault="00D21E5D" w:rsidP="00D21E5D">
      <w:pPr>
        <w:numPr>
          <w:ilvl w:val="0"/>
          <w:numId w:val="25"/>
        </w:numPr>
        <w:rPr>
          <w:lang w:val="en-US"/>
        </w:rPr>
      </w:pPr>
      <w:r w:rsidRPr="00D21E5D">
        <w:rPr>
          <w:rFonts w:hint="eastAsia"/>
          <w:lang w:val="en-US"/>
        </w:rPr>
        <w:t>Antenna isolation of 10 dB</w:t>
      </w:r>
    </w:p>
    <w:p w14:paraId="0C336EEF" w14:textId="77777777" w:rsidR="00D21E5D" w:rsidRPr="00D21E5D" w:rsidRDefault="00D21E5D" w:rsidP="00D21E5D">
      <w:pPr>
        <w:numPr>
          <w:ilvl w:val="0"/>
          <w:numId w:val="25"/>
        </w:numPr>
        <w:rPr>
          <w:lang w:val="en-US"/>
        </w:rPr>
      </w:pPr>
      <w:r w:rsidRPr="00D21E5D">
        <w:rPr>
          <w:rFonts w:hint="eastAsia"/>
          <w:lang w:val="en-US"/>
        </w:rPr>
        <w:t>Post PA loss of 4 dB</w:t>
      </w:r>
    </w:p>
    <w:p w14:paraId="2C3370EF" w14:textId="77777777" w:rsidR="00D21E5D" w:rsidRPr="00D21E5D" w:rsidRDefault="00D21E5D" w:rsidP="00D21E5D">
      <w:pPr>
        <w:numPr>
          <w:ilvl w:val="0"/>
          <w:numId w:val="25"/>
        </w:numPr>
        <w:rPr>
          <w:lang w:val="en-US"/>
        </w:rPr>
      </w:pPr>
      <w:r w:rsidRPr="00D21E5D">
        <w:rPr>
          <w:rFonts w:hint="eastAsia"/>
          <w:lang w:val="en-US"/>
        </w:rPr>
        <w:t>Two 26 dBm Tx chains (NR)</w:t>
      </w:r>
    </w:p>
    <w:p w14:paraId="4C805DCF" w14:textId="77777777" w:rsidR="00D21E5D" w:rsidRPr="00D21E5D" w:rsidRDefault="00D21E5D" w:rsidP="00D21E5D">
      <w:pPr>
        <w:numPr>
          <w:ilvl w:val="0"/>
          <w:numId w:val="25"/>
        </w:numPr>
        <w:rPr>
          <w:lang w:val="en-US"/>
        </w:rPr>
      </w:pPr>
      <w:r w:rsidRPr="00D21E5D">
        <w:rPr>
          <w:rFonts w:hint="eastAsia"/>
          <w:lang w:val="en-US"/>
        </w:rPr>
        <w:t>Equal Power on both transmit chains</w:t>
      </w:r>
    </w:p>
    <w:p w14:paraId="739BB7FF" w14:textId="77777777" w:rsidR="00D21E5D" w:rsidRPr="00D21E5D" w:rsidRDefault="00D21E5D" w:rsidP="00D21E5D">
      <w:pPr>
        <w:numPr>
          <w:ilvl w:val="0"/>
          <w:numId w:val="25"/>
        </w:numPr>
        <w:rPr>
          <w:lang w:val="en-US"/>
        </w:rPr>
      </w:pPr>
      <w:r w:rsidRPr="00D21E5D">
        <w:rPr>
          <w:rFonts w:hint="eastAsia"/>
          <w:lang w:val="en-US"/>
        </w:rPr>
        <w:t>Various channel and allocation BWs, with focus on “worst case” allocations</w:t>
      </w:r>
    </w:p>
    <w:p w14:paraId="37EE9DC2" w14:textId="77777777" w:rsidR="00D21E5D" w:rsidRPr="00D21E5D" w:rsidRDefault="00D21E5D" w:rsidP="00D21E5D">
      <w:pPr>
        <w:numPr>
          <w:ilvl w:val="0"/>
          <w:numId w:val="25"/>
        </w:numPr>
        <w:rPr>
          <w:lang w:val="en-US"/>
        </w:rPr>
      </w:pPr>
      <w:r w:rsidRPr="00D21E5D">
        <w:rPr>
          <w:rFonts w:hint="eastAsia"/>
          <w:lang w:val="en-US"/>
        </w:rPr>
        <w:t>RB size, allocation position, waveform, and modulation should be the same between two transmitters</w:t>
      </w:r>
    </w:p>
    <w:p w14:paraId="5826F983" w14:textId="77777777" w:rsidR="00D21E5D" w:rsidRPr="00D21E5D" w:rsidRDefault="00D21E5D" w:rsidP="00D21E5D">
      <w:pPr>
        <w:numPr>
          <w:ilvl w:val="0"/>
          <w:numId w:val="25"/>
        </w:numPr>
        <w:rPr>
          <w:lang w:val="en-US"/>
        </w:rPr>
      </w:pPr>
      <w:r w:rsidRPr="00D21E5D">
        <w:rPr>
          <w:rFonts w:hint="eastAsia"/>
          <w:lang w:val="en-US"/>
        </w:rPr>
        <w:t>Results for both CP-OFDM and DFT-S-OFDM are welcome, with the priority being CP-OFDM because it is expected to be worst case</w:t>
      </w:r>
    </w:p>
    <w:p w14:paraId="6A3EEEDA" w14:textId="77777777" w:rsidR="00D21E5D" w:rsidRPr="00D21E5D" w:rsidRDefault="00D21E5D" w:rsidP="00D21E5D">
      <w:pPr>
        <w:numPr>
          <w:ilvl w:val="0"/>
          <w:numId w:val="25"/>
        </w:numPr>
        <w:rPr>
          <w:lang w:val="en-US"/>
        </w:rPr>
      </w:pPr>
      <w:r w:rsidRPr="00D21E5D">
        <w:rPr>
          <w:rFonts w:hint="eastAsia"/>
          <w:lang w:val="en-US"/>
        </w:rPr>
        <w:t>Determine back-off required to meet OOBE, ACLR and EVM specifications</w:t>
      </w:r>
    </w:p>
    <w:p w14:paraId="0B5E205A" w14:textId="77777777" w:rsidR="00D21E5D" w:rsidRPr="00D21E5D" w:rsidRDefault="00D21E5D" w:rsidP="00D21E5D">
      <w:pPr>
        <w:numPr>
          <w:ilvl w:val="0"/>
          <w:numId w:val="25"/>
        </w:numPr>
        <w:rPr>
          <w:lang w:val="en-US"/>
        </w:rPr>
      </w:pPr>
      <w:r w:rsidRPr="00D21E5D">
        <w:rPr>
          <w:rFonts w:hint="eastAsia"/>
          <w:lang w:val="en-US"/>
        </w:rPr>
        <w:t>Goal is to take data from multiple sources and define A-MPR curves for PC1.5 UL MIMO and Transmit diversity accommodating different implementations</w:t>
      </w:r>
    </w:p>
    <w:p w14:paraId="601364E3" w14:textId="2BA89C05" w:rsidR="00D21E5D" w:rsidRDefault="00D21E5D" w:rsidP="00310352">
      <w:r>
        <w:t xml:space="preserve">Since an FWA device is quite different from a handheld mobile UE, the same assumptions may not apply for the FWA.  </w:t>
      </w:r>
    </w:p>
    <w:p w14:paraId="7E762762" w14:textId="0B3D6707" w:rsidR="00D21E5D" w:rsidRPr="00D21E5D" w:rsidRDefault="00D21E5D" w:rsidP="00310352">
      <w:pPr>
        <w:rPr>
          <w:b/>
          <w:bCs/>
        </w:rPr>
      </w:pPr>
      <w:r w:rsidRPr="00D21E5D">
        <w:rPr>
          <w:b/>
          <w:bCs/>
        </w:rPr>
        <w:t>Proposal</w:t>
      </w:r>
      <w:r w:rsidR="009C37D0">
        <w:rPr>
          <w:b/>
          <w:bCs/>
        </w:rPr>
        <w:t xml:space="preserve"> 1</w:t>
      </w:r>
      <w:r w:rsidRPr="00D21E5D">
        <w:rPr>
          <w:b/>
          <w:bCs/>
        </w:rPr>
        <w:t xml:space="preserve">:  It is proposed to evaluate whether the assumptions to derive performance requirements for FWA should be modified from those </w:t>
      </w:r>
      <w:r w:rsidR="000F685C">
        <w:rPr>
          <w:b/>
          <w:bCs/>
        </w:rPr>
        <w:t xml:space="preserve">previously </w:t>
      </w:r>
      <w:r w:rsidRPr="00D21E5D">
        <w:rPr>
          <w:b/>
          <w:bCs/>
        </w:rPr>
        <w:t xml:space="preserve">used for mobile UE.  </w:t>
      </w:r>
    </w:p>
    <w:p w14:paraId="4BA86FD1" w14:textId="29298172" w:rsidR="003F7063" w:rsidRDefault="003F7063" w:rsidP="003F7063">
      <w:pPr>
        <w:pStyle w:val="Heading2"/>
        <w:rPr>
          <w:lang w:val="en-US"/>
        </w:rPr>
      </w:pPr>
      <w:r>
        <w:rPr>
          <w:lang w:val="en-US"/>
        </w:rPr>
        <w:t>General requirements</w:t>
      </w:r>
    </w:p>
    <w:p w14:paraId="5CE6EA12" w14:textId="0CF00930" w:rsidR="009029C5" w:rsidRDefault="00C16ED2" w:rsidP="003F7063">
      <w:pPr>
        <w:rPr>
          <w:rFonts w:eastAsia="Malgun Gothic"/>
          <w:bCs/>
          <w:lang w:eastAsia="ko-KR"/>
        </w:rPr>
      </w:pPr>
      <w:r>
        <w:rPr>
          <w:lang w:val="en-US"/>
        </w:rPr>
        <w:t xml:space="preserve">The general requirements for PC 1.5 have already been completed as part of [1].  Therefore, the UE requirements such as </w:t>
      </w:r>
      <w:r w:rsidRPr="00D93CE3">
        <w:rPr>
          <w:rFonts w:eastAsia="Malgun Gothic"/>
          <w:bCs/>
          <w:lang w:eastAsia="ko-KR"/>
        </w:rPr>
        <w:t>Tx power tolerance</w:t>
      </w:r>
      <w:r>
        <w:rPr>
          <w:rFonts w:eastAsia="Malgun Gothic"/>
          <w:bCs/>
          <w:lang w:eastAsia="ko-KR"/>
        </w:rPr>
        <w:t xml:space="preserve">, </w:t>
      </w:r>
      <w:r w:rsidR="00713E56">
        <w:rPr>
          <w:rFonts w:eastAsia="Malgun Gothic"/>
          <w:bCs/>
          <w:lang w:eastAsia="ko-KR"/>
        </w:rPr>
        <w:t>spurious emission</w:t>
      </w:r>
      <w:r>
        <w:rPr>
          <w:rFonts w:eastAsia="Malgun Gothic"/>
          <w:bCs/>
          <w:lang w:eastAsia="ko-KR"/>
        </w:rPr>
        <w:t xml:space="preserve"> requirements, and signal quality requirements for PC 1.5 are already included in the specifications for single carrier, UL MIMO, and transparent Tx diversity operation.  The underlying assumption is a dual PA architecture with each chain independently capable of transmitting 26 dBm.</w:t>
      </w:r>
      <w:r w:rsidR="009029C5">
        <w:rPr>
          <w:rFonts w:eastAsia="Malgun Gothic"/>
          <w:bCs/>
          <w:lang w:eastAsia="ko-KR"/>
        </w:rPr>
        <w:t xml:space="preserve">  SAR signaling mechanisms are also available whereby the UE</w:t>
      </w:r>
      <w:r w:rsidR="00713E56">
        <w:rPr>
          <w:rFonts w:eastAsia="Malgun Gothic"/>
          <w:bCs/>
          <w:lang w:eastAsia="ko-KR"/>
        </w:rPr>
        <w:t xml:space="preserve"> can indicate its uplink duty cycle capability to the network scheduler with a default value of 25%.  For FWA devices, the SAR constraints and requirements are different than those for a handheld mobile UE.  Therefore, it is proposed that SAR mechanisms and the default uplink duty cycle of 25% should be reconsidered for FWA.</w:t>
      </w:r>
    </w:p>
    <w:p w14:paraId="24043BEA" w14:textId="630601BE" w:rsidR="00713E56" w:rsidRPr="00713E56" w:rsidRDefault="00713E56" w:rsidP="003F7063">
      <w:pPr>
        <w:rPr>
          <w:rFonts w:eastAsia="Malgun Gothic"/>
          <w:b/>
          <w:lang w:eastAsia="ko-KR"/>
        </w:rPr>
      </w:pPr>
      <w:r w:rsidRPr="00713E56">
        <w:rPr>
          <w:rFonts w:eastAsia="Malgun Gothic"/>
          <w:b/>
          <w:lang w:eastAsia="ko-KR"/>
        </w:rPr>
        <w:t>Proposal</w:t>
      </w:r>
      <w:r w:rsidR="009C37D0">
        <w:rPr>
          <w:rFonts w:eastAsia="Malgun Gothic"/>
          <w:b/>
          <w:lang w:eastAsia="ko-KR"/>
        </w:rPr>
        <w:t xml:space="preserve"> 2</w:t>
      </w:r>
      <w:r w:rsidRPr="00713E56">
        <w:rPr>
          <w:rFonts w:eastAsia="Malgun Gothic"/>
          <w:b/>
          <w:lang w:eastAsia="ko-KR"/>
        </w:rPr>
        <w:t>:  General requirements such as Tx power tolerance, spurious emissions, and signal quality are already defined in the specifications.  SAR mechanisms including the 25% default value for uplink duty cycle should be reconsidered for FWA and modified if needed.</w:t>
      </w:r>
    </w:p>
    <w:p w14:paraId="0FAB63DF" w14:textId="4D126D90" w:rsidR="00713E56" w:rsidRDefault="00713E56" w:rsidP="00713E56">
      <w:pPr>
        <w:pStyle w:val="Heading2"/>
        <w:rPr>
          <w:lang w:val="en-US"/>
        </w:rPr>
      </w:pPr>
      <w:r>
        <w:rPr>
          <w:lang w:val="en-US"/>
        </w:rPr>
        <w:t>Band specific requirements</w:t>
      </w:r>
    </w:p>
    <w:p w14:paraId="7243DDAA" w14:textId="16B28D48" w:rsidR="00A6257E" w:rsidRDefault="00A6257E" w:rsidP="00713E56">
      <w:pPr>
        <w:rPr>
          <w:lang w:val="en-US"/>
        </w:rPr>
      </w:pPr>
      <w:r>
        <w:rPr>
          <w:lang w:val="en-US"/>
        </w:rPr>
        <w:t xml:space="preserve">The present work item includes bands n77 and n78.  </w:t>
      </w:r>
      <w:r w:rsidR="000E16BD">
        <w:rPr>
          <w:lang w:val="en-US"/>
        </w:rPr>
        <w:t xml:space="preserve">It was clarified in the WID that the entire range of Band n77 and n78 should be considered and that the PC 1.5 would not be limited to US only from a 3GPP perspective.  Of course, regional regulations including restrictions on output power must be adhered to.  A quick inspection of the Band n77 and n78 requirements for PC3 and PC2 shows that only NS_01 is defined for these bands.  There are no regional-specific emission requirements and no A-MPR defined for either of these bands.  </w:t>
      </w:r>
      <w:r w:rsidR="008F0743">
        <w:rPr>
          <w:lang w:val="en-US"/>
        </w:rPr>
        <w:t xml:space="preserve">Since emission requirements are independent of power class (i.e., the same emission requirements apply for all power classes), then there is no NS requirement needed for PC1.5 either.  At the same time, it might also be understood that there is no need for A-MPR for PC1.5 in </w:t>
      </w:r>
      <w:r w:rsidR="008F0743">
        <w:rPr>
          <w:lang w:val="en-US"/>
        </w:rPr>
        <w:lastRenderedPageBreak/>
        <w:t>Band n77 and n78.  However, it would be prudent to first evaluate the UE coexistence requirements before drawing this conclusion.  UE coexistence requirements are fixed power levels, i.e., -50 dBm/MHz, which become increasingly difficult as the transmit power is increased.  Therefore, while there was no A-MPR needed for PC3 and PC2 to meet the UE coexistence requirements, it should be studied whether any power backoff is needed for PC1.5.</w:t>
      </w:r>
      <w:r w:rsidR="00946558">
        <w:rPr>
          <w:lang w:val="en-US"/>
        </w:rPr>
        <w:t xml:space="preserve">  A casual inspection of the UE coexistence for Bands n77 and n78 does not suggest any particular band of concern in meeting -50 dBm/MHz or -41 dBm/300 kHz.</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6558" w:rsidRPr="001C0CC4" w14:paraId="7FEA4A9B" w14:textId="77777777" w:rsidTr="00D841C7">
        <w:trPr>
          <w:trHeight w:val="270"/>
          <w:tblHeader/>
          <w:jc w:val="center"/>
        </w:trPr>
        <w:tc>
          <w:tcPr>
            <w:tcW w:w="959" w:type="dxa"/>
            <w:vMerge w:val="restart"/>
            <w:vAlign w:val="center"/>
            <w:hideMark/>
          </w:tcPr>
          <w:p w14:paraId="39AB9902" w14:textId="77777777" w:rsidR="00946558" w:rsidRPr="001C0CC4" w:rsidRDefault="00946558" w:rsidP="00D841C7">
            <w:pPr>
              <w:pStyle w:val="TAH"/>
              <w:keepNext w:val="0"/>
            </w:pPr>
            <w:r w:rsidRPr="001C0CC4">
              <w:rPr>
                <w:lang w:val="fi-FI"/>
              </w:rPr>
              <w:t>NR</w:t>
            </w:r>
            <w:r w:rsidRPr="001C0CC4">
              <w:t xml:space="preserve"> Band</w:t>
            </w:r>
          </w:p>
        </w:tc>
        <w:tc>
          <w:tcPr>
            <w:tcW w:w="7981" w:type="dxa"/>
            <w:gridSpan w:val="7"/>
            <w:hideMark/>
          </w:tcPr>
          <w:p w14:paraId="0719B2BA" w14:textId="77777777" w:rsidR="00946558" w:rsidRPr="001C0CC4" w:rsidRDefault="00946558" w:rsidP="00D841C7">
            <w:pPr>
              <w:pStyle w:val="TAH"/>
              <w:keepNext w:val="0"/>
            </w:pPr>
            <w:r w:rsidRPr="001C0CC4">
              <w:t>Spurious emission for UE co-existence</w:t>
            </w:r>
          </w:p>
        </w:tc>
      </w:tr>
      <w:tr w:rsidR="00946558" w:rsidRPr="001C0CC4" w14:paraId="741209C8" w14:textId="77777777" w:rsidTr="00D841C7">
        <w:trPr>
          <w:trHeight w:val="450"/>
          <w:tblHeader/>
          <w:jc w:val="center"/>
        </w:trPr>
        <w:tc>
          <w:tcPr>
            <w:tcW w:w="959" w:type="dxa"/>
            <w:vMerge/>
            <w:vAlign w:val="center"/>
            <w:hideMark/>
          </w:tcPr>
          <w:p w14:paraId="5A3D0F9F" w14:textId="77777777" w:rsidR="00946558" w:rsidRPr="001C0CC4" w:rsidRDefault="00946558" w:rsidP="00D841C7">
            <w:pPr>
              <w:pStyle w:val="TAH"/>
              <w:keepNext w:val="0"/>
            </w:pPr>
          </w:p>
        </w:tc>
        <w:tc>
          <w:tcPr>
            <w:tcW w:w="2831" w:type="dxa"/>
            <w:hideMark/>
          </w:tcPr>
          <w:p w14:paraId="738D3594" w14:textId="77777777" w:rsidR="00946558" w:rsidRPr="001C0CC4" w:rsidRDefault="00946558" w:rsidP="00D841C7">
            <w:pPr>
              <w:pStyle w:val="TAH"/>
              <w:keepNext w:val="0"/>
            </w:pPr>
            <w:r w:rsidRPr="001C0CC4">
              <w:t>Protected band</w:t>
            </w:r>
          </w:p>
        </w:tc>
        <w:tc>
          <w:tcPr>
            <w:tcW w:w="2239" w:type="dxa"/>
            <w:gridSpan w:val="3"/>
            <w:hideMark/>
          </w:tcPr>
          <w:p w14:paraId="0B4D6169" w14:textId="77777777" w:rsidR="00946558" w:rsidRPr="001C0CC4" w:rsidRDefault="00946558" w:rsidP="00D841C7">
            <w:pPr>
              <w:pStyle w:val="TAH"/>
              <w:keepNext w:val="0"/>
            </w:pPr>
            <w:r w:rsidRPr="001C0CC4">
              <w:t>Frequency range (MHz)</w:t>
            </w:r>
          </w:p>
        </w:tc>
        <w:tc>
          <w:tcPr>
            <w:tcW w:w="1133" w:type="dxa"/>
            <w:hideMark/>
          </w:tcPr>
          <w:p w14:paraId="329EA953" w14:textId="77777777" w:rsidR="00946558" w:rsidRPr="001C0CC4" w:rsidRDefault="00946558" w:rsidP="00D841C7">
            <w:pPr>
              <w:pStyle w:val="TAH"/>
              <w:keepNext w:val="0"/>
            </w:pPr>
            <w:r w:rsidRPr="001C0CC4">
              <w:t>Maximum Level (dBm)</w:t>
            </w:r>
          </w:p>
        </w:tc>
        <w:tc>
          <w:tcPr>
            <w:tcW w:w="850" w:type="dxa"/>
            <w:hideMark/>
          </w:tcPr>
          <w:p w14:paraId="0BD2A721" w14:textId="77777777" w:rsidR="00946558" w:rsidRPr="001C0CC4" w:rsidRDefault="00946558" w:rsidP="00D841C7">
            <w:pPr>
              <w:pStyle w:val="TAH"/>
              <w:keepNext w:val="0"/>
            </w:pPr>
            <w:r w:rsidRPr="001C0CC4">
              <w:t>MBW (MHz)</w:t>
            </w:r>
          </w:p>
        </w:tc>
        <w:tc>
          <w:tcPr>
            <w:tcW w:w="928" w:type="dxa"/>
            <w:noWrap/>
            <w:hideMark/>
          </w:tcPr>
          <w:p w14:paraId="2B624587" w14:textId="77777777" w:rsidR="00946558" w:rsidRPr="001C0CC4" w:rsidRDefault="00946558" w:rsidP="00D841C7">
            <w:pPr>
              <w:pStyle w:val="TAH"/>
              <w:keepNext w:val="0"/>
            </w:pPr>
            <w:r w:rsidRPr="001C0CC4">
              <w:t>NOTE</w:t>
            </w:r>
          </w:p>
        </w:tc>
      </w:tr>
      <w:tr w:rsidR="00946558" w:rsidRPr="001C0CC4" w14:paraId="3C360398" w14:textId="77777777" w:rsidTr="00D841C7">
        <w:trPr>
          <w:trHeight w:val="225"/>
          <w:jc w:val="center"/>
        </w:trPr>
        <w:tc>
          <w:tcPr>
            <w:tcW w:w="959" w:type="dxa"/>
            <w:vMerge w:val="restart"/>
          </w:tcPr>
          <w:p w14:paraId="08AABC90" w14:textId="77777777" w:rsidR="00946558" w:rsidRPr="001C0CC4" w:rsidRDefault="00946558" w:rsidP="00D841C7">
            <w:pPr>
              <w:pStyle w:val="TAC"/>
              <w:keepNext w:val="0"/>
            </w:pPr>
            <w:r w:rsidRPr="001C0CC4">
              <w:t>n77</w:t>
            </w:r>
          </w:p>
        </w:tc>
        <w:tc>
          <w:tcPr>
            <w:tcW w:w="2831" w:type="dxa"/>
          </w:tcPr>
          <w:p w14:paraId="1910942A" w14:textId="77777777" w:rsidR="00946558" w:rsidRPr="001C0CC4" w:rsidRDefault="00946558" w:rsidP="00D841C7">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C10DD69" w14:textId="77777777" w:rsidR="00946558" w:rsidRPr="001C0CC4" w:rsidRDefault="00946558" w:rsidP="00D841C7">
            <w:pPr>
              <w:pStyle w:val="TAC"/>
              <w:keepNext w:val="0"/>
            </w:pPr>
            <w:r w:rsidRPr="001C0CC4">
              <w:t>F</w:t>
            </w:r>
            <w:r w:rsidRPr="001C0CC4">
              <w:rPr>
                <w:vertAlign w:val="subscript"/>
              </w:rPr>
              <w:t>DL_low</w:t>
            </w:r>
            <w:r w:rsidRPr="001C0CC4">
              <w:t xml:space="preserve"> </w:t>
            </w:r>
          </w:p>
        </w:tc>
        <w:tc>
          <w:tcPr>
            <w:tcW w:w="540" w:type="dxa"/>
          </w:tcPr>
          <w:p w14:paraId="1E0AC9EE" w14:textId="77777777" w:rsidR="00946558" w:rsidRPr="001C0CC4" w:rsidRDefault="00946558" w:rsidP="00D841C7">
            <w:pPr>
              <w:pStyle w:val="TAC"/>
              <w:keepNext w:val="0"/>
            </w:pPr>
            <w:r w:rsidRPr="001C0CC4">
              <w:t>-</w:t>
            </w:r>
          </w:p>
        </w:tc>
        <w:tc>
          <w:tcPr>
            <w:tcW w:w="889" w:type="dxa"/>
          </w:tcPr>
          <w:p w14:paraId="1EF17F90" w14:textId="77777777" w:rsidR="00946558" w:rsidRPr="001C0CC4" w:rsidRDefault="00946558" w:rsidP="00D841C7">
            <w:pPr>
              <w:pStyle w:val="TAC"/>
              <w:keepNext w:val="0"/>
            </w:pPr>
            <w:r w:rsidRPr="001C0CC4">
              <w:t>F</w:t>
            </w:r>
            <w:r w:rsidRPr="001C0CC4">
              <w:rPr>
                <w:vertAlign w:val="subscript"/>
              </w:rPr>
              <w:t>DL_high</w:t>
            </w:r>
          </w:p>
        </w:tc>
        <w:tc>
          <w:tcPr>
            <w:tcW w:w="1133" w:type="dxa"/>
          </w:tcPr>
          <w:p w14:paraId="31B77175" w14:textId="77777777" w:rsidR="00946558" w:rsidRPr="001C0CC4" w:rsidRDefault="00946558" w:rsidP="00D841C7">
            <w:pPr>
              <w:pStyle w:val="TAC"/>
              <w:keepNext w:val="0"/>
            </w:pPr>
            <w:r w:rsidRPr="001C0CC4">
              <w:t>-50</w:t>
            </w:r>
          </w:p>
        </w:tc>
        <w:tc>
          <w:tcPr>
            <w:tcW w:w="850" w:type="dxa"/>
            <w:noWrap/>
          </w:tcPr>
          <w:p w14:paraId="65886D8B" w14:textId="77777777" w:rsidR="00946558" w:rsidRPr="001C0CC4" w:rsidRDefault="00946558" w:rsidP="00D841C7">
            <w:pPr>
              <w:pStyle w:val="TAC"/>
              <w:keepNext w:val="0"/>
            </w:pPr>
            <w:r w:rsidRPr="001C0CC4">
              <w:t>1</w:t>
            </w:r>
          </w:p>
        </w:tc>
        <w:tc>
          <w:tcPr>
            <w:tcW w:w="928" w:type="dxa"/>
            <w:noWrap/>
          </w:tcPr>
          <w:p w14:paraId="3DDF57BF" w14:textId="77777777" w:rsidR="00946558" w:rsidRPr="001C0CC4" w:rsidRDefault="00946558" w:rsidP="00D841C7">
            <w:pPr>
              <w:pStyle w:val="TAC"/>
              <w:keepNext w:val="0"/>
            </w:pPr>
          </w:p>
        </w:tc>
      </w:tr>
      <w:tr w:rsidR="00946558" w:rsidRPr="001C0CC4" w14:paraId="0702F37C" w14:textId="77777777" w:rsidTr="00D841C7">
        <w:trPr>
          <w:trHeight w:val="225"/>
          <w:jc w:val="center"/>
        </w:trPr>
        <w:tc>
          <w:tcPr>
            <w:tcW w:w="959" w:type="dxa"/>
            <w:vMerge/>
          </w:tcPr>
          <w:p w14:paraId="7F34A373" w14:textId="77777777" w:rsidR="00946558" w:rsidRPr="001C0CC4" w:rsidRDefault="00946558" w:rsidP="00D841C7">
            <w:pPr>
              <w:pStyle w:val="TAC"/>
              <w:keepNext w:val="0"/>
            </w:pPr>
          </w:p>
        </w:tc>
        <w:tc>
          <w:tcPr>
            <w:tcW w:w="2831" w:type="dxa"/>
          </w:tcPr>
          <w:p w14:paraId="216F6CB0" w14:textId="77777777" w:rsidR="00946558" w:rsidRPr="001C0CC4" w:rsidRDefault="00946558" w:rsidP="00D841C7">
            <w:pPr>
              <w:pStyle w:val="TAL"/>
              <w:keepNext w:val="0"/>
            </w:pPr>
            <w:r w:rsidRPr="001C0CC4">
              <w:t>Frequency range</w:t>
            </w:r>
          </w:p>
        </w:tc>
        <w:tc>
          <w:tcPr>
            <w:tcW w:w="810" w:type="dxa"/>
          </w:tcPr>
          <w:p w14:paraId="4AA963CB" w14:textId="77777777" w:rsidR="00946558" w:rsidRPr="001C0CC4" w:rsidRDefault="00946558" w:rsidP="00D841C7">
            <w:pPr>
              <w:pStyle w:val="TAC"/>
              <w:keepNext w:val="0"/>
            </w:pPr>
            <w:r w:rsidRPr="001C0CC4">
              <w:t>1884.5</w:t>
            </w:r>
          </w:p>
        </w:tc>
        <w:tc>
          <w:tcPr>
            <w:tcW w:w="540" w:type="dxa"/>
          </w:tcPr>
          <w:p w14:paraId="5F664400" w14:textId="77777777" w:rsidR="00946558" w:rsidRPr="001C0CC4" w:rsidRDefault="00946558" w:rsidP="00D841C7">
            <w:pPr>
              <w:pStyle w:val="TAC"/>
              <w:keepNext w:val="0"/>
            </w:pPr>
            <w:r w:rsidRPr="001C0CC4">
              <w:t>-</w:t>
            </w:r>
          </w:p>
        </w:tc>
        <w:tc>
          <w:tcPr>
            <w:tcW w:w="889" w:type="dxa"/>
          </w:tcPr>
          <w:p w14:paraId="714BAB5C" w14:textId="77777777" w:rsidR="00946558" w:rsidRPr="001C0CC4" w:rsidRDefault="00946558" w:rsidP="00D841C7">
            <w:pPr>
              <w:pStyle w:val="TAC"/>
              <w:keepNext w:val="0"/>
            </w:pPr>
            <w:r w:rsidRPr="001C0CC4">
              <w:t>1915.7</w:t>
            </w:r>
          </w:p>
        </w:tc>
        <w:tc>
          <w:tcPr>
            <w:tcW w:w="1133" w:type="dxa"/>
          </w:tcPr>
          <w:p w14:paraId="7EF9CFD2" w14:textId="77777777" w:rsidR="00946558" w:rsidRPr="001C0CC4" w:rsidRDefault="00946558" w:rsidP="00D841C7">
            <w:pPr>
              <w:pStyle w:val="TAC"/>
              <w:keepNext w:val="0"/>
            </w:pPr>
            <w:r w:rsidRPr="001C0CC4">
              <w:t>-41</w:t>
            </w:r>
          </w:p>
        </w:tc>
        <w:tc>
          <w:tcPr>
            <w:tcW w:w="850" w:type="dxa"/>
            <w:noWrap/>
          </w:tcPr>
          <w:p w14:paraId="50A69E9A" w14:textId="77777777" w:rsidR="00946558" w:rsidRPr="001C0CC4" w:rsidRDefault="00946558" w:rsidP="00D841C7">
            <w:pPr>
              <w:pStyle w:val="TAC"/>
              <w:keepNext w:val="0"/>
            </w:pPr>
            <w:r w:rsidRPr="001C0CC4">
              <w:t>0.3</w:t>
            </w:r>
          </w:p>
        </w:tc>
        <w:tc>
          <w:tcPr>
            <w:tcW w:w="928" w:type="dxa"/>
            <w:noWrap/>
          </w:tcPr>
          <w:p w14:paraId="231F68C4" w14:textId="77777777" w:rsidR="00946558" w:rsidRPr="001C0CC4" w:rsidRDefault="00946558" w:rsidP="00D841C7">
            <w:pPr>
              <w:pStyle w:val="TAC"/>
              <w:keepNext w:val="0"/>
            </w:pPr>
            <w:r w:rsidRPr="001C0CC4">
              <w:t>8</w:t>
            </w:r>
          </w:p>
        </w:tc>
      </w:tr>
      <w:tr w:rsidR="00946558" w:rsidRPr="001C0CC4" w14:paraId="4F85CCFF" w14:textId="77777777" w:rsidTr="00D841C7">
        <w:trPr>
          <w:trHeight w:val="225"/>
          <w:jc w:val="center"/>
        </w:trPr>
        <w:tc>
          <w:tcPr>
            <w:tcW w:w="959" w:type="dxa"/>
            <w:vMerge w:val="restart"/>
          </w:tcPr>
          <w:p w14:paraId="17438C14" w14:textId="77777777" w:rsidR="00946558" w:rsidRPr="001C0CC4" w:rsidRDefault="00946558" w:rsidP="00D841C7">
            <w:pPr>
              <w:pStyle w:val="TAC"/>
              <w:keepNext w:val="0"/>
            </w:pPr>
            <w:r>
              <w:t>n78</w:t>
            </w:r>
          </w:p>
        </w:tc>
        <w:tc>
          <w:tcPr>
            <w:tcW w:w="2831" w:type="dxa"/>
          </w:tcPr>
          <w:p w14:paraId="15619F4E" w14:textId="77777777" w:rsidR="00946558" w:rsidRPr="001C0CC4" w:rsidRDefault="00946558" w:rsidP="00D841C7">
            <w:pPr>
              <w:pStyle w:val="TAL"/>
              <w:keepNext w:val="0"/>
            </w:pPr>
            <w:r w:rsidRPr="001C0CC4">
              <w:t xml:space="preserve">E-UTRA Band 1, 3, 5, 7, 8, </w:t>
            </w:r>
            <w:r>
              <w:t>1</w:t>
            </w:r>
            <w:r w:rsidRPr="001C0CC4">
              <w:t>1, 18, 19, 20, 21, 26, 28, 34, 39, 40, 41, 65</w:t>
            </w:r>
          </w:p>
        </w:tc>
        <w:tc>
          <w:tcPr>
            <w:tcW w:w="810" w:type="dxa"/>
          </w:tcPr>
          <w:p w14:paraId="5D29241D" w14:textId="77777777" w:rsidR="00946558" w:rsidRPr="001C0CC4" w:rsidRDefault="00946558" w:rsidP="00D841C7">
            <w:pPr>
              <w:pStyle w:val="TAC"/>
              <w:keepNext w:val="0"/>
            </w:pPr>
            <w:r w:rsidRPr="001C0CC4">
              <w:t>F</w:t>
            </w:r>
            <w:r w:rsidRPr="001C0CC4">
              <w:rPr>
                <w:vertAlign w:val="subscript"/>
              </w:rPr>
              <w:t>DL_low</w:t>
            </w:r>
            <w:r w:rsidRPr="001C0CC4">
              <w:t xml:space="preserve"> </w:t>
            </w:r>
          </w:p>
        </w:tc>
        <w:tc>
          <w:tcPr>
            <w:tcW w:w="540" w:type="dxa"/>
          </w:tcPr>
          <w:p w14:paraId="0E5B4FE5" w14:textId="77777777" w:rsidR="00946558" w:rsidRPr="001C0CC4" w:rsidRDefault="00946558" w:rsidP="00D841C7">
            <w:pPr>
              <w:pStyle w:val="TAC"/>
              <w:keepNext w:val="0"/>
            </w:pPr>
            <w:r w:rsidRPr="001C0CC4">
              <w:t>-</w:t>
            </w:r>
          </w:p>
        </w:tc>
        <w:tc>
          <w:tcPr>
            <w:tcW w:w="889" w:type="dxa"/>
          </w:tcPr>
          <w:p w14:paraId="6014B21F" w14:textId="77777777" w:rsidR="00946558" w:rsidRPr="001C0CC4" w:rsidRDefault="00946558" w:rsidP="00D841C7">
            <w:pPr>
              <w:pStyle w:val="TAC"/>
              <w:keepNext w:val="0"/>
            </w:pPr>
            <w:r w:rsidRPr="001C0CC4">
              <w:t>F</w:t>
            </w:r>
            <w:r w:rsidRPr="001C0CC4">
              <w:rPr>
                <w:vertAlign w:val="subscript"/>
              </w:rPr>
              <w:t>DL_high</w:t>
            </w:r>
          </w:p>
        </w:tc>
        <w:tc>
          <w:tcPr>
            <w:tcW w:w="1133" w:type="dxa"/>
          </w:tcPr>
          <w:p w14:paraId="1502365E" w14:textId="77777777" w:rsidR="00946558" w:rsidRPr="001C0CC4" w:rsidRDefault="00946558" w:rsidP="00D841C7">
            <w:pPr>
              <w:pStyle w:val="TAC"/>
              <w:keepNext w:val="0"/>
            </w:pPr>
            <w:r w:rsidRPr="001C0CC4">
              <w:t>-50</w:t>
            </w:r>
          </w:p>
        </w:tc>
        <w:tc>
          <w:tcPr>
            <w:tcW w:w="850" w:type="dxa"/>
            <w:noWrap/>
          </w:tcPr>
          <w:p w14:paraId="10EC653B" w14:textId="77777777" w:rsidR="00946558" w:rsidRPr="001C0CC4" w:rsidRDefault="00946558" w:rsidP="00D841C7">
            <w:pPr>
              <w:pStyle w:val="TAC"/>
              <w:keepNext w:val="0"/>
            </w:pPr>
            <w:r w:rsidRPr="001C0CC4">
              <w:t>1</w:t>
            </w:r>
          </w:p>
        </w:tc>
        <w:tc>
          <w:tcPr>
            <w:tcW w:w="928" w:type="dxa"/>
            <w:noWrap/>
          </w:tcPr>
          <w:p w14:paraId="57F43AEF" w14:textId="77777777" w:rsidR="00946558" w:rsidRPr="001C0CC4" w:rsidRDefault="00946558" w:rsidP="00D841C7">
            <w:pPr>
              <w:pStyle w:val="TAC"/>
              <w:keepNext w:val="0"/>
            </w:pPr>
          </w:p>
        </w:tc>
      </w:tr>
      <w:tr w:rsidR="00946558" w:rsidRPr="001C0CC4" w14:paraId="79370922" w14:textId="77777777" w:rsidTr="00D841C7">
        <w:trPr>
          <w:trHeight w:val="225"/>
          <w:jc w:val="center"/>
        </w:trPr>
        <w:tc>
          <w:tcPr>
            <w:tcW w:w="959" w:type="dxa"/>
            <w:vMerge/>
          </w:tcPr>
          <w:p w14:paraId="5B163B3C" w14:textId="77777777" w:rsidR="00946558" w:rsidRPr="001C0CC4" w:rsidRDefault="00946558" w:rsidP="00D841C7">
            <w:pPr>
              <w:pStyle w:val="TAC"/>
              <w:keepNext w:val="0"/>
            </w:pPr>
          </w:p>
        </w:tc>
        <w:tc>
          <w:tcPr>
            <w:tcW w:w="2831" w:type="dxa"/>
          </w:tcPr>
          <w:p w14:paraId="7EEB5C83" w14:textId="77777777" w:rsidR="00946558" w:rsidRPr="001C0CC4" w:rsidRDefault="00946558" w:rsidP="00D841C7">
            <w:pPr>
              <w:pStyle w:val="TAL"/>
              <w:keepNext w:val="0"/>
            </w:pPr>
            <w:r w:rsidRPr="001C0CC4">
              <w:t>Frequency range</w:t>
            </w:r>
          </w:p>
        </w:tc>
        <w:tc>
          <w:tcPr>
            <w:tcW w:w="810" w:type="dxa"/>
          </w:tcPr>
          <w:p w14:paraId="26490720" w14:textId="77777777" w:rsidR="00946558" w:rsidRPr="001C0CC4" w:rsidRDefault="00946558" w:rsidP="00D841C7">
            <w:pPr>
              <w:pStyle w:val="TAC"/>
              <w:keepNext w:val="0"/>
            </w:pPr>
            <w:r w:rsidRPr="001C0CC4">
              <w:t>1884.5</w:t>
            </w:r>
          </w:p>
        </w:tc>
        <w:tc>
          <w:tcPr>
            <w:tcW w:w="540" w:type="dxa"/>
          </w:tcPr>
          <w:p w14:paraId="5AA32214" w14:textId="77777777" w:rsidR="00946558" w:rsidRPr="001C0CC4" w:rsidRDefault="00946558" w:rsidP="00D841C7">
            <w:pPr>
              <w:pStyle w:val="TAC"/>
              <w:keepNext w:val="0"/>
            </w:pPr>
            <w:r w:rsidRPr="001C0CC4">
              <w:t>-</w:t>
            </w:r>
          </w:p>
        </w:tc>
        <w:tc>
          <w:tcPr>
            <w:tcW w:w="889" w:type="dxa"/>
          </w:tcPr>
          <w:p w14:paraId="3F5F2FBC" w14:textId="77777777" w:rsidR="00946558" w:rsidRPr="001C0CC4" w:rsidRDefault="00946558" w:rsidP="00D841C7">
            <w:pPr>
              <w:pStyle w:val="TAC"/>
              <w:keepNext w:val="0"/>
            </w:pPr>
            <w:r w:rsidRPr="001C0CC4">
              <w:t>1915.7</w:t>
            </w:r>
          </w:p>
        </w:tc>
        <w:tc>
          <w:tcPr>
            <w:tcW w:w="1133" w:type="dxa"/>
          </w:tcPr>
          <w:p w14:paraId="41B70A4D" w14:textId="77777777" w:rsidR="00946558" w:rsidRPr="001C0CC4" w:rsidRDefault="00946558" w:rsidP="00D841C7">
            <w:pPr>
              <w:pStyle w:val="TAC"/>
              <w:keepNext w:val="0"/>
            </w:pPr>
            <w:r w:rsidRPr="001C0CC4">
              <w:t>-41</w:t>
            </w:r>
          </w:p>
        </w:tc>
        <w:tc>
          <w:tcPr>
            <w:tcW w:w="850" w:type="dxa"/>
            <w:noWrap/>
          </w:tcPr>
          <w:p w14:paraId="2612FEFF" w14:textId="77777777" w:rsidR="00946558" w:rsidRPr="001C0CC4" w:rsidRDefault="00946558" w:rsidP="00D841C7">
            <w:pPr>
              <w:pStyle w:val="TAC"/>
              <w:keepNext w:val="0"/>
            </w:pPr>
            <w:r w:rsidRPr="001C0CC4">
              <w:t>0.3</w:t>
            </w:r>
          </w:p>
        </w:tc>
        <w:tc>
          <w:tcPr>
            <w:tcW w:w="928" w:type="dxa"/>
            <w:noWrap/>
          </w:tcPr>
          <w:p w14:paraId="41CD3A01" w14:textId="77777777" w:rsidR="00946558" w:rsidRPr="001C0CC4" w:rsidRDefault="00946558" w:rsidP="00D841C7">
            <w:pPr>
              <w:pStyle w:val="TAC"/>
              <w:keepNext w:val="0"/>
            </w:pPr>
            <w:r w:rsidRPr="001C0CC4">
              <w:t>8</w:t>
            </w:r>
          </w:p>
        </w:tc>
      </w:tr>
    </w:tbl>
    <w:p w14:paraId="49381C83" w14:textId="77777777" w:rsidR="00946558" w:rsidRDefault="00946558" w:rsidP="00713E56">
      <w:pPr>
        <w:rPr>
          <w:lang w:val="en-US"/>
        </w:rPr>
      </w:pPr>
    </w:p>
    <w:p w14:paraId="40F37A38" w14:textId="65B3C5B3" w:rsidR="000C28BA" w:rsidRDefault="000C28BA" w:rsidP="00713E56">
      <w:pPr>
        <w:rPr>
          <w:lang w:val="en-US"/>
        </w:rPr>
      </w:pPr>
      <w:r>
        <w:rPr>
          <w:lang w:val="en-US"/>
        </w:rPr>
        <w:t xml:space="preserve">Another potential opportunity for NS and A-MPR is in the reduction of power backoff.  Traditionally, NS and A-MPR have been allowed for additional power backoff in addition to (or instead of) general MPR.  However, in the development of the work item for PC1.5, it was </w:t>
      </w:r>
      <w:r w:rsidR="00471138">
        <w:rPr>
          <w:lang w:val="en-US"/>
        </w:rPr>
        <w:t>debated</w:t>
      </w:r>
      <w:r>
        <w:rPr>
          <w:lang w:val="en-US"/>
        </w:rPr>
        <w:t xml:space="preserve"> that MPR could be improved</w:t>
      </w:r>
      <w:r w:rsidR="0017224D">
        <w:rPr>
          <w:lang w:val="en-US"/>
        </w:rPr>
        <w:t xml:space="preserve"> compared to what is currently in the specifications.  There was concern expressed that MPR is a general requirement and if there is improvement identified specifically for bands n77 and n78, it should not be applied generally.  Therefore, another possible usage of NS and A-MPR is to restrict any improvement in power backoff to n77 and n78 or even to only those deployments within n77 and n78 where it is deemed feasible.</w:t>
      </w:r>
    </w:p>
    <w:p w14:paraId="5F1B2911" w14:textId="1CEEE748" w:rsidR="000E16BD" w:rsidRPr="0017224D" w:rsidRDefault="008F0743" w:rsidP="00713E56">
      <w:pPr>
        <w:rPr>
          <w:b/>
          <w:bCs/>
          <w:lang w:val="en-US"/>
        </w:rPr>
      </w:pPr>
      <w:r w:rsidRPr="0017224D">
        <w:rPr>
          <w:b/>
          <w:bCs/>
          <w:lang w:val="en-US"/>
        </w:rPr>
        <w:t>Proposal</w:t>
      </w:r>
      <w:r w:rsidR="009C37D0">
        <w:rPr>
          <w:b/>
          <w:bCs/>
          <w:lang w:val="en-US"/>
        </w:rPr>
        <w:t xml:space="preserve"> 3</w:t>
      </w:r>
      <w:r w:rsidRPr="0017224D">
        <w:rPr>
          <w:b/>
          <w:bCs/>
          <w:lang w:val="en-US"/>
        </w:rPr>
        <w:t xml:space="preserve">:  </w:t>
      </w:r>
      <w:r w:rsidR="000C28BA" w:rsidRPr="0017224D">
        <w:rPr>
          <w:b/>
          <w:bCs/>
          <w:lang w:val="en-US"/>
        </w:rPr>
        <w:t>No new emission requirements are needed for PC1.5 in Bands n77 and n78</w:t>
      </w:r>
      <w:r w:rsidR="00946558">
        <w:rPr>
          <w:b/>
          <w:bCs/>
          <w:lang w:val="en-US"/>
        </w:rPr>
        <w:t xml:space="preserve"> and no new A-MPR appears to be needed for coexistence</w:t>
      </w:r>
      <w:r w:rsidR="000C28BA" w:rsidRPr="0017224D">
        <w:rPr>
          <w:b/>
          <w:bCs/>
          <w:lang w:val="en-US"/>
        </w:rPr>
        <w:t xml:space="preserve">.  </w:t>
      </w:r>
      <w:r w:rsidR="00946558">
        <w:rPr>
          <w:b/>
          <w:bCs/>
          <w:lang w:val="en-US"/>
        </w:rPr>
        <w:t xml:space="preserve">However, the </w:t>
      </w:r>
      <w:r w:rsidR="000C28BA" w:rsidRPr="0017224D">
        <w:rPr>
          <w:b/>
          <w:bCs/>
          <w:lang w:val="en-US"/>
        </w:rPr>
        <w:t xml:space="preserve">need for NS and A-MPR are to be further studied </w:t>
      </w:r>
      <w:r w:rsidR="00946558">
        <w:rPr>
          <w:b/>
          <w:bCs/>
          <w:lang w:val="en-US"/>
        </w:rPr>
        <w:t xml:space="preserve">for </w:t>
      </w:r>
      <w:r w:rsidR="0017224D" w:rsidRPr="0017224D">
        <w:rPr>
          <w:b/>
          <w:bCs/>
          <w:lang w:val="en-US"/>
        </w:rPr>
        <w:t xml:space="preserve">power backoff reduction on a </w:t>
      </w:r>
      <w:r w:rsidR="00946558">
        <w:rPr>
          <w:b/>
          <w:bCs/>
          <w:lang w:val="en-US"/>
        </w:rPr>
        <w:t xml:space="preserve">band-specific </w:t>
      </w:r>
      <w:r w:rsidR="0017224D" w:rsidRPr="0017224D">
        <w:rPr>
          <w:b/>
          <w:bCs/>
          <w:lang w:val="en-US"/>
        </w:rPr>
        <w:t>per-deployment basis in n77 and n78</w:t>
      </w:r>
      <w:r w:rsidR="000C28BA" w:rsidRPr="0017224D">
        <w:rPr>
          <w:b/>
          <w:bCs/>
          <w:lang w:val="en-US"/>
        </w:rPr>
        <w:t>.</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1F9C1A58" w14:textId="63BB0F54" w:rsidR="009C37D0" w:rsidRDefault="009C37D0" w:rsidP="00A0551F">
      <w:pPr>
        <w:rPr>
          <w:lang w:val="en-US"/>
        </w:rPr>
      </w:pPr>
      <w:r>
        <w:rPr>
          <w:lang w:val="en-US"/>
        </w:rPr>
        <w:t>This contribution provided discussion points for power class 1.5 in Bands n77 and n78.  One aspect of this work item that distinguishes it from the previous work on PC 1.5 is the explicit mention of FWA device type.  Because an FWA device is considerably different from a handheld mobile UE device, some of the requirements may need to be adjusted at least for FWA.  The following observations and proposals have been discussed.</w:t>
      </w:r>
    </w:p>
    <w:p w14:paraId="46560045" w14:textId="77777777" w:rsidR="009C37D0" w:rsidRPr="00D603DC" w:rsidRDefault="009C37D0" w:rsidP="009C37D0">
      <w:pPr>
        <w:rPr>
          <w:b/>
          <w:bCs/>
        </w:rPr>
      </w:pPr>
      <w:r w:rsidRPr="00D603DC">
        <w:rPr>
          <w:b/>
          <w:bCs/>
        </w:rPr>
        <w:t>Observation:  Two approaches are available to derive requirements for FWA and mobile UE.  The minimum requirement is based on mobile UE with the expectation that FWA can easily meet this, or two sets of requirements are defined according to each device type.</w:t>
      </w:r>
    </w:p>
    <w:p w14:paraId="1CEB72D1" w14:textId="18E146DF" w:rsidR="009C37D0" w:rsidRPr="00D21E5D" w:rsidRDefault="009C37D0" w:rsidP="009C37D0">
      <w:pPr>
        <w:rPr>
          <w:b/>
          <w:bCs/>
        </w:rPr>
      </w:pPr>
      <w:r w:rsidRPr="00D21E5D">
        <w:rPr>
          <w:b/>
          <w:bCs/>
        </w:rPr>
        <w:t>Proposal</w:t>
      </w:r>
      <w:r>
        <w:rPr>
          <w:b/>
          <w:bCs/>
        </w:rPr>
        <w:t xml:space="preserve"> 1</w:t>
      </w:r>
      <w:r w:rsidRPr="00D21E5D">
        <w:rPr>
          <w:b/>
          <w:bCs/>
        </w:rPr>
        <w:t xml:space="preserve">:  It is proposed to evaluate whether the assumptions to derive performance requirements for FWA should be modified from those </w:t>
      </w:r>
      <w:r>
        <w:rPr>
          <w:b/>
          <w:bCs/>
        </w:rPr>
        <w:t xml:space="preserve">previously </w:t>
      </w:r>
      <w:r w:rsidRPr="00D21E5D">
        <w:rPr>
          <w:b/>
          <w:bCs/>
        </w:rPr>
        <w:t xml:space="preserve">used for mobile UE.  </w:t>
      </w:r>
    </w:p>
    <w:p w14:paraId="19688DE3" w14:textId="69F045E7" w:rsidR="009C37D0" w:rsidRPr="00713E56" w:rsidRDefault="009C37D0" w:rsidP="009C37D0">
      <w:pPr>
        <w:rPr>
          <w:rFonts w:eastAsia="Malgun Gothic"/>
          <w:b/>
          <w:lang w:eastAsia="ko-KR"/>
        </w:rPr>
      </w:pPr>
      <w:r w:rsidRPr="00713E56">
        <w:rPr>
          <w:rFonts w:eastAsia="Malgun Gothic"/>
          <w:b/>
          <w:lang w:eastAsia="ko-KR"/>
        </w:rPr>
        <w:t>Proposal</w:t>
      </w:r>
      <w:r>
        <w:rPr>
          <w:rFonts w:eastAsia="Malgun Gothic"/>
          <w:b/>
          <w:lang w:eastAsia="ko-KR"/>
        </w:rPr>
        <w:t xml:space="preserve"> 2</w:t>
      </w:r>
      <w:r w:rsidRPr="00713E56">
        <w:rPr>
          <w:rFonts w:eastAsia="Malgun Gothic"/>
          <w:b/>
          <w:lang w:eastAsia="ko-KR"/>
        </w:rPr>
        <w:t>:  General requirements such as Tx power tolerance, spurious emissions, and signal quality are already defined in the specifications.  SAR mechanisms including the 25% default value for uplink duty cycle should be reconsidered for FWA and modified if needed.</w:t>
      </w:r>
    </w:p>
    <w:p w14:paraId="3F8BEA58" w14:textId="1715D932" w:rsidR="009C37D0" w:rsidRPr="0017224D" w:rsidRDefault="009C37D0" w:rsidP="009C37D0">
      <w:pPr>
        <w:rPr>
          <w:b/>
          <w:bCs/>
          <w:lang w:val="en-US"/>
        </w:rPr>
      </w:pPr>
      <w:r w:rsidRPr="0017224D">
        <w:rPr>
          <w:b/>
          <w:bCs/>
          <w:lang w:val="en-US"/>
        </w:rPr>
        <w:t>Proposal</w:t>
      </w:r>
      <w:r>
        <w:rPr>
          <w:b/>
          <w:bCs/>
          <w:lang w:val="en-US"/>
        </w:rPr>
        <w:t xml:space="preserve"> 3</w:t>
      </w:r>
      <w:r w:rsidRPr="0017224D">
        <w:rPr>
          <w:b/>
          <w:bCs/>
          <w:lang w:val="en-US"/>
        </w:rPr>
        <w:t>:  No new emission requirements are needed for PC1.5 in Bands n77 and n78</w:t>
      </w:r>
      <w:r>
        <w:rPr>
          <w:b/>
          <w:bCs/>
          <w:lang w:val="en-US"/>
        </w:rPr>
        <w:t xml:space="preserve"> and no new A-MPR appears to be needed for coexistence</w:t>
      </w:r>
      <w:r w:rsidRPr="0017224D">
        <w:rPr>
          <w:b/>
          <w:bCs/>
          <w:lang w:val="en-US"/>
        </w:rPr>
        <w:t xml:space="preserve">.  </w:t>
      </w:r>
      <w:r>
        <w:rPr>
          <w:b/>
          <w:bCs/>
          <w:lang w:val="en-US"/>
        </w:rPr>
        <w:t xml:space="preserve">However, the </w:t>
      </w:r>
      <w:r w:rsidRPr="0017224D">
        <w:rPr>
          <w:b/>
          <w:bCs/>
          <w:lang w:val="en-US"/>
        </w:rPr>
        <w:t xml:space="preserve">need for NS and A-MPR are to be further studied </w:t>
      </w:r>
      <w:r>
        <w:rPr>
          <w:b/>
          <w:bCs/>
          <w:lang w:val="en-US"/>
        </w:rPr>
        <w:t xml:space="preserve">for </w:t>
      </w:r>
      <w:r w:rsidRPr="0017224D">
        <w:rPr>
          <w:b/>
          <w:bCs/>
          <w:lang w:val="en-US"/>
        </w:rPr>
        <w:t xml:space="preserve">power backoff reduction on a </w:t>
      </w:r>
      <w:r>
        <w:rPr>
          <w:b/>
          <w:bCs/>
          <w:lang w:val="en-US"/>
        </w:rPr>
        <w:t xml:space="preserve">band-specific </w:t>
      </w:r>
      <w:r w:rsidRPr="0017224D">
        <w:rPr>
          <w:b/>
          <w:bCs/>
          <w:lang w:val="en-US"/>
        </w:rPr>
        <w:t>per-deployment basis in n77 and n78.</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FCAC9BC" w14:textId="2B45E2E7" w:rsidR="00483E05" w:rsidRDefault="00483E05" w:rsidP="001219FC">
      <w:pPr>
        <w:numPr>
          <w:ilvl w:val="0"/>
          <w:numId w:val="2"/>
        </w:numPr>
        <w:tabs>
          <w:tab w:val="left" w:pos="1080"/>
        </w:tabs>
        <w:rPr>
          <w:lang w:val="en-US" w:eastAsia="x-none"/>
        </w:rPr>
      </w:pPr>
      <w:bookmarkStart w:id="1" w:name="_Hlk859252"/>
      <w:r>
        <w:rPr>
          <w:lang w:val="en-US" w:eastAsia="x-none"/>
        </w:rPr>
        <w:t>R4-</w:t>
      </w:r>
      <w:r w:rsidR="00B044D9">
        <w:rPr>
          <w:lang w:val="en-US" w:eastAsia="x-none"/>
        </w:rPr>
        <w:t>2011783, “CR for 38.101-1: Introduction of Power Class 1.5,” T-Mobile USA</w:t>
      </w:r>
      <w:bookmarkEnd w:id="1"/>
    </w:p>
    <w:p w14:paraId="331E889E" w14:textId="6312414A" w:rsidR="00B044D9" w:rsidRDefault="00B044D9" w:rsidP="001219FC">
      <w:pPr>
        <w:numPr>
          <w:ilvl w:val="0"/>
          <w:numId w:val="2"/>
        </w:numPr>
        <w:tabs>
          <w:tab w:val="left" w:pos="1080"/>
        </w:tabs>
        <w:rPr>
          <w:lang w:val="en-US" w:eastAsia="x-none"/>
        </w:rPr>
      </w:pPr>
      <w:r>
        <w:rPr>
          <w:lang w:val="en-US" w:eastAsia="x-none"/>
        </w:rPr>
        <w:t>RP-202912, “New WID on high-power devices operation use cases over Band n77 and n78,” Verizon</w:t>
      </w:r>
    </w:p>
    <w:p w14:paraId="4E5F9224" w14:textId="7733AE45" w:rsidR="00D21E5D" w:rsidRDefault="00D21E5D" w:rsidP="001219FC">
      <w:pPr>
        <w:numPr>
          <w:ilvl w:val="0"/>
          <w:numId w:val="2"/>
        </w:numPr>
        <w:tabs>
          <w:tab w:val="left" w:pos="1080"/>
        </w:tabs>
        <w:rPr>
          <w:lang w:val="en-US" w:eastAsia="x-none"/>
        </w:rPr>
      </w:pPr>
      <w:r>
        <w:rPr>
          <w:lang w:val="en-US" w:eastAsia="x-none"/>
        </w:rPr>
        <w:lastRenderedPageBreak/>
        <w:t>R4-2005190, “Way Forward on MPR for PC1.5 UL MIMO and Tx div,” T-Mobile USA</w:t>
      </w:r>
    </w:p>
    <w:sectPr w:rsidR="00D21E5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FD08E" w14:textId="77777777" w:rsidR="007E1DA4" w:rsidRDefault="007E1DA4">
      <w:r>
        <w:separator/>
      </w:r>
    </w:p>
  </w:endnote>
  <w:endnote w:type="continuationSeparator" w:id="0">
    <w:p w14:paraId="4C1DB487" w14:textId="77777777" w:rsidR="007E1DA4" w:rsidRDefault="007E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7D570" w14:textId="77777777" w:rsidR="007E1DA4" w:rsidRDefault="007E1DA4">
      <w:r>
        <w:separator/>
      </w:r>
    </w:p>
  </w:footnote>
  <w:footnote w:type="continuationSeparator" w:id="0">
    <w:p w14:paraId="1D52F0E9" w14:textId="77777777" w:rsidR="007E1DA4" w:rsidRDefault="007E1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1"/>
  </w:num>
  <w:num w:numId="5">
    <w:abstractNumId w:val="15"/>
  </w:num>
  <w:num w:numId="6">
    <w:abstractNumId w:val="5"/>
  </w:num>
  <w:num w:numId="7">
    <w:abstractNumId w:val="1"/>
  </w:num>
  <w:num w:numId="8">
    <w:abstractNumId w:val="17"/>
  </w:num>
  <w:num w:numId="9">
    <w:abstractNumId w:val="6"/>
  </w:num>
  <w:num w:numId="10">
    <w:abstractNumId w:val="13"/>
  </w:num>
  <w:num w:numId="11">
    <w:abstractNumId w:val="23"/>
  </w:num>
  <w:num w:numId="12">
    <w:abstractNumId w:val="4"/>
  </w:num>
  <w:num w:numId="13">
    <w:abstractNumId w:val="12"/>
  </w:num>
  <w:num w:numId="14">
    <w:abstractNumId w:val="2"/>
  </w:num>
  <w:num w:numId="15">
    <w:abstractNumId w:val="1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9D1"/>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E70"/>
    <w:rsid w:val="007E1193"/>
    <w:rsid w:val="007E1275"/>
    <w:rsid w:val="007E1DA4"/>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26D"/>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90"/>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C3F92-2EBD-45EF-9F34-67FCA3CA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2021-01-15T17:16:00Z</dcterms:created>
  <dcterms:modified xsi:type="dcterms:W3CDTF">2021-01-15T17:16:00Z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