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3A57A" w14:textId="377CC369" w:rsidR="00B66DD7" w:rsidRDefault="00B66DD7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7977C4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8</w:t>
      </w:r>
      <w:r w:rsidRPr="007977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43AE" w:rsidRPr="005D43AE">
        <w:rPr>
          <w:b/>
          <w:i/>
          <w:noProof/>
          <w:sz w:val="28"/>
        </w:rPr>
        <w:t>R4-2101860</w:t>
      </w:r>
    </w:p>
    <w:p w14:paraId="35A2B6F2" w14:textId="2F0EABFD" w:rsidR="0044364B" w:rsidRPr="00B66DD7" w:rsidRDefault="00B66DD7" w:rsidP="00B66D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1C59E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Jan -- </w:t>
      </w:r>
      <w:r w:rsidRPr="001C59E2">
        <w:rPr>
          <w:rFonts w:cs="Arial"/>
          <w:b/>
          <w:sz w:val="24"/>
          <w:szCs w:val="24"/>
        </w:rPr>
        <w:t xml:space="preserve"> </w:t>
      </w:r>
      <w:r w:rsidR="005D43AE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Start w:id="1" w:name="_GoBack"/>
      <w:bookmarkEnd w:id="1"/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5E030C03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0C01D4" w:rsidRPr="000C01D4">
        <w:rPr>
          <w:rFonts w:ascii="Arial" w:hAnsi="Arial" w:cs="Arial"/>
          <w:lang w:val="en-US"/>
        </w:rPr>
        <w:t>MRTD and MTTD in non-contiguous CA in FR1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026B60F1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23433">
        <w:rPr>
          <w:rFonts w:ascii="Arial" w:hAnsi="Arial" w:cs="Arial"/>
          <w:bCs/>
          <w:lang w:val="en-US"/>
        </w:rPr>
        <w:t>7.19.5</w:t>
      </w:r>
    </w:p>
    <w:p w14:paraId="5A3522FA" w14:textId="38C962ED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C01D4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2" w:name="clause4"/>
      <w:bookmarkStart w:id="3" w:name="_Toc2086441"/>
      <w:bookmarkEnd w:id="2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3"/>
      <w:r w:rsidR="00B93FB3">
        <w:rPr>
          <w:lang w:val="en-US"/>
        </w:rPr>
        <w:t>Introduction</w:t>
      </w:r>
    </w:p>
    <w:p w14:paraId="7E1A9589" w14:textId="04C0C3A4" w:rsidR="00B93FB3" w:rsidRDefault="00792C9D" w:rsidP="00B93FB3">
      <w:pPr>
        <w:rPr>
          <w:lang w:val="en-US"/>
        </w:rPr>
      </w:pPr>
      <w:r>
        <w:rPr>
          <w:lang w:val="en-US"/>
        </w:rPr>
        <w:t>In this contribution we discuss the colocation requirement for FR1 non-contiguous CA, base</w:t>
      </w:r>
      <w:r w:rsidR="00832EA8">
        <w:rPr>
          <w:lang w:val="en-US"/>
        </w:rPr>
        <w:t>d</w:t>
      </w:r>
      <w:r>
        <w:rPr>
          <w:lang w:val="en-US"/>
        </w:rPr>
        <w:t xml:space="preserve"> on the contribution from Huawei in [1].</w:t>
      </w:r>
    </w:p>
    <w:p w14:paraId="264C5E51" w14:textId="28ED2DDE" w:rsidR="00BE4393" w:rsidRDefault="00BE4393" w:rsidP="00BE439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E055852" w14:textId="34AB27C4" w:rsidR="00BE4393" w:rsidRDefault="00EE2677" w:rsidP="00BE4393">
      <w:pPr>
        <w:rPr>
          <w:lang w:val="en-US"/>
        </w:rPr>
      </w:pPr>
      <w:r>
        <w:rPr>
          <w:lang w:val="en-US"/>
        </w:rPr>
        <w:t>As pointed out in [1], release-16 has defined several intra-band non-contiguous band combinations.</w:t>
      </w:r>
      <w:r w:rsidR="00E4187C">
        <w:rPr>
          <w:lang w:val="en-US"/>
        </w:rPr>
        <w:t xml:space="preserve"> The band combinations are listed in TS 38.101-1 [2]</w:t>
      </w:r>
      <w:r w:rsidR="001E07E1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2677" w14:paraId="2D10A51F" w14:textId="77777777" w:rsidTr="00EE2677">
        <w:tc>
          <w:tcPr>
            <w:tcW w:w="9631" w:type="dxa"/>
          </w:tcPr>
          <w:p w14:paraId="4D6826CD" w14:textId="2FA56C27" w:rsidR="00EE2677" w:rsidRDefault="00EE2677" w:rsidP="00BE4393">
            <w:pPr>
              <w:rPr>
                <w:lang w:val="en-US"/>
              </w:rPr>
            </w:pPr>
          </w:p>
          <w:p w14:paraId="19457E57" w14:textId="77777777" w:rsidR="00EE2677" w:rsidRDefault="00EE2677" w:rsidP="00BE4393">
            <w:pPr>
              <w:rPr>
                <w:lang w:val="en-US"/>
              </w:rPr>
            </w:pPr>
          </w:p>
          <w:p w14:paraId="595E9C79" w14:textId="77777777" w:rsidR="00D438F3" w:rsidRPr="001C0CC4" w:rsidRDefault="00D438F3" w:rsidP="00D438F3">
            <w:pPr>
              <w:pStyle w:val="TH"/>
            </w:pPr>
            <w:r w:rsidRPr="001C0CC4">
              <w:t>Table 5.2A.1-2: Intra-band non-contiguous CA operating bands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D438F3" w:rsidRPr="00AB3795" w14:paraId="04787FD3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5A6C0" w14:textId="77777777" w:rsidR="00D438F3" w:rsidRDefault="00D438F3" w:rsidP="00D438F3">
                  <w:pPr>
                    <w:pStyle w:val="TAH"/>
                  </w:pPr>
                  <w:r>
                    <w:t>NR CA Band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AD097" w14:textId="77777777" w:rsidR="00D438F3" w:rsidRDefault="00D438F3" w:rsidP="00D438F3">
                  <w:pPr>
                    <w:pStyle w:val="TAH"/>
                  </w:pPr>
                  <w:r>
                    <w:t>NR Band</w:t>
                  </w:r>
                </w:p>
                <w:p w14:paraId="0F211D94" w14:textId="77777777" w:rsidR="00D438F3" w:rsidRDefault="00D438F3" w:rsidP="00D438F3">
                  <w:pPr>
                    <w:pStyle w:val="TAH"/>
                  </w:pPr>
                  <w:r>
                    <w:t>(Table 5.2-1)</w:t>
                  </w:r>
                </w:p>
              </w:tc>
            </w:tr>
            <w:tr w:rsidR="00D438F3" w:rsidRPr="00AB3795" w14:paraId="2E7BF936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C78F4" w14:textId="77777777" w:rsidR="00D438F3" w:rsidRDefault="00D438F3" w:rsidP="00D438F3">
                  <w:pPr>
                    <w:pStyle w:val="TAC"/>
                  </w:pPr>
                  <w:r>
                    <w:t>CA_n3(*)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8DE10" w14:textId="77777777" w:rsidR="00D438F3" w:rsidRDefault="00D438F3" w:rsidP="00D438F3">
                  <w:pPr>
                    <w:pStyle w:val="TAC"/>
                  </w:pPr>
                  <w:r>
                    <w:t>n3</w:t>
                  </w:r>
                </w:p>
              </w:tc>
            </w:tr>
            <w:tr w:rsidR="00D438F3" w:rsidRPr="00AB3795" w14:paraId="0375F4CA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44795" w14:textId="77777777" w:rsidR="00D438F3" w:rsidRDefault="00D438F3" w:rsidP="00D438F3">
                  <w:pPr>
                    <w:pStyle w:val="TAC"/>
                  </w:pPr>
                  <w:r>
                    <w:t>CA_n7(*)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B1D75" w14:textId="77777777" w:rsidR="00D438F3" w:rsidRDefault="00D438F3" w:rsidP="00D438F3">
                  <w:pPr>
                    <w:pStyle w:val="TAC"/>
                  </w:pPr>
                  <w:r>
                    <w:t>n7</w:t>
                  </w:r>
                </w:p>
              </w:tc>
            </w:tr>
            <w:tr w:rsidR="00D438F3" w:rsidRPr="00AB3795" w14:paraId="406F0DDE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C9058" w14:textId="77777777" w:rsidR="00D438F3" w:rsidRDefault="00D438F3" w:rsidP="00D438F3">
                  <w:pPr>
                    <w:pStyle w:val="TAC"/>
                  </w:pPr>
                  <w:r>
                    <w:t>CA_n25(*)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A6B31" w14:textId="77777777" w:rsidR="00D438F3" w:rsidRDefault="00D438F3" w:rsidP="00D438F3">
                  <w:pPr>
                    <w:pStyle w:val="TAC"/>
                  </w:pPr>
                  <w:r>
                    <w:t>n25</w:t>
                  </w:r>
                </w:p>
              </w:tc>
            </w:tr>
            <w:tr w:rsidR="00D438F3" w:rsidRPr="00AB3795" w14:paraId="4A7D174D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3DA08" w14:textId="77777777" w:rsidR="00D438F3" w:rsidRDefault="00D438F3" w:rsidP="00D438F3">
                  <w:pPr>
                    <w:pStyle w:val="TAC"/>
                  </w:pPr>
                  <w:r>
                    <w:t>CA_n41(*)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063B0" w14:textId="77777777" w:rsidR="00D438F3" w:rsidRDefault="00D438F3" w:rsidP="00D438F3">
                  <w:pPr>
                    <w:pStyle w:val="TAC"/>
                  </w:pPr>
                  <w:r>
                    <w:t>n41</w:t>
                  </w:r>
                </w:p>
              </w:tc>
            </w:tr>
            <w:tr w:rsidR="00D438F3" w:rsidRPr="00AB3795" w14:paraId="3F65228C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3BFF0" w14:textId="77777777" w:rsidR="00D438F3" w:rsidRDefault="00D438F3" w:rsidP="00D438F3">
                  <w:pPr>
                    <w:pStyle w:val="TAC"/>
                  </w:pPr>
                  <w:r>
                    <w:t>CA_n48(*)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7214C" w14:textId="77777777" w:rsidR="00D438F3" w:rsidRDefault="00D438F3" w:rsidP="00D438F3">
                  <w:pPr>
                    <w:pStyle w:val="TAC"/>
                  </w:pPr>
                  <w:r>
                    <w:t>n48</w:t>
                  </w:r>
                </w:p>
              </w:tc>
            </w:tr>
            <w:tr w:rsidR="00D438F3" w:rsidRPr="00AB3795" w14:paraId="1D82472B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B28B5" w14:textId="77777777" w:rsidR="00D438F3" w:rsidRDefault="00D438F3" w:rsidP="00D438F3">
                  <w:pPr>
                    <w:pStyle w:val="TAC"/>
                  </w:pPr>
                  <w:r w:rsidRPr="001C0CC4">
                    <w:t>CA_n66</w:t>
                  </w:r>
                  <w:r>
                    <w:t>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5650C" w14:textId="77777777" w:rsidR="00D438F3" w:rsidRDefault="00D438F3" w:rsidP="00D438F3">
                  <w:pPr>
                    <w:pStyle w:val="TAC"/>
                  </w:pPr>
                  <w:r>
                    <w:t>n66</w:t>
                  </w:r>
                </w:p>
              </w:tc>
            </w:tr>
            <w:tr w:rsidR="00D438F3" w:rsidRPr="00AB3795" w14:paraId="3F16BC34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0ECE0" w14:textId="77777777" w:rsidR="00D438F3" w:rsidRPr="00376404" w:rsidRDefault="00D438F3" w:rsidP="00D438F3">
                  <w:pPr>
                    <w:pStyle w:val="TAC"/>
                  </w:pPr>
                  <w:r>
                    <w:t>CA_n77(*)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C2651" w14:textId="77777777" w:rsidR="00D438F3" w:rsidRDefault="00D438F3" w:rsidP="00D438F3">
                  <w:pPr>
                    <w:pStyle w:val="TAC"/>
                  </w:pPr>
                  <w:r>
                    <w:t>n77</w:t>
                  </w:r>
                </w:p>
              </w:tc>
            </w:tr>
            <w:tr w:rsidR="00D438F3" w:rsidRPr="00AB3795" w14:paraId="028D5B2D" w14:textId="77777777" w:rsidTr="00BA16D9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EFB5E" w14:textId="77777777" w:rsidR="00D438F3" w:rsidRDefault="00D438F3" w:rsidP="00D438F3">
                  <w:pPr>
                    <w:pStyle w:val="TAC"/>
                  </w:pPr>
                  <w:r>
                    <w:t>CA_n78(*)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E353E" w14:textId="77777777" w:rsidR="00D438F3" w:rsidRDefault="00D438F3" w:rsidP="00D438F3">
                  <w:pPr>
                    <w:pStyle w:val="TAC"/>
                  </w:pPr>
                  <w:r>
                    <w:t>n78</w:t>
                  </w:r>
                </w:p>
              </w:tc>
            </w:tr>
            <w:tr w:rsidR="00D438F3" w:rsidRPr="00AB3795" w14:paraId="013D59D7" w14:textId="77777777" w:rsidTr="00BA16D9">
              <w:trPr>
                <w:trHeight w:val="225"/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F840D" w14:textId="77777777" w:rsidR="00D438F3" w:rsidRDefault="00D438F3" w:rsidP="00D438F3">
                  <w:pPr>
                    <w:pStyle w:val="TAN"/>
                  </w:pPr>
                  <w:r>
                    <w:t>NOTE 1:</w:t>
                  </w:r>
                  <w:r>
                    <w:tab/>
                    <w:t>The minimum requirements only apply for non simultaneous Tx/Rx between all carriers for TDD combinations.</w:t>
                  </w:r>
                </w:p>
                <w:p w14:paraId="16A98AC5" w14:textId="77777777" w:rsidR="00D438F3" w:rsidRDefault="00D438F3" w:rsidP="00D438F3">
                  <w:pPr>
                    <w:pStyle w:val="TAN"/>
                  </w:pPr>
                  <w:bookmarkStart w:id="4" w:name="_Hlk34152838"/>
                  <w:r>
                    <w:t>NOTE 2:</w:t>
                  </w:r>
                  <w:r>
                    <w:tab/>
                    <w:t xml:space="preserve">The notation CA_nX(*) in this table indicates intra-band non-contiguous CA for band nX. The configurations for each band are in </w:t>
                  </w:r>
                  <w:r w:rsidRPr="00C722AC">
                    <w:t>5.5A.2</w:t>
                  </w:r>
                  <w:r>
                    <w:t xml:space="preserve">. </w:t>
                  </w:r>
                  <w:bookmarkEnd w:id="4"/>
                </w:p>
              </w:tc>
            </w:tr>
          </w:tbl>
          <w:p w14:paraId="6FE7AD73" w14:textId="77777777" w:rsidR="00D438F3" w:rsidRDefault="00D438F3" w:rsidP="00BE4393">
            <w:pPr>
              <w:rPr>
                <w:lang w:val="en-US"/>
              </w:rPr>
            </w:pPr>
          </w:p>
          <w:p w14:paraId="581EB4F3" w14:textId="1A0C961E" w:rsidR="00D438F3" w:rsidRDefault="00D438F3" w:rsidP="00BE4393">
            <w:pPr>
              <w:rPr>
                <w:lang w:val="en-US"/>
              </w:rPr>
            </w:pPr>
          </w:p>
        </w:tc>
      </w:tr>
    </w:tbl>
    <w:p w14:paraId="3833F537" w14:textId="6F057F35" w:rsidR="00EE2677" w:rsidRDefault="00EE2677" w:rsidP="00BE4393">
      <w:pPr>
        <w:rPr>
          <w:lang w:val="en-US"/>
        </w:rPr>
      </w:pPr>
    </w:p>
    <w:p w14:paraId="40EDF8F5" w14:textId="6D2B3295" w:rsidR="00D438F3" w:rsidRDefault="00F45318" w:rsidP="00BE4393">
      <w:pPr>
        <w:rPr>
          <w:lang w:val="en-US"/>
        </w:rPr>
      </w:pPr>
      <w:r>
        <w:rPr>
          <w:lang w:val="en-US"/>
        </w:rPr>
        <w:t>In TS 38.104 [3] the TAE requirement for intra-band con-contiguous carrier aggregation is stated as: “</w:t>
      </w:r>
      <w:r w:rsidRPr="00F45318">
        <w:t xml:space="preserve">For </w:t>
      </w:r>
      <w:r w:rsidRPr="00F45318">
        <w:rPr>
          <w:i/>
        </w:rPr>
        <w:t>intra-band non-contiguous carrier aggregation</w:t>
      </w:r>
      <w:r w:rsidRPr="00F45318">
        <w:t xml:space="preserve">, with or without MIMO, TAE shall not exceed </w:t>
      </w:r>
      <w:r w:rsidRPr="00F45318">
        <w:rPr>
          <w:lang w:eastAsia="zh-CN"/>
        </w:rPr>
        <w:t>3</w:t>
      </w:r>
      <w:bookmarkStart w:id="5" w:name="OLE_LINK264"/>
      <w:bookmarkStart w:id="6" w:name="OLE_LINK265"/>
      <w:r w:rsidRPr="00F45318">
        <w:rPr>
          <w:rFonts w:cs="Arial"/>
        </w:rPr>
        <w:t>µs</w:t>
      </w:r>
      <w:bookmarkEnd w:id="5"/>
      <w:bookmarkEnd w:id="6"/>
      <w:r>
        <w:rPr>
          <w:lang w:val="en-US"/>
        </w:rPr>
        <w:t>”. A TAE requirement of 3 µs is well suited for non-colocated deployment. A TAE requirement of 3 µs is already used for inter-band carrier aggregation, which can be deployed non-colocated.</w:t>
      </w:r>
    </w:p>
    <w:p w14:paraId="2D4075A4" w14:textId="2B15B02B" w:rsidR="00977A0C" w:rsidRDefault="00977A0C" w:rsidP="00BE4393">
      <w:pPr>
        <w:rPr>
          <w:b/>
          <w:bCs/>
          <w:lang w:val="en-US"/>
        </w:rPr>
      </w:pPr>
      <w:r w:rsidRPr="00977A0C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Allow non-colocated </w:t>
      </w:r>
      <w:r w:rsidRPr="00977A0C">
        <w:rPr>
          <w:b/>
          <w:bCs/>
          <w:lang w:val="en-US"/>
        </w:rPr>
        <w:t>deployment for intra-band con-contiguous carrier aggregatio</w:t>
      </w:r>
      <w:r>
        <w:rPr>
          <w:b/>
          <w:bCs/>
          <w:lang w:val="en-US"/>
        </w:rPr>
        <w:t>n for</w:t>
      </w:r>
      <w:r w:rsidR="00BA6770">
        <w:rPr>
          <w:b/>
          <w:bCs/>
          <w:lang w:val="en-US"/>
        </w:rPr>
        <w:t xml:space="preserve"> FR1 in</w:t>
      </w:r>
      <w:r>
        <w:rPr>
          <w:b/>
          <w:bCs/>
          <w:lang w:val="en-US"/>
        </w:rPr>
        <w:t xml:space="preserve"> realse-16.</w:t>
      </w:r>
    </w:p>
    <w:p w14:paraId="501C20B7" w14:textId="39B8954A" w:rsidR="00DC36CC" w:rsidRDefault="00DC36CC" w:rsidP="00BE4393">
      <w:r>
        <w:t>When it comes to the actual MRTD and MTTD values we need a UE reference architecture to start from in order to anchor requirement analysis. When non-contiguous carrier aggregation</w:t>
      </w:r>
      <w:r w:rsidR="009E25D7">
        <w:t xml:space="preserve"> was introduced, for the first time, </w:t>
      </w:r>
      <w:r w:rsidR="00267D99">
        <w:t xml:space="preserve">the first step was to agree a reasonable reference UE architecture. The reference architecture as not mandatory, but, if used, then </w:t>
      </w:r>
      <w:r w:rsidR="00267D99">
        <w:lastRenderedPageBreak/>
        <w:t xml:space="preserve">fulfilment of the </w:t>
      </w:r>
      <w:r w:rsidR="00267D99" w:rsidRPr="00267D99">
        <w:t xml:space="preserve">non-contiguous carrier aggregation </w:t>
      </w:r>
      <w:r w:rsidR="00267D99">
        <w:t>requirement set was ensured.</w:t>
      </w:r>
      <w:r w:rsidR="009B3DE2">
        <w:t xml:space="preserve"> In TR 36.823, the UE reference architecture was [3, </w:t>
      </w:r>
      <w:r w:rsidR="009B3DE2" w:rsidRPr="009B3DE2">
        <w:t>Figure 6.2.3.1-1</w:t>
      </w:r>
      <w:r w:rsidR="0088708C">
        <w:t xml:space="preserve">, </w:t>
      </w:r>
      <w:r w:rsidR="0088708C" w:rsidRPr="0088708C">
        <w:t>6.2.2.1-1</w:t>
      </w:r>
      <w:r w:rsidR="009B3DE2">
        <w:t>]:</w:t>
      </w:r>
    </w:p>
    <w:p w14:paraId="2F127A88" w14:textId="01D756EB" w:rsidR="009B3DE2" w:rsidRDefault="00421912" w:rsidP="00BE4393">
      <w:r w:rsidRPr="00A46A25">
        <w:rPr>
          <w:noProof/>
        </w:rPr>
        <w:drawing>
          <wp:inline distT="0" distB="0" distL="0" distR="0" wp14:anchorId="4E8A89A5" wp14:editId="6DB621DB">
            <wp:extent cx="6117590" cy="3396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339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E1897" w14:textId="4D7CF65B" w:rsidR="00174377" w:rsidRDefault="00477148" w:rsidP="00477148">
      <w:pPr>
        <w:pStyle w:val="TF"/>
      </w:pPr>
      <w:r>
        <w:t xml:space="preserve">Figure 1: </w:t>
      </w:r>
      <w:r w:rsidRPr="00477148">
        <w:t>Reference receiver architecture</w:t>
      </w:r>
    </w:p>
    <w:p w14:paraId="4E03CD1C" w14:textId="066A45B5" w:rsidR="0088708C" w:rsidRDefault="0088708C" w:rsidP="00477148">
      <w:pPr>
        <w:pStyle w:val="TF"/>
      </w:pPr>
      <w:r w:rsidRPr="00A46A25">
        <w:object w:dxaOrig="14387" w:dyaOrig="8843" w14:anchorId="02E09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8pt;height:253.8pt" o:ole="">
            <v:imagedata r:id="rId13" o:title=""/>
          </v:shape>
          <o:OLEObject Type="Embed" ProgID="Visio.Drawing.11" ShapeID="_x0000_i1025" DrawAspect="Content" ObjectID="_1672228781" r:id="rId14"/>
        </w:object>
      </w:r>
    </w:p>
    <w:p w14:paraId="20956C72" w14:textId="5DD54FE2" w:rsidR="0088708C" w:rsidRDefault="0088708C" w:rsidP="0088708C">
      <w:pPr>
        <w:pStyle w:val="TF"/>
      </w:pPr>
      <w:r>
        <w:t xml:space="preserve">Figure 2: </w:t>
      </w:r>
      <w:r w:rsidRPr="00477148">
        <w:t xml:space="preserve">Reference </w:t>
      </w:r>
      <w:r>
        <w:t>transmitter</w:t>
      </w:r>
      <w:r w:rsidRPr="00477148">
        <w:t xml:space="preserve"> architecture</w:t>
      </w:r>
    </w:p>
    <w:p w14:paraId="3600EF18" w14:textId="71B18B59" w:rsidR="0088708C" w:rsidRDefault="00A507F9" w:rsidP="00903174">
      <w:r>
        <w:t>Figure 1 and Figure 2 show that a reasonable assumption for an intra-band non-contiguous carrier aggregation is to have the same FR1 MRTD and MTTD as inter-band carrier aggregation</w:t>
      </w:r>
      <w:r w:rsidR="009F4533">
        <w:t>, since each band is managed separately.</w:t>
      </w:r>
    </w:p>
    <w:p w14:paraId="433BB983" w14:textId="44A7D879" w:rsidR="00BE3746" w:rsidRPr="00DC36CC" w:rsidRDefault="00BE3746" w:rsidP="00903174">
      <w:r w:rsidRPr="00977A0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77A0C">
        <w:rPr>
          <w:b/>
          <w:bCs/>
          <w:lang w:val="en-US"/>
        </w:rPr>
        <w:t xml:space="preserve">: </w:t>
      </w:r>
      <w:r w:rsidRPr="00BE3746">
        <w:rPr>
          <w:b/>
          <w:bCs/>
          <w:lang w:val="en-US"/>
        </w:rPr>
        <w:t xml:space="preserve">MRTD and MTTD </w:t>
      </w:r>
      <w:r>
        <w:rPr>
          <w:b/>
          <w:bCs/>
          <w:lang w:val="en-US"/>
        </w:rPr>
        <w:t xml:space="preserve">for intra-band non-contiguous carrier aggregation in FR1, are the same MRTD and MTTD for </w:t>
      </w:r>
      <w:r w:rsidRPr="00BE3746">
        <w:rPr>
          <w:b/>
          <w:bCs/>
          <w:lang w:val="en-US"/>
        </w:rPr>
        <w:t>inter-band carrier aggregation</w:t>
      </w:r>
      <w:r>
        <w:rPr>
          <w:b/>
          <w:bCs/>
          <w:lang w:val="en-US"/>
        </w:rPr>
        <w:t xml:space="preserve"> in FR1. </w:t>
      </w:r>
    </w:p>
    <w:p w14:paraId="7DE08BE8" w14:textId="088FF78B" w:rsidR="00B93FB3" w:rsidRDefault="00BE4393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B93FB3">
        <w:rPr>
          <w:lang w:val="en-US"/>
        </w:rPr>
        <w:tab/>
        <w:t>Summary</w:t>
      </w:r>
    </w:p>
    <w:p w14:paraId="4D9A2D63" w14:textId="77777777" w:rsidR="00BA6770" w:rsidRDefault="00BA6770" w:rsidP="00BA6770">
      <w:pPr>
        <w:rPr>
          <w:b/>
          <w:bCs/>
          <w:lang w:val="en-US"/>
        </w:rPr>
      </w:pPr>
      <w:r w:rsidRPr="00977A0C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Allow non-colocated </w:t>
      </w:r>
      <w:r w:rsidRPr="00977A0C">
        <w:rPr>
          <w:b/>
          <w:bCs/>
          <w:lang w:val="en-US"/>
        </w:rPr>
        <w:t>deployment for intra-band con-contiguous carrier aggregatio</w:t>
      </w:r>
      <w:r>
        <w:rPr>
          <w:b/>
          <w:bCs/>
          <w:lang w:val="en-US"/>
        </w:rPr>
        <w:t>n for FR1 in realse-16.</w:t>
      </w:r>
    </w:p>
    <w:p w14:paraId="1A00B9F9" w14:textId="4F351396" w:rsidR="007E6E98" w:rsidRPr="007E6E98" w:rsidRDefault="007E6E98" w:rsidP="007E6E98">
      <w:r w:rsidRPr="00977A0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77A0C">
        <w:rPr>
          <w:b/>
          <w:bCs/>
          <w:lang w:val="en-US"/>
        </w:rPr>
        <w:t xml:space="preserve">: </w:t>
      </w:r>
      <w:r w:rsidRPr="00BE3746">
        <w:rPr>
          <w:b/>
          <w:bCs/>
          <w:lang w:val="en-US"/>
        </w:rPr>
        <w:t xml:space="preserve">MRTD and MTTD </w:t>
      </w:r>
      <w:r>
        <w:rPr>
          <w:b/>
          <w:bCs/>
          <w:lang w:val="en-US"/>
        </w:rPr>
        <w:t xml:space="preserve">for intra-band non-contiguous carrier aggregation in FR1, are the same MRTD and MTTD for </w:t>
      </w:r>
      <w:r w:rsidRPr="00BE3746">
        <w:rPr>
          <w:b/>
          <w:bCs/>
          <w:lang w:val="en-US"/>
        </w:rPr>
        <w:t>inter-band carrier aggregation</w:t>
      </w:r>
      <w:r>
        <w:rPr>
          <w:b/>
          <w:bCs/>
          <w:lang w:val="en-US"/>
        </w:rPr>
        <w:t xml:space="preserve"> in FR1.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D2D5409" w14:textId="2EA28228" w:rsidR="003F692C" w:rsidRDefault="003F692C" w:rsidP="003F692C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bookmarkStart w:id="7" w:name="_Ref508638450"/>
      <w:bookmarkStart w:id="8" w:name="_Ref3386619"/>
      <w:r>
        <w:rPr>
          <w:rFonts w:eastAsia="SimSun"/>
          <w:bCs/>
          <w:lang w:val="en-US" w:eastAsia="zh-CN"/>
        </w:rPr>
        <w:t>[1]</w:t>
      </w:r>
      <w:r>
        <w:rPr>
          <w:rFonts w:eastAsia="SimSun"/>
          <w:bCs/>
          <w:lang w:val="en-US" w:eastAsia="zh-CN"/>
        </w:rPr>
        <w:tab/>
      </w:r>
      <w:r w:rsidRPr="003F692C">
        <w:rPr>
          <w:rFonts w:eastAsia="SimSun"/>
          <w:bCs/>
          <w:lang w:val="en-US" w:eastAsia="zh-CN"/>
        </w:rPr>
        <w:t>R4-2015478</w:t>
      </w:r>
      <w:r w:rsidR="00CB0749" w:rsidRPr="003F692C">
        <w:rPr>
          <w:bCs/>
        </w:rPr>
        <w:t xml:space="preserve">, </w:t>
      </w:r>
      <w:r w:rsidRPr="003F692C">
        <w:rPr>
          <w:bCs/>
        </w:rPr>
        <w:t>Discussion on MRTD/MTTD requirements for FR1 intra-band NCCA, RAN4#97-e, Huawei</w:t>
      </w:r>
      <w:r w:rsidR="009133A7">
        <w:rPr>
          <w:bCs/>
        </w:rPr>
        <w:br/>
      </w:r>
    </w:p>
    <w:p w14:paraId="4B6B88AE" w14:textId="6889940B" w:rsidR="009E25D7" w:rsidRDefault="003F692C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r>
        <w:rPr>
          <w:bCs/>
        </w:rPr>
        <w:t xml:space="preserve">[2]  </w:t>
      </w:r>
      <w:r>
        <w:rPr>
          <w:bCs/>
        </w:rPr>
        <w:tab/>
      </w:r>
      <w:r w:rsidR="00C32A97">
        <w:rPr>
          <w:bCs/>
        </w:rPr>
        <w:t xml:space="preserve">TS 38.101-1, </w:t>
      </w:r>
      <w:r w:rsidR="00E4187C" w:rsidRPr="00E4187C">
        <w:rPr>
          <w:bCs/>
        </w:rPr>
        <w:t>User Equipment (UE) radio transmission and reception</w:t>
      </w:r>
      <w:r w:rsidR="00E4187C">
        <w:rPr>
          <w:bCs/>
        </w:rPr>
        <w:t xml:space="preserve">. </w:t>
      </w:r>
      <w:r w:rsidR="00E4187C" w:rsidRPr="00E4187C">
        <w:rPr>
          <w:bCs/>
        </w:rPr>
        <w:t>Part 1: Range 1 Standalone</w:t>
      </w:r>
      <w:r w:rsidR="00E4187C">
        <w:rPr>
          <w:bCs/>
        </w:rPr>
        <w:t>, V16.5.0</w:t>
      </w:r>
    </w:p>
    <w:p w14:paraId="010157EC" w14:textId="5C827D69" w:rsidR="009E25D7" w:rsidRDefault="009E25D7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</w:p>
    <w:p w14:paraId="15120355" w14:textId="700A8AE0" w:rsidR="009E25D7" w:rsidRPr="003F692C" w:rsidRDefault="009E25D7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r>
        <w:rPr>
          <w:bCs/>
        </w:rPr>
        <w:t xml:space="preserve">[3]  </w:t>
      </w:r>
      <w:r>
        <w:rPr>
          <w:bCs/>
        </w:rPr>
        <w:tab/>
        <w:t xml:space="preserve">TR 36.823,  </w:t>
      </w:r>
      <w:r w:rsidRPr="009E25D7">
        <w:rPr>
          <w:bCs/>
        </w:rPr>
        <w:t>Carrier aggregation enhancements</w:t>
      </w:r>
      <w:r>
        <w:rPr>
          <w:bCs/>
        </w:rPr>
        <w:t xml:space="preserve"> (</w:t>
      </w:r>
      <w:r w:rsidRPr="009E25D7">
        <w:rPr>
          <w:bCs/>
        </w:rPr>
        <w:t>Release 11)</w:t>
      </w:r>
      <w:r>
        <w:rPr>
          <w:bCs/>
        </w:rPr>
        <w:t xml:space="preserve"> </w:t>
      </w:r>
      <w:r w:rsidRPr="009E25D7">
        <w:rPr>
          <w:bCs/>
        </w:rPr>
        <w:t>V11.0.1</w:t>
      </w:r>
      <w:r>
        <w:rPr>
          <w:bCs/>
        </w:rPr>
        <w:t>.</w:t>
      </w:r>
    </w:p>
    <w:bookmarkEnd w:id="7"/>
    <w:bookmarkEnd w:id="8"/>
    <w:p w14:paraId="6987C0BF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01D4"/>
    <w:rsid w:val="000C47C3"/>
    <w:rsid w:val="000D58AB"/>
    <w:rsid w:val="00133525"/>
    <w:rsid w:val="00174377"/>
    <w:rsid w:val="001A4C42"/>
    <w:rsid w:val="001A7420"/>
    <w:rsid w:val="001B6637"/>
    <w:rsid w:val="001C21C3"/>
    <w:rsid w:val="001D02C2"/>
    <w:rsid w:val="001E07E1"/>
    <w:rsid w:val="001F0C1D"/>
    <w:rsid w:val="001F1132"/>
    <w:rsid w:val="001F168B"/>
    <w:rsid w:val="00223433"/>
    <w:rsid w:val="002347A2"/>
    <w:rsid w:val="002675F0"/>
    <w:rsid w:val="00267D99"/>
    <w:rsid w:val="002840A1"/>
    <w:rsid w:val="002B6339"/>
    <w:rsid w:val="002E00EE"/>
    <w:rsid w:val="003172DC"/>
    <w:rsid w:val="0035462D"/>
    <w:rsid w:val="003765B8"/>
    <w:rsid w:val="003C3971"/>
    <w:rsid w:val="003D429A"/>
    <w:rsid w:val="003F692C"/>
    <w:rsid w:val="00421912"/>
    <w:rsid w:val="00423334"/>
    <w:rsid w:val="004345EC"/>
    <w:rsid w:val="0044364B"/>
    <w:rsid w:val="00465515"/>
    <w:rsid w:val="00477148"/>
    <w:rsid w:val="004D3578"/>
    <w:rsid w:val="004E213A"/>
    <w:rsid w:val="004F0988"/>
    <w:rsid w:val="004F3340"/>
    <w:rsid w:val="0053388B"/>
    <w:rsid w:val="00535773"/>
    <w:rsid w:val="00543E6C"/>
    <w:rsid w:val="005528B9"/>
    <w:rsid w:val="00565087"/>
    <w:rsid w:val="0057305F"/>
    <w:rsid w:val="00586E2E"/>
    <w:rsid w:val="00597B11"/>
    <w:rsid w:val="005D2E01"/>
    <w:rsid w:val="005D43AE"/>
    <w:rsid w:val="005D7526"/>
    <w:rsid w:val="005E4BB2"/>
    <w:rsid w:val="00602AEA"/>
    <w:rsid w:val="00614FDF"/>
    <w:rsid w:val="0063543D"/>
    <w:rsid w:val="0063585B"/>
    <w:rsid w:val="00647114"/>
    <w:rsid w:val="006A323F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63AB5"/>
    <w:rsid w:val="00774DA4"/>
    <w:rsid w:val="00781F0F"/>
    <w:rsid w:val="00792C9D"/>
    <w:rsid w:val="007B600E"/>
    <w:rsid w:val="007E6E98"/>
    <w:rsid w:val="007F0F4A"/>
    <w:rsid w:val="008028A4"/>
    <w:rsid w:val="00830747"/>
    <w:rsid w:val="00832EA8"/>
    <w:rsid w:val="0083684A"/>
    <w:rsid w:val="008768CA"/>
    <w:rsid w:val="00885367"/>
    <w:rsid w:val="0088708C"/>
    <w:rsid w:val="008A6463"/>
    <w:rsid w:val="008C384C"/>
    <w:rsid w:val="0090271F"/>
    <w:rsid w:val="00902E23"/>
    <w:rsid w:val="00903174"/>
    <w:rsid w:val="009114D7"/>
    <w:rsid w:val="009133A7"/>
    <w:rsid w:val="0091348E"/>
    <w:rsid w:val="00915EDE"/>
    <w:rsid w:val="00917CCB"/>
    <w:rsid w:val="00942EC2"/>
    <w:rsid w:val="00977A0C"/>
    <w:rsid w:val="00985F99"/>
    <w:rsid w:val="009B3DE2"/>
    <w:rsid w:val="009C3E5A"/>
    <w:rsid w:val="009E25D7"/>
    <w:rsid w:val="009F37B7"/>
    <w:rsid w:val="009F4533"/>
    <w:rsid w:val="00A10F02"/>
    <w:rsid w:val="00A164B4"/>
    <w:rsid w:val="00A26956"/>
    <w:rsid w:val="00A27486"/>
    <w:rsid w:val="00A507F9"/>
    <w:rsid w:val="00A53724"/>
    <w:rsid w:val="00A56066"/>
    <w:rsid w:val="00A73129"/>
    <w:rsid w:val="00A82346"/>
    <w:rsid w:val="00A92BA1"/>
    <w:rsid w:val="00AC6BC6"/>
    <w:rsid w:val="00AE65E2"/>
    <w:rsid w:val="00B15449"/>
    <w:rsid w:val="00B66DD7"/>
    <w:rsid w:val="00B93086"/>
    <w:rsid w:val="00B93FB3"/>
    <w:rsid w:val="00BA19ED"/>
    <w:rsid w:val="00BA4B8D"/>
    <w:rsid w:val="00BA6770"/>
    <w:rsid w:val="00BC0F7D"/>
    <w:rsid w:val="00BD7D31"/>
    <w:rsid w:val="00BE3255"/>
    <w:rsid w:val="00BE3746"/>
    <w:rsid w:val="00BE4393"/>
    <w:rsid w:val="00BF128E"/>
    <w:rsid w:val="00C074DD"/>
    <w:rsid w:val="00C1496A"/>
    <w:rsid w:val="00C32A97"/>
    <w:rsid w:val="00C33079"/>
    <w:rsid w:val="00C41F2A"/>
    <w:rsid w:val="00C45231"/>
    <w:rsid w:val="00C72833"/>
    <w:rsid w:val="00C80F1D"/>
    <w:rsid w:val="00C93F40"/>
    <w:rsid w:val="00CA3D0C"/>
    <w:rsid w:val="00CB0749"/>
    <w:rsid w:val="00D12A57"/>
    <w:rsid w:val="00D438F3"/>
    <w:rsid w:val="00D57972"/>
    <w:rsid w:val="00D6299F"/>
    <w:rsid w:val="00D675A9"/>
    <w:rsid w:val="00D738D6"/>
    <w:rsid w:val="00D755EB"/>
    <w:rsid w:val="00D76048"/>
    <w:rsid w:val="00D817C6"/>
    <w:rsid w:val="00D87E00"/>
    <w:rsid w:val="00D9134D"/>
    <w:rsid w:val="00DA7A03"/>
    <w:rsid w:val="00DB1818"/>
    <w:rsid w:val="00DC309B"/>
    <w:rsid w:val="00DC36CC"/>
    <w:rsid w:val="00DC4DA2"/>
    <w:rsid w:val="00DD4C17"/>
    <w:rsid w:val="00DD74A5"/>
    <w:rsid w:val="00DF2B1F"/>
    <w:rsid w:val="00DF62CD"/>
    <w:rsid w:val="00E16509"/>
    <w:rsid w:val="00E4187C"/>
    <w:rsid w:val="00E44582"/>
    <w:rsid w:val="00E77645"/>
    <w:rsid w:val="00EA15B0"/>
    <w:rsid w:val="00EA5EA7"/>
    <w:rsid w:val="00EC4A25"/>
    <w:rsid w:val="00EE2677"/>
    <w:rsid w:val="00F025A2"/>
    <w:rsid w:val="00F04712"/>
    <w:rsid w:val="00F13360"/>
    <w:rsid w:val="00F22EC7"/>
    <w:rsid w:val="00F325C8"/>
    <w:rsid w:val="00F4531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E4187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187C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4187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E418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9A2B1-2C95-4EC9-ACBD-D567111ABE36}">
  <ds:schemaRefs>
    <ds:schemaRef ds:uri="9b239327-9e80-40e4-b1b7-4394fed77a33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46FCE4-2ED1-41F3-8B03-52B31B7C56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CCEF4-A02E-4E27-806F-A2C628B8B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D5316D-C214-4C53-B84C-49F43F68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445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27</cp:revision>
  <cp:lastPrinted>2019-02-25T14:05:00Z</cp:lastPrinted>
  <dcterms:created xsi:type="dcterms:W3CDTF">2020-12-08T14:53:00Z</dcterms:created>
  <dcterms:modified xsi:type="dcterms:W3CDTF">2021-01-15T14:13:00Z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