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0E8D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16240A">
        <w:rPr>
          <w:b/>
          <w:noProof/>
          <w:sz w:val="24"/>
        </w:rPr>
        <w:t>8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AE2FA8">
        <w:rPr>
          <w:b/>
          <w:bCs/>
          <w:i/>
          <w:iCs/>
          <w:sz w:val="28"/>
          <w:szCs w:val="28"/>
        </w:rPr>
        <w:t>01720</w:t>
      </w:r>
    </w:p>
    <w:p w14:paraId="17557718" w14:textId="3073B63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</w:t>
      </w:r>
      <w:r w:rsidR="0016240A">
        <w:rPr>
          <w:b/>
          <w:sz w:val="24"/>
          <w:szCs w:val="24"/>
        </w:rPr>
        <w:t>5 January</w:t>
      </w:r>
      <w:r>
        <w:rPr>
          <w:b/>
          <w:sz w:val="24"/>
          <w:szCs w:val="24"/>
        </w:rPr>
        <w:t xml:space="preserve"> – </w:t>
      </w:r>
      <w:r w:rsidR="0016240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16240A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BD7C0" w:rsidR="001E41F3" w:rsidRPr="00C55064" w:rsidRDefault="00AE2FA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5ED7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6240A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4FA73" w:rsidR="001E41F3" w:rsidRDefault="004E3FBE">
            <w:pPr>
              <w:pStyle w:val="CRCoverPage"/>
              <w:spacing w:after="0"/>
              <w:ind w:left="100"/>
              <w:rPr>
                <w:noProof/>
              </w:rPr>
            </w:pPr>
            <w:r w:rsidRPr="004E3FBE">
              <w:t>Applicability of minimum requirements for shared spectrum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AB7FC" w:rsidR="001E41F3" w:rsidRDefault="00067348">
            <w:pPr>
              <w:pStyle w:val="CRCoverPage"/>
              <w:spacing w:after="0"/>
              <w:ind w:left="100"/>
              <w:rPr>
                <w:noProof/>
              </w:rPr>
            </w:pPr>
            <w:r w:rsidRPr="0006734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A7D2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01-</w:t>
            </w:r>
            <w:r>
              <w:t>2</w:t>
            </w:r>
            <w:r w:rsidR="0016240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4196E9A2" w:rsidR="00217889" w:rsidRDefault="003F008F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applicability of minimum requirements for the transmitter and receiver characteristics of wideband operation is not specified. </w:t>
            </w:r>
            <w:r w:rsidR="00032FBB">
              <w:rPr>
                <w:noProof/>
              </w:rPr>
              <w:t>For the UL, tr</w:t>
            </w:r>
            <w:r w:rsidR="005E4AC7">
              <w:rPr>
                <w:noProof/>
              </w:rPr>
              <w:t xml:space="preserve">ansmissions in contigous </w:t>
            </w:r>
            <w:r w:rsidR="004C44CB">
              <w:rPr>
                <w:noProof/>
              </w:rPr>
              <w:t xml:space="preserve">available </w:t>
            </w:r>
            <w:r w:rsidR="005E4AC7">
              <w:rPr>
                <w:noProof/>
              </w:rPr>
              <w:t>RB sets where the intra-cell GB posibly scheduled</w:t>
            </w:r>
            <w:r w:rsidR="00D01EE0">
              <w:rPr>
                <w:noProof/>
              </w:rPr>
              <w:t xml:space="preserve"> </w:t>
            </w:r>
            <w:r w:rsidR="004C44CB">
              <w:rPr>
                <w:noProof/>
              </w:rPr>
              <w:t>should be assumed for the present release.</w:t>
            </w:r>
            <w:r w:rsidR="00683199">
              <w:rPr>
                <w:noProof/>
              </w:rPr>
              <w:t xml:space="preserve"> </w:t>
            </w:r>
            <w:r w:rsidR="00683199">
              <w:rPr>
                <w:noProof/>
              </w:rPr>
              <w:t>For the DL, transmissions with no intra-cell GB with all RB sets of a channel scheduled and available should be assumed.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ADF94" w14:textId="2EC2C0F0" w:rsidR="00DA79FF" w:rsidRDefault="00B272BF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742CAA">
              <w:rPr>
                <w:noProof/>
              </w:rPr>
              <w:t>F</w:t>
            </w:r>
            <w:r>
              <w:rPr>
                <w:noProof/>
              </w:rPr>
              <w:t xml:space="preserve">: the applicability of requirements for transmitter characteritics </w:t>
            </w:r>
            <w:r w:rsidR="00742CAA">
              <w:rPr>
                <w:noProof/>
              </w:rPr>
              <w:t>is specified.</w:t>
            </w:r>
          </w:p>
          <w:p w14:paraId="007074EF" w14:textId="75429BB6" w:rsidR="002C386E" w:rsidRDefault="002C386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A9183D" w14:textId="4BB2FF0E" w:rsidR="002C386E" w:rsidRDefault="002C386E" w:rsidP="002C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>
              <w:rPr>
                <w:noProof/>
              </w:rPr>
              <w:t>7</w:t>
            </w:r>
            <w:r>
              <w:rPr>
                <w:noProof/>
              </w:rPr>
              <w:t>.1F: the applicability of requirements for transmitter characteritics is specified</w:t>
            </w:r>
            <w:r w:rsidR="00267BFD">
              <w:rPr>
                <w:noProof/>
              </w:rPr>
              <w:t>.</w:t>
            </w:r>
          </w:p>
          <w:p w14:paraId="175C7960" w14:textId="77777777" w:rsidR="002C386E" w:rsidRDefault="002C386E" w:rsidP="00267BFD">
            <w:pPr>
              <w:pStyle w:val="CRCoverPage"/>
              <w:spacing w:after="0"/>
              <w:rPr>
                <w:noProof/>
              </w:rPr>
            </w:pPr>
          </w:p>
          <w:p w14:paraId="3D7A90C3" w14:textId="636FCCAE" w:rsidR="001E41F3" w:rsidRDefault="0097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is added to clause 2.</w:t>
            </w:r>
            <w:bookmarkStart w:id="1" w:name="_GoBack"/>
            <w:bookmarkEnd w:id="1"/>
            <w:r w:rsidR="00235544">
              <w:rPr>
                <w:noProof/>
              </w:rPr>
              <w:t xml:space="preserve"> </w:t>
            </w: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AE7D6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</w:t>
            </w:r>
            <w:r w:rsidR="00146800" w:rsidRPr="00FC2587">
              <w:rPr>
                <w:noProof/>
              </w:rPr>
              <w:t xml:space="preserve">applicability of minimum requirements for </w:t>
            </w:r>
            <w:r w:rsidR="00FC2587" w:rsidRPr="00FC2587">
              <w:rPr>
                <w:noProof/>
              </w:rPr>
              <w:t xml:space="preserve">the transmitter and receiver characteristics of </w:t>
            </w:r>
            <w:r w:rsidR="00146800" w:rsidRPr="00FC2587">
              <w:rPr>
                <w:noProof/>
              </w:rPr>
              <w:t>wideband operation is no</w:t>
            </w:r>
            <w:r w:rsidR="00FC2587" w:rsidRPr="00FC2587">
              <w:rPr>
                <w:noProof/>
              </w:rPr>
              <w:t xml:space="preserve">t specified. </w:t>
            </w:r>
            <w:r w:rsidR="00F872BC" w:rsidRPr="00FC258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8FA9D" w:rsidR="000768FE" w:rsidRDefault="00976352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062AF">
              <w:rPr>
                <w:noProof/>
              </w:rPr>
              <w:t xml:space="preserve">6.1F </w:t>
            </w:r>
            <w:r w:rsidR="008030DB">
              <w:rPr>
                <w:noProof/>
              </w:rPr>
              <w:t xml:space="preserve">(new), </w:t>
            </w:r>
            <w:r w:rsidR="005062AF">
              <w:rPr>
                <w:noProof/>
              </w:rPr>
              <w:t>7.1F</w:t>
            </w:r>
            <w:r w:rsidR="008030DB">
              <w:rPr>
                <w:noProof/>
              </w:rPr>
              <w:t xml:space="preserve">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3838B3F" w14:textId="77777777" w:rsidR="00C60467" w:rsidRPr="001C0CC4" w:rsidRDefault="00C60467" w:rsidP="00C60467">
      <w:pPr>
        <w:pStyle w:val="Heading1"/>
      </w:pPr>
      <w:bookmarkStart w:id="2" w:name="_Toc21344175"/>
      <w:bookmarkStart w:id="3" w:name="_Toc29801659"/>
      <w:bookmarkStart w:id="4" w:name="_Toc29802083"/>
      <w:bookmarkStart w:id="5" w:name="_Toc29802708"/>
      <w:bookmarkStart w:id="6" w:name="_Toc36107450"/>
      <w:bookmarkStart w:id="7" w:name="_Toc37251209"/>
      <w:bookmarkStart w:id="8" w:name="_Toc45887988"/>
      <w:bookmarkStart w:id="9" w:name="_Toc45888587"/>
      <w:bookmarkStart w:id="10" w:name="_Toc59649868"/>
      <w:bookmarkStart w:id="11" w:name="_Toc61357132"/>
      <w:bookmarkStart w:id="12" w:name="_Toc61358906"/>
      <w:r w:rsidRPr="001C0CC4">
        <w:t>2</w:t>
      </w:r>
      <w:r w:rsidRPr="001C0CC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81E47A" w14:textId="77777777" w:rsidR="00C60467" w:rsidRPr="001C0CC4" w:rsidRDefault="00C60467" w:rsidP="00C60467">
      <w:r w:rsidRPr="001C0CC4">
        <w:t>The following documents contain provisions which, through reference in this text, constitute provisions of the present document.</w:t>
      </w:r>
    </w:p>
    <w:p w14:paraId="4A26E813" w14:textId="77777777" w:rsidR="00C60467" w:rsidRPr="001C0CC4" w:rsidRDefault="00C60467" w:rsidP="00C60467">
      <w:bookmarkStart w:id="13" w:name="OLE_LINK2"/>
      <w:bookmarkStart w:id="14" w:name="OLE_LINK3"/>
      <w:bookmarkStart w:id="15" w:name="OLE_LINK4"/>
      <w:r w:rsidRPr="001C0CC4">
        <w:t>References are either specific (identified by date of publication, edition number, version number, etc.) or non</w:t>
      </w:r>
      <w:r w:rsidRPr="001C0CC4">
        <w:noBreakHyphen/>
        <w:t>specific.</w:t>
      </w:r>
    </w:p>
    <w:p w14:paraId="51A1ECE1" w14:textId="77777777" w:rsidR="00C60467" w:rsidRPr="001C0CC4" w:rsidRDefault="00C60467" w:rsidP="00C60467">
      <w:r w:rsidRPr="001C0CC4">
        <w:t>For a specific reference, subsequent revisions do not apply.</w:t>
      </w:r>
    </w:p>
    <w:p w14:paraId="4C09549F" w14:textId="77777777" w:rsidR="00C60467" w:rsidRPr="001C0CC4" w:rsidRDefault="00C60467" w:rsidP="00C60467">
      <w:r w:rsidRPr="001C0CC4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3"/>
    <w:bookmarkEnd w:id="14"/>
    <w:bookmarkEnd w:id="15"/>
    <w:p w14:paraId="1D002C49" w14:textId="77777777" w:rsidR="00C60467" w:rsidRPr="00DC7196" w:rsidRDefault="00C60467" w:rsidP="00C60467">
      <w:pPr>
        <w:pStyle w:val="EX"/>
      </w:pPr>
      <w:r w:rsidRPr="00DC7196">
        <w:t>[1]</w:t>
      </w:r>
      <w:r w:rsidRPr="00DC7196">
        <w:tab/>
        <w:t>3GPP TR 21.905: "Vocabulary for 3GPP Specifications".</w:t>
      </w:r>
    </w:p>
    <w:p w14:paraId="2AAF9BCD" w14:textId="77777777" w:rsidR="00C60467" w:rsidRPr="00DC7196" w:rsidRDefault="00C60467" w:rsidP="00C60467">
      <w:pPr>
        <w:pStyle w:val="EX"/>
      </w:pPr>
      <w:r w:rsidRPr="00DC7196">
        <w:t>[2]</w:t>
      </w:r>
      <w:r w:rsidRPr="00DC7196">
        <w:tab/>
        <w:t>3GPP TS 38.101-2: "NR; User Equipment (UE) radio transmission and reception; Part 2: Range 2 Standalone".</w:t>
      </w:r>
    </w:p>
    <w:p w14:paraId="2DF8D28D" w14:textId="77777777" w:rsidR="00C60467" w:rsidRPr="00DC7196" w:rsidRDefault="00C60467" w:rsidP="00C60467">
      <w:pPr>
        <w:pStyle w:val="EX"/>
      </w:pPr>
      <w:r w:rsidRPr="00DC7196">
        <w:t>[3]</w:t>
      </w:r>
      <w:r w:rsidRPr="00DC7196">
        <w:tab/>
        <w:t>3GPP TS 38.101-3: "NR; User Equipment (UE) radio transmission and reception; Part 3: Range 1 and Range 2 Interworking operation with other radios".</w:t>
      </w:r>
    </w:p>
    <w:p w14:paraId="3DB24536" w14:textId="77777777" w:rsidR="00C60467" w:rsidRPr="00DC7196" w:rsidRDefault="00C60467" w:rsidP="00C60467">
      <w:pPr>
        <w:pStyle w:val="EX"/>
      </w:pPr>
      <w:r w:rsidRPr="00DC7196">
        <w:t>[4]</w:t>
      </w:r>
      <w:r w:rsidRPr="00DC7196">
        <w:tab/>
        <w:t>3GPP TS 38.521-1: "NR; User Equipment (UE) conformance specification; Radio transmission and reception; Part 1: Range 1 Standalone".</w:t>
      </w:r>
    </w:p>
    <w:p w14:paraId="7B160839" w14:textId="77777777" w:rsidR="00C60467" w:rsidRPr="00DC7196" w:rsidRDefault="00C60467" w:rsidP="00C60467">
      <w:pPr>
        <w:pStyle w:val="EX"/>
      </w:pPr>
      <w:r w:rsidRPr="00DC7196">
        <w:t>[5]</w:t>
      </w:r>
      <w:r w:rsidRPr="00DC7196">
        <w:tab/>
        <w:t>Recommendation ITU-R M.1545: "Measurement uncertainty as it applies to test limits for the terrestrial component of International Mobile Telecommunications-2000".</w:t>
      </w:r>
    </w:p>
    <w:p w14:paraId="17466A38" w14:textId="77777777" w:rsidR="00C60467" w:rsidRPr="00DC7196" w:rsidRDefault="00C60467" w:rsidP="00C60467">
      <w:pPr>
        <w:pStyle w:val="EX"/>
      </w:pPr>
      <w:r w:rsidRPr="00DC7196">
        <w:t>[6]</w:t>
      </w:r>
      <w:r w:rsidRPr="00DC7196">
        <w:tab/>
        <w:t>3GPP TS 38.211: "NR; Physical channels and modulation".</w:t>
      </w:r>
    </w:p>
    <w:p w14:paraId="0365B566" w14:textId="77777777" w:rsidR="00C60467" w:rsidRPr="00DC7196" w:rsidRDefault="00C60467" w:rsidP="00C60467">
      <w:pPr>
        <w:pStyle w:val="EX"/>
      </w:pPr>
      <w:r w:rsidRPr="00DC7196">
        <w:t>[7]</w:t>
      </w:r>
      <w:r w:rsidRPr="00DC7196">
        <w:tab/>
        <w:t>3GPP TS 38.331: "Radio Resource Control (RRC) protocol specification".</w:t>
      </w:r>
    </w:p>
    <w:p w14:paraId="6FECAF5E" w14:textId="77777777" w:rsidR="00C60467" w:rsidRPr="00DC7196" w:rsidRDefault="00C60467" w:rsidP="00C60467">
      <w:pPr>
        <w:pStyle w:val="EX"/>
      </w:pPr>
      <w:r w:rsidRPr="00DC7196">
        <w:t>[8]</w:t>
      </w:r>
      <w:r w:rsidRPr="00DC7196">
        <w:tab/>
        <w:t>3GPP TS 38.213: "NR; Physical layer procedures for control".</w:t>
      </w:r>
    </w:p>
    <w:p w14:paraId="66109485" w14:textId="77777777" w:rsidR="00C60467" w:rsidRPr="00DC7196" w:rsidRDefault="00C60467" w:rsidP="00C60467">
      <w:pPr>
        <w:pStyle w:val="EX"/>
      </w:pPr>
      <w:r w:rsidRPr="00DC7196">
        <w:t>[9]</w:t>
      </w:r>
      <w:r w:rsidRPr="00DC7196">
        <w:tab/>
        <w:t>ITU-R Recommendation SM.329-10, "Unwanted emissions in the spurious domain".</w:t>
      </w:r>
    </w:p>
    <w:p w14:paraId="251E9766" w14:textId="77777777" w:rsidR="00C60467" w:rsidRDefault="00C60467" w:rsidP="00C60467">
      <w:pPr>
        <w:pStyle w:val="EX"/>
      </w:pPr>
      <w:r w:rsidRPr="00DC7196">
        <w:t>[10]</w:t>
      </w:r>
      <w:r w:rsidRPr="00DC7196">
        <w:tab/>
        <w:t>3GPP TS 38.214: "NR; Physical layer procedures for data".</w:t>
      </w:r>
    </w:p>
    <w:p w14:paraId="21A2D8CE" w14:textId="77777777" w:rsidR="00C60467" w:rsidRDefault="00C60467" w:rsidP="00C60467">
      <w:pPr>
        <w:pStyle w:val="EX"/>
      </w:pPr>
      <w:r>
        <w:t>[11]</w:t>
      </w:r>
      <w:r>
        <w:tab/>
        <w:t>3GPP TS 36.101:</w:t>
      </w:r>
      <w:r w:rsidRPr="00FA2999">
        <w:rPr>
          <w:rFonts w:eastAsia="SimSun"/>
          <w:lang w:eastAsia="en-GB"/>
        </w:rPr>
        <w:t xml:space="preserve"> </w:t>
      </w:r>
      <w:r>
        <w:t>Evolved Universal Terrestrial Radio Access (E-UTRA)</w:t>
      </w:r>
      <w:r w:rsidRPr="00FA2999">
        <w:t>;</w:t>
      </w:r>
      <w:r>
        <w:t xml:space="preserve"> </w:t>
      </w:r>
      <w:r w:rsidRPr="00FA2999">
        <w:t>User Equipment (UE) radio transmission and reception;</w:t>
      </w:r>
    </w:p>
    <w:p w14:paraId="7F642BE0" w14:textId="77777777" w:rsidR="00C60467" w:rsidRDefault="00C60467" w:rsidP="00C60467">
      <w:pPr>
        <w:pStyle w:val="EX"/>
        <w:rPr>
          <w:lang w:eastAsia="zh-CN"/>
        </w:rPr>
      </w:pPr>
      <w:r>
        <w:t>[12]</w:t>
      </w:r>
      <w: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40F436CC" w14:textId="3584E455" w:rsidR="00C60467" w:rsidRDefault="00C60467" w:rsidP="00C60467">
      <w:pPr>
        <w:pStyle w:val="EX"/>
      </w:pPr>
      <w:r>
        <w:rPr>
          <w:rFonts w:hint="eastAsia"/>
        </w:rPr>
        <w:t>[13]</w:t>
      </w:r>
      <w:r>
        <w:rPr>
          <w:rFonts w:hint="eastAsia"/>
          <w:lang w:eastAsia="zh-CN"/>
        </w:rPr>
        <w:tab/>
      </w:r>
      <w:r>
        <w:t>3GPP TS 38.</w:t>
      </w:r>
      <w:r>
        <w:rPr>
          <w:rFonts w:hint="eastAsia"/>
          <w:lang w:eastAsia="zh-CN"/>
        </w:rPr>
        <w:t>133</w:t>
      </w:r>
      <w:r>
        <w:t>: "NR;</w:t>
      </w:r>
      <w:r>
        <w:rPr>
          <w:rFonts w:hint="eastAsia"/>
          <w:lang w:eastAsia="zh-CN"/>
        </w:rPr>
        <w:t xml:space="preserve"> </w:t>
      </w:r>
      <w:r>
        <w:t>Requirements for support of radio resource management".</w:t>
      </w:r>
    </w:p>
    <w:p w14:paraId="463866AC" w14:textId="3334A2E5" w:rsidR="00803F21" w:rsidRPr="00803F21" w:rsidRDefault="00803F21" w:rsidP="00C60467">
      <w:pPr>
        <w:pStyle w:val="EX"/>
        <w:rPr>
          <w:bCs/>
          <w:rPrChange w:id="16" w:author="Ericsson" w:date="2021-01-15T23:06:00Z">
            <w:rPr>
              <w:b/>
            </w:rPr>
          </w:rPrChange>
        </w:rPr>
      </w:pPr>
      <w:ins w:id="17" w:author="Ericsson" w:date="2021-01-15T23:06:00Z">
        <w:r w:rsidRPr="00803F21">
          <w:rPr>
            <w:bCs/>
            <w:rPrChange w:id="18" w:author="Ericsson" w:date="2021-01-15T23:06:00Z">
              <w:rPr>
                <w:b/>
              </w:rPr>
            </w:rPrChange>
          </w:rPr>
          <w:t>[14]</w:t>
        </w:r>
        <w:r>
          <w:rPr>
            <w:bCs/>
          </w:rPr>
          <w:tab/>
          <w:t>3GPP TS 37.213: “</w:t>
        </w:r>
      </w:ins>
      <w:ins w:id="19" w:author="Ericsson" w:date="2021-01-15T23:09:00Z">
        <w:r w:rsidR="002D6FAF" w:rsidRPr="002D6FAF">
          <w:rPr>
            <w:bCs/>
          </w:rPr>
          <w:t>Physical layer procedures for shared spectrum channel access</w:t>
        </w:r>
        <w:r w:rsidR="002D6FAF">
          <w:rPr>
            <w:bCs/>
          </w:rPr>
          <w:t>”.</w:t>
        </w:r>
      </w:ins>
    </w:p>
    <w:p w14:paraId="477F238C" w14:textId="16B193EF" w:rsidR="00C60467" w:rsidRDefault="00C60467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text omitted </w:t>
      </w:r>
      <w:r w:rsidR="00803F21">
        <w:rPr>
          <w:i/>
          <w:iCs/>
          <w:noProof/>
          <w:color w:val="0070C0"/>
        </w:rPr>
        <w:t>&gt;</w:t>
      </w:r>
    </w:p>
    <w:p w14:paraId="0E70BA29" w14:textId="77777777" w:rsidR="00BE1D5E" w:rsidRPr="001C0CC4" w:rsidRDefault="00BE1D5E" w:rsidP="00BE1D5E">
      <w:pPr>
        <w:pStyle w:val="Heading2"/>
      </w:pPr>
      <w:bookmarkStart w:id="20" w:name="_Toc21344230"/>
      <w:bookmarkStart w:id="21" w:name="_Toc29801714"/>
      <w:bookmarkStart w:id="22" w:name="_Toc29802138"/>
      <w:bookmarkStart w:id="23" w:name="_Toc29802763"/>
      <w:bookmarkStart w:id="24" w:name="_Toc36107505"/>
      <w:bookmarkStart w:id="25" w:name="_Toc37251264"/>
      <w:bookmarkStart w:id="26" w:name="_Toc45888066"/>
      <w:bookmarkStart w:id="27" w:name="_Toc45888665"/>
      <w:bookmarkStart w:id="28" w:name="_Toc59649946"/>
      <w:bookmarkStart w:id="29" w:name="_Toc61357210"/>
      <w:bookmarkStart w:id="30" w:name="_Toc61358984"/>
      <w:r w:rsidRPr="001C0CC4">
        <w:t>6.1</w:t>
      </w:r>
      <w:r w:rsidRPr="001C0CC4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A27B28" w14:textId="77777777" w:rsidR="00BE1D5E" w:rsidRDefault="00BE1D5E" w:rsidP="00BE1D5E">
      <w:r w:rsidRPr="001C0CC4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</w:p>
    <w:p w14:paraId="155B7338" w14:textId="77777777" w:rsidR="00BE1D5E" w:rsidRPr="00263FC0" w:rsidRDefault="00BE1D5E" w:rsidP="00BE1D5E">
      <w:pPr>
        <w:rPr>
          <w:rFonts w:eastAsia="SimSun"/>
          <w:lang w:val="en-US"/>
        </w:rPr>
      </w:pPr>
      <w:r w:rsidRPr="00D93835">
        <w:rPr>
          <w:rFonts w:eastAsia="Malgun Gothic"/>
        </w:rPr>
        <w:t xml:space="preserve">Transmitter requirements for UL MIMO operation apply when the UE transmits </w:t>
      </w:r>
      <w:r>
        <w:rPr>
          <w:rFonts w:eastAsia="Malgun Gothic"/>
        </w:rPr>
        <w:t xml:space="preserve">on </w:t>
      </w:r>
      <w:r w:rsidRPr="00D93835">
        <w:rPr>
          <w:rFonts w:eastAsia="Malgun Gothic"/>
        </w:rPr>
        <w:t xml:space="preserve">2 ports on the same CDM group. The </w:t>
      </w:r>
      <w:r w:rsidRPr="00D93835">
        <w:rPr>
          <w:rFonts w:eastAsia="SimSun"/>
        </w:rPr>
        <w:t>UE may use higher MPR values outside this limitation.</w:t>
      </w:r>
    </w:p>
    <w:p w14:paraId="705FDBF8" w14:textId="77777777" w:rsidR="00BE1D5E" w:rsidRPr="00D511A0" w:rsidRDefault="00BE1D5E" w:rsidP="00BE1D5E">
      <w:bookmarkStart w:id="31" w:name="_Toc21344231"/>
      <w:r w:rsidRPr="00D511A0"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2886B4E1" w14:textId="77777777" w:rsidR="00BE1D5E" w:rsidRPr="001C0CC4" w:rsidRDefault="00BE1D5E" w:rsidP="00BE1D5E">
      <w:pPr>
        <w:pStyle w:val="Heading2"/>
      </w:pPr>
      <w:bookmarkStart w:id="32" w:name="_Toc29801715"/>
      <w:bookmarkStart w:id="33" w:name="_Toc29802139"/>
      <w:bookmarkStart w:id="34" w:name="_Toc29802764"/>
      <w:bookmarkStart w:id="35" w:name="_Toc36107506"/>
      <w:bookmarkStart w:id="36" w:name="_Toc37251265"/>
      <w:bookmarkStart w:id="37" w:name="_Toc45888067"/>
      <w:bookmarkStart w:id="38" w:name="_Toc45888666"/>
      <w:bookmarkStart w:id="39" w:name="_Toc59649947"/>
      <w:bookmarkStart w:id="40" w:name="_Toc61357211"/>
      <w:bookmarkStart w:id="41" w:name="_Toc61358985"/>
      <w:r w:rsidRPr="001C0CC4">
        <w:lastRenderedPageBreak/>
        <w:t>6.1A</w:t>
      </w:r>
      <w:r w:rsidRPr="001C0CC4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D5D1E9" w14:textId="2D4A664B" w:rsidR="00BE1D5E" w:rsidRDefault="00BE1D5E" w:rsidP="00BE1D5E">
      <w:pPr>
        <w:rPr>
          <w:ins w:id="42" w:author="Ericsson" w:date="2021-01-15T22:43:00Z"/>
        </w:rPr>
      </w:pPr>
      <w:bookmarkStart w:id="43" w:name="_Toc21344232"/>
      <w:r w:rsidRPr="00D511A0">
        <w:t xml:space="preserve">The minimum requirements for band combinations including Band n41 also apply for the corresponding band combinations with Band </w:t>
      </w:r>
      <w:r>
        <w:t>n90</w:t>
      </w:r>
      <w:r w:rsidRPr="00D511A0">
        <w:t xml:space="preserve"> replacing Band n41 but with otherwise identical parameters. For brevity the said band combinations with Band </w:t>
      </w:r>
      <w:r>
        <w:t>n90</w:t>
      </w:r>
      <w:r w:rsidRPr="00D511A0">
        <w:t xml:space="preserve"> are not listed in the tables below but are covered by this specification.</w:t>
      </w:r>
    </w:p>
    <w:p w14:paraId="0E25EE2C" w14:textId="0F4325D1" w:rsidR="00823BA0" w:rsidRPr="001C0CC4" w:rsidRDefault="00823BA0" w:rsidP="00823BA0">
      <w:pPr>
        <w:pStyle w:val="Heading2"/>
        <w:rPr>
          <w:ins w:id="44" w:author="Ericsson" w:date="2021-01-15T22:43:00Z"/>
        </w:rPr>
      </w:pPr>
      <w:ins w:id="45" w:author="Ericsson" w:date="2021-01-15T22:43:00Z">
        <w:r>
          <w:t>6</w:t>
        </w:r>
        <w:r w:rsidRPr="001C0CC4">
          <w:t>.1</w:t>
        </w:r>
      </w:ins>
      <w:ins w:id="46" w:author="Ericsson" w:date="2021-01-15T23:21:00Z">
        <w:r w:rsidR="00AB4ADB">
          <w:t>F</w:t>
        </w:r>
      </w:ins>
      <w:ins w:id="47" w:author="Ericsson" w:date="2021-01-15T22:43:00Z">
        <w:r w:rsidRPr="001C0CC4">
          <w:tab/>
          <w:t>General</w:t>
        </w:r>
      </w:ins>
    </w:p>
    <w:p w14:paraId="1A430D69" w14:textId="3E61B2A0" w:rsidR="00823BA0" w:rsidRPr="006D6500" w:rsidRDefault="00267E91" w:rsidP="00BE1D5E">
      <w:pPr>
        <w:rPr>
          <w:rFonts w:cs="v5.0.0"/>
        </w:rPr>
      </w:pPr>
      <w:ins w:id="48" w:author="Ericsson" w:date="2021-01-15T22:50:00Z">
        <w:r>
          <w:t>For wide</w:t>
        </w:r>
      </w:ins>
      <w:ins w:id="49" w:author="Ericsson" w:date="2021-01-15T22:53:00Z">
        <w:r w:rsidR="00367C6B">
          <w:t>band operations</w:t>
        </w:r>
        <w:r w:rsidR="0037060A">
          <w:t>, t</w:t>
        </w:r>
      </w:ins>
      <w:ins w:id="50" w:author="Ericsson" w:date="2021-01-15T22:43:00Z">
        <w:r w:rsidR="00823BA0" w:rsidRPr="00315090">
          <w:t xml:space="preserve">he </w:t>
        </w:r>
      </w:ins>
      <w:ins w:id="51" w:author="Ericsson" w:date="2021-01-15T22:49:00Z">
        <w:r w:rsidR="0077478C">
          <w:rPr>
            <w:rFonts w:eastAsiaTheme="minorEastAsia"/>
            <w:color w:val="0070C0"/>
            <w:lang w:val="en-US" w:eastAsia="zh-CN"/>
          </w:rPr>
          <w:t xml:space="preserve">minimum requirements for the </w:t>
        </w:r>
      </w:ins>
      <w:ins w:id="52" w:author="Ericsson" w:date="2021-01-15T22:59:00Z">
        <w:r w:rsidR="00B4354D">
          <w:rPr>
            <w:rFonts w:eastAsiaTheme="minorEastAsia"/>
            <w:color w:val="0070C0"/>
            <w:lang w:val="en-US" w:eastAsia="zh-CN"/>
          </w:rPr>
          <w:t>transmitter characteristics</w:t>
        </w:r>
      </w:ins>
      <w:ins w:id="53" w:author="Ericsson" w:date="2021-01-15T22:49:00Z">
        <w:r w:rsidR="0077478C">
          <w:rPr>
            <w:rFonts w:eastAsiaTheme="minorEastAsia"/>
            <w:color w:val="0070C0"/>
            <w:lang w:val="en-US" w:eastAsia="zh-CN"/>
          </w:rPr>
          <w:t xml:space="preserve"> are specified for transmissions on one scheduled RB set or ≥ 1 scheduled contiguous RB set(s) </w:t>
        </w:r>
      </w:ins>
      <w:ins w:id="54" w:author="Ericsson" w:date="2021-01-15T23:01:00Z">
        <w:r w:rsidR="00450311">
          <w:rPr>
            <w:rFonts w:eastAsiaTheme="minorEastAsia"/>
            <w:color w:val="0070C0"/>
            <w:lang w:val="en-US" w:eastAsia="zh-CN"/>
          </w:rPr>
          <w:t>wi</w:t>
        </w:r>
      </w:ins>
      <w:ins w:id="55" w:author="Ericsson" w:date="2021-01-15T23:02:00Z">
        <w:r w:rsidR="00450311">
          <w:rPr>
            <w:rFonts w:eastAsiaTheme="minorEastAsia"/>
            <w:color w:val="0070C0"/>
            <w:lang w:val="en-US" w:eastAsia="zh-CN"/>
          </w:rPr>
          <w:t xml:space="preserve">thin the channel </w:t>
        </w:r>
      </w:ins>
      <w:ins w:id="56" w:author="Ericsson" w:date="2021-01-15T22:49:00Z">
        <w:r w:rsidR="0077478C">
          <w:rPr>
            <w:rFonts w:eastAsiaTheme="minorEastAsia"/>
            <w:color w:val="0070C0"/>
            <w:lang w:val="en-US" w:eastAsia="zh-CN"/>
          </w:rPr>
          <w:t>with all RB sets available for transmissions according to the channel access procedures in [</w:t>
        </w:r>
      </w:ins>
      <w:ins w:id="57" w:author="Ericsson" w:date="2021-01-15T23:07:00Z">
        <w:r w:rsidR="00F7243E">
          <w:rPr>
            <w:rFonts w:eastAsiaTheme="minorEastAsia"/>
            <w:color w:val="0070C0"/>
            <w:lang w:val="en-US" w:eastAsia="zh-CN"/>
          </w:rPr>
          <w:t>14</w:t>
        </w:r>
      </w:ins>
      <w:ins w:id="58" w:author="Ericsson" w:date="2021-01-15T22:49:00Z">
        <w:r w:rsidR="0077478C">
          <w:rPr>
            <w:rFonts w:eastAsiaTheme="minorEastAsia"/>
            <w:color w:val="0070C0"/>
            <w:lang w:val="en-US" w:eastAsia="zh-CN"/>
          </w:rPr>
          <w:t>]. The requirements also apply when the UL intra-cell guard bands of non-zero size between the said contiguous RB are scheduled and available for transmissions.</w:t>
        </w:r>
      </w:ins>
      <w:ins w:id="59" w:author="Ericsson" w:date="2021-01-15T23:00:00Z">
        <w:r w:rsidR="009710F0">
          <w:rPr>
            <w:rFonts w:eastAsiaTheme="minorEastAsia"/>
            <w:color w:val="0070C0"/>
            <w:lang w:val="en-US" w:eastAsia="zh-CN"/>
          </w:rPr>
          <w:t xml:space="preserve"> This also applies for </w:t>
        </w:r>
      </w:ins>
      <w:ins w:id="60" w:author="Ericsson" w:date="2021-01-15T23:01:00Z">
        <w:r w:rsidR="006D6500">
          <w:rPr>
            <w:rFonts w:eastAsiaTheme="minorEastAsia"/>
            <w:color w:val="0070C0"/>
            <w:lang w:val="en-US" w:eastAsia="zh-CN"/>
          </w:rPr>
          <w:t>wide</w:t>
        </w:r>
      </w:ins>
      <w:ins w:id="61" w:author="Ericsson" w:date="2021-01-15T23:02:00Z">
        <w:r w:rsidR="00450311">
          <w:rPr>
            <w:rFonts w:eastAsiaTheme="minorEastAsia"/>
            <w:color w:val="0070C0"/>
            <w:lang w:val="en-US" w:eastAsia="zh-CN"/>
          </w:rPr>
          <w:t xml:space="preserve">band operations </w:t>
        </w:r>
        <w:r w:rsidR="00C56DF4">
          <w:rPr>
            <w:rFonts w:eastAsiaTheme="minorEastAsia"/>
            <w:color w:val="0070C0"/>
            <w:lang w:val="en-US" w:eastAsia="zh-CN"/>
          </w:rPr>
          <w:t xml:space="preserve">within a channel part of a </w:t>
        </w:r>
      </w:ins>
      <w:ins w:id="62" w:author="Ericsson" w:date="2021-01-15T23:03:00Z">
        <w:r w:rsidR="00EB292A">
          <w:rPr>
            <w:rFonts w:eastAsiaTheme="minorEastAsia"/>
            <w:color w:val="0070C0"/>
            <w:lang w:val="en-US" w:eastAsia="zh-CN"/>
          </w:rPr>
          <w:t xml:space="preserve">CA </w:t>
        </w:r>
      </w:ins>
      <w:ins w:id="63" w:author="Ericsson" w:date="2021-01-15T23:02:00Z">
        <w:r w:rsidR="00C56DF4">
          <w:rPr>
            <w:rFonts w:eastAsiaTheme="minorEastAsia"/>
            <w:color w:val="0070C0"/>
            <w:lang w:val="en-US" w:eastAsia="zh-CN"/>
          </w:rPr>
          <w:t>band combination.</w:t>
        </w:r>
      </w:ins>
    </w:p>
    <w:p w14:paraId="6FE2BDFE" w14:textId="77777777" w:rsidR="00BE1D5E" w:rsidRPr="001C0CC4" w:rsidRDefault="00BE1D5E" w:rsidP="00BE1D5E">
      <w:pPr>
        <w:pStyle w:val="Heading2"/>
      </w:pPr>
      <w:bookmarkStart w:id="64" w:name="_Toc29801716"/>
      <w:bookmarkStart w:id="65" w:name="_Toc29802140"/>
      <w:bookmarkStart w:id="66" w:name="_Toc29802765"/>
      <w:bookmarkStart w:id="67" w:name="_Toc36107507"/>
      <w:bookmarkStart w:id="68" w:name="_Toc37251266"/>
      <w:bookmarkStart w:id="69" w:name="_Toc45888068"/>
      <w:bookmarkStart w:id="70" w:name="_Toc45888667"/>
      <w:bookmarkStart w:id="71" w:name="_Toc59649948"/>
      <w:bookmarkStart w:id="72" w:name="_Toc61357212"/>
      <w:bookmarkStart w:id="73" w:name="_Toc61358986"/>
      <w:r w:rsidRPr="001C0CC4">
        <w:t>6.2</w:t>
      </w:r>
      <w:r w:rsidRPr="001C0CC4">
        <w:tab/>
        <w:t>Transmitter power</w:t>
      </w:r>
      <w:bookmarkEnd w:id="4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EFB0161" w14:textId="77777777" w:rsidR="00BE1D5E" w:rsidRDefault="00BE1D5E">
      <w:pPr>
        <w:rPr>
          <w:i/>
          <w:iCs/>
          <w:noProof/>
          <w:color w:val="0070C0"/>
        </w:rPr>
      </w:pPr>
    </w:p>
    <w:p w14:paraId="0B10B6E1" w14:textId="36B56B04" w:rsidR="008D7AE3" w:rsidRDefault="0050463F" w:rsidP="00905FD0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912F8A5" w14:textId="77777777" w:rsidR="00946B36" w:rsidRPr="001C0CC4" w:rsidRDefault="00946B36" w:rsidP="00946B36">
      <w:pPr>
        <w:pStyle w:val="Heading2"/>
      </w:pPr>
      <w:bookmarkStart w:id="74" w:name="_Toc21344425"/>
      <w:bookmarkStart w:id="75" w:name="_Toc29801912"/>
      <w:bookmarkStart w:id="76" w:name="_Toc29802336"/>
      <w:bookmarkStart w:id="77" w:name="_Toc29802961"/>
      <w:bookmarkStart w:id="78" w:name="_Toc36107703"/>
      <w:bookmarkStart w:id="79" w:name="_Toc37251477"/>
      <w:bookmarkStart w:id="80" w:name="_Toc45888384"/>
      <w:bookmarkStart w:id="81" w:name="_Toc45888983"/>
      <w:bookmarkStart w:id="82" w:name="_Toc59650332"/>
      <w:bookmarkStart w:id="83" w:name="_Toc61357604"/>
      <w:bookmarkStart w:id="84" w:name="_Toc61359378"/>
      <w:r w:rsidRPr="001C0CC4">
        <w:t>7.1</w:t>
      </w:r>
      <w:r w:rsidRPr="001C0CC4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7D98904" w14:textId="77777777" w:rsidR="00946B36" w:rsidRPr="001C0CC4" w:rsidRDefault="00946B36" w:rsidP="00946B36">
      <w:pPr>
        <w:rPr>
          <w:rFonts w:cs="v5.0.0"/>
          <w:snapToGrid w:val="0"/>
        </w:rPr>
      </w:pPr>
      <w:r w:rsidRPr="001C0CC4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is assumed for each antenna port(s). UE with an integral antenna(s) may be taken into account by converting these power levels into field strength requirements, assuming a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gain antenna. </w:t>
      </w:r>
      <w:r w:rsidRPr="001C0CC4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2F6A2556" w14:textId="77777777" w:rsidR="00946B36" w:rsidRPr="001C0CC4" w:rsidRDefault="00946B36" w:rsidP="00946B36">
      <w:pPr>
        <w:rPr>
          <w:snapToGrid w:val="0"/>
        </w:rPr>
      </w:pPr>
      <w:r w:rsidRPr="001C0CC4">
        <w:rPr>
          <w:snapToGrid w:val="0"/>
        </w:rPr>
        <w:t xml:space="preserve">The levels of the test signal applied to each of the antenna connectors shall be as defined in the respective </w:t>
      </w:r>
      <w:r>
        <w:rPr>
          <w:snapToGrid w:val="0"/>
        </w:rPr>
        <w:t>clause</w:t>
      </w:r>
      <w:r w:rsidRPr="001C0CC4">
        <w:rPr>
          <w:snapToGrid w:val="0"/>
        </w:rPr>
        <w:t>s below.</w:t>
      </w:r>
    </w:p>
    <w:p w14:paraId="162727A4" w14:textId="77777777" w:rsidR="00946B36" w:rsidRPr="00414DAE" w:rsidRDefault="00946B36" w:rsidP="00946B36">
      <w:pPr>
        <w:rPr>
          <w:rFonts w:cs="v5.0.0"/>
        </w:rPr>
      </w:pPr>
      <w:r w:rsidRPr="00414DAE">
        <w:t xml:space="preserve">The applicability of receiver requirements for </w:t>
      </w:r>
      <w:r w:rsidRPr="00414DAE">
        <w:rPr>
          <w:iCs/>
        </w:rPr>
        <w:t xml:space="preserve">Band </w:t>
      </w:r>
      <w:r>
        <w:t>n90</w:t>
      </w:r>
      <w:r w:rsidRPr="00315090">
        <w:t xml:space="preserve"> </w:t>
      </w:r>
      <w:r w:rsidRPr="00315090">
        <w:rPr>
          <w:iCs/>
        </w:rPr>
        <w:t>i</w:t>
      </w:r>
      <w:r w:rsidRPr="00414DAE">
        <w:rPr>
          <w:iCs/>
        </w:rPr>
        <w:t xml:space="preserve">s in accordance with that for Band n41; a UE supporting </w:t>
      </w:r>
      <w:r w:rsidRPr="00D511A0">
        <w:rPr>
          <w:iCs/>
        </w:rPr>
        <w:t xml:space="preserve">Band </w:t>
      </w:r>
      <w:r>
        <w:t>n90</w:t>
      </w:r>
      <w:r w:rsidRPr="00D511A0">
        <w:t xml:space="preserve"> </w:t>
      </w:r>
      <w:r w:rsidRPr="00D511A0">
        <w:rPr>
          <w:iCs/>
        </w:rPr>
        <w:t>shall meet the m</w:t>
      </w:r>
      <w:r w:rsidRPr="00414DAE">
        <w:rPr>
          <w:iCs/>
        </w:rPr>
        <w:t>inimum requirements for Band n41.</w:t>
      </w:r>
    </w:p>
    <w:p w14:paraId="7728786B" w14:textId="77777777" w:rsidR="00946B36" w:rsidRPr="001C0CC4" w:rsidRDefault="00946B36" w:rsidP="00946B36">
      <w:pPr>
        <w:rPr>
          <w:snapToGrid w:val="0"/>
        </w:rPr>
      </w:pPr>
      <w:r w:rsidRPr="001C0CC4">
        <w:rPr>
          <w:snapToGrid w:val="0"/>
        </w:rPr>
        <w:t xml:space="preserve">With the exception of </w:t>
      </w:r>
      <w:r>
        <w:rPr>
          <w:snapToGrid w:val="0"/>
        </w:rPr>
        <w:t>clause</w:t>
      </w:r>
      <w:r w:rsidRPr="001C0CC4">
        <w:rPr>
          <w:snapToGrid w:val="0"/>
        </w:rPr>
        <w:t xml:space="preserve"> 7.3, the requirements shall be verified with the network signalling value NS_01 configured (Table 6.2.3-1).</w:t>
      </w:r>
    </w:p>
    <w:p w14:paraId="66A0A9C3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>All the parameters in clause 7 are defined using the UL reference measurement channels specified in Annexes A.2.2 and A.2.3, the DL reference measurement channels specified in Annex A.3.2 and using the set-up specified in Annex C.3.1.</w:t>
      </w:r>
    </w:p>
    <w:p w14:paraId="3C9D98A6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7.5, 7.6, 7.7 and 7.8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04F5E6FC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68AAFA61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frequency, or located at a negative offset with respect to the assigned channel frequency of the lowest carrier frequency.</w:t>
      </w:r>
    </w:p>
    <w:p w14:paraId="02545B38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relation to the sub-block gap size </w:t>
      </w:r>
      <w:proofErr w:type="spellStart"/>
      <w:r w:rsidRPr="001C0CC4">
        <w:rPr>
          <w:lang w:val="en-US"/>
        </w:rPr>
        <w:t>W</w:t>
      </w:r>
      <w:r w:rsidRPr="001C0CC4">
        <w:rPr>
          <w:vertAlign w:val="subscript"/>
          <w:lang w:val="en-US"/>
        </w:rPr>
        <w:t>gap</w:t>
      </w:r>
      <w:proofErr w:type="spellEnd"/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for at least one of these carriers </w:t>
      </w:r>
      <w:r w:rsidRPr="001C0CC4">
        <w:rPr>
          <w:i/>
          <w:lang w:val="en-US"/>
        </w:rPr>
        <w:t>j</w:t>
      </w:r>
      <w:r w:rsidRPr="001C0CC4">
        <w:rPr>
          <w:lang w:val="en-US"/>
        </w:rPr>
        <w:t xml:space="preserve"> = 1,2, </w:t>
      </w:r>
      <w:r w:rsidRPr="001C0CC4">
        <w:rPr>
          <w:rFonts w:cs="v5.0.0"/>
        </w:rPr>
        <w:t>so that the interferer frequency position does not change the nature of the core requirement tested:</w:t>
      </w:r>
    </w:p>
    <w:p w14:paraId="793C301C" w14:textId="77777777" w:rsidR="00946B36" w:rsidRPr="00873D00" w:rsidRDefault="00946B36" w:rsidP="00946B36">
      <w:pPr>
        <w:pStyle w:val="EQ"/>
        <w:rPr>
          <w:lang w:val="sv-FI"/>
        </w:rPr>
      </w:pPr>
      <w:r w:rsidRPr="001C0CC4">
        <w:tab/>
      </w:r>
      <w:r w:rsidRPr="00873D00">
        <w:rPr>
          <w:lang w:val="sv-FI"/>
        </w:rPr>
        <w:t>Wgap ≥ 2</w:t>
      </w:r>
      <w:r w:rsidRPr="001C0CC4">
        <w:rPr>
          <w:lang w:val="sv-SE"/>
        </w:rPr>
        <w:t>∙|</w:t>
      </w:r>
      <w:r w:rsidRPr="00873D00">
        <w:rPr>
          <w:lang w:val="sv-FI"/>
        </w:rPr>
        <w:t>FInterferer (offset)</w:t>
      </w:r>
      <w:r w:rsidRPr="00873D00">
        <w:rPr>
          <w:vertAlign w:val="subscript"/>
          <w:lang w:val="sv-FI"/>
        </w:rPr>
        <w:t>,</w:t>
      </w:r>
      <w:r w:rsidRPr="00873D00">
        <w:rPr>
          <w:i/>
          <w:iCs/>
          <w:vertAlign w:val="subscript"/>
          <w:lang w:val="sv-FI"/>
        </w:rPr>
        <w:t>j</w:t>
      </w:r>
      <w:r w:rsidRPr="001C0CC4">
        <w:rPr>
          <w:lang w:val="sv-SE"/>
        </w:rPr>
        <w:t>|</w:t>
      </w:r>
      <w:r w:rsidRPr="00873D00">
        <w:rPr>
          <w:lang w:val="sv-FI"/>
        </w:rPr>
        <w:t xml:space="preserve">  – BWChannel(</w:t>
      </w:r>
      <w:r w:rsidRPr="001C0CC4">
        <w:rPr>
          <w:i/>
          <w:vertAlign w:val="subscript"/>
          <w:lang w:val="sv-SE"/>
        </w:rPr>
        <w:t>j</w:t>
      </w:r>
      <w:r w:rsidRPr="00873D00">
        <w:rPr>
          <w:lang w:val="sv-FI"/>
        </w:rPr>
        <w:t xml:space="preserve">) </w:t>
      </w:r>
    </w:p>
    <w:p w14:paraId="150E87EE" w14:textId="77777777" w:rsidR="00946B36" w:rsidRDefault="00946B36" w:rsidP="00946B36">
      <w:pPr>
        <w:rPr>
          <w:rFonts w:cs="v5.0.0"/>
        </w:rPr>
      </w:pPr>
      <w:r w:rsidRPr="001C0CC4">
        <w:rPr>
          <w:rFonts w:cs="v5.0.0"/>
        </w:rPr>
        <w:lastRenderedPageBreak/>
        <w:t xml:space="preserve">where </w:t>
      </w: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(offset),</w:t>
      </w:r>
      <w:r w:rsidRPr="001C0CC4">
        <w:rPr>
          <w:i/>
          <w:vertAlign w:val="subscript"/>
        </w:rPr>
        <w:t>j</w:t>
      </w:r>
      <w:r w:rsidRPr="001C0CC4">
        <w:rPr>
          <w:vertAlign w:val="subscript"/>
        </w:rPr>
        <w:t xml:space="preserve"> </w:t>
      </w:r>
      <w:r w:rsidRPr="001C0CC4">
        <w:t xml:space="preserve">for a sub-block with a single component carrier </w:t>
      </w:r>
      <w:r w:rsidRPr="001C0CC4">
        <w:rPr>
          <w:rFonts w:cs="v5.0.0"/>
        </w:rPr>
        <w:t xml:space="preserve">is the interferer frequency offset with respect to carrier </w:t>
      </w:r>
      <w:r w:rsidRPr="001C0CC4">
        <w:rPr>
          <w:rFonts w:cs="v5.0.0"/>
          <w:i/>
        </w:rPr>
        <w:t>j</w:t>
      </w:r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as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7.5,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7.6.2 and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7.6.4 for the respective requirement and </w:t>
      </w:r>
      <w:proofErr w:type="spellStart"/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Channel</w:t>
      </w:r>
      <w:proofErr w:type="spellEnd"/>
      <w:r w:rsidRPr="001C0CC4">
        <w:rPr>
          <w:vertAlign w:val="subscript"/>
          <w:lang w:val="en-US"/>
        </w:rPr>
        <w:t>(</w:t>
      </w:r>
      <w:r w:rsidRPr="001C0CC4">
        <w:rPr>
          <w:i/>
          <w:vertAlign w:val="subscript"/>
          <w:lang w:val="en-US"/>
        </w:rPr>
        <w:t>j</w:t>
      </w:r>
      <w:r w:rsidRPr="001C0CC4">
        <w:rPr>
          <w:vertAlign w:val="subscript"/>
          <w:lang w:val="en-US"/>
        </w:rPr>
        <w:t>)</w:t>
      </w:r>
      <w:r w:rsidRPr="001C0CC4">
        <w:rPr>
          <w:lang w:val="en-US"/>
        </w:rPr>
        <w:t xml:space="preserve"> the channel bandwidth of carrier </w:t>
      </w:r>
      <w:r w:rsidRPr="001C0CC4">
        <w:rPr>
          <w:i/>
          <w:lang w:val="en-US"/>
        </w:rPr>
        <w:t>j</w:t>
      </w:r>
      <w:r w:rsidRPr="001C0CC4">
        <w:rPr>
          <w:rFonts w:cs="v5.0.0"/>
        </w:rPr>
        <w:t xml:space="preserve">. </w:t>
      </w:r>
      <w:proofErr w:type="spellStart"/>
      <w:r w:rsidRPr="001C0CC4">
        <w:rPr>
          <w:rFonts w:cs="v5.0.0"/>
        </w:rPr>
        <w:t>F</w:t>
      </w:r>
      <w:r w:rsidRPr="001C0CC4">
        <w:rPr>
          <w:rFonts w:cs="v5.0.0"/>
          <w:vertAlign w:val="subscript"/>
        </w:rPr>
        <w:t>Interferer</w:t>
      </w:r>
      <w:proofErr w:type="spellEnd"/>
      <w:r w:rsidRPr="001C0CC4">
        <w:rPr>
          <w:rFonts w:cs="v5.0.0"/>
          <w:vertAlign w:val="subscript"/>
        </w:rPr>
        <w:t xml:space="preserve"> (offset),j</w:t>
      </w:r>
      <w:r w:rsidRPr="001C0CC4">
        <w:rPr>
          <w:rFonts w:cs="v5.0.0"/>
        </w:rPr>
        <w:t xml:space="preserve"> for a sub-block with two or more contiguous component carriers is the interference frequency offset with respect to the carrier adjacent to the gap is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7.5A, 7.6A.2 and 7.6A.3. The interferer frequency offsets for adjacent channel selectivity, each in-band blocking case and narrow- band blocking shall be tested separately with a single in-gap interferer at a time.</w:t>
      </w:r>
    </w:p>
    <w:p w14:paraId="69817346" w14:textId="77777777" w:rsidR="00946B36" w:rsidRPr="001C0CC4" w:rsidRDefault="00946B36" w:rsidP="00946B36">
      <w:pPr>
        <w:rPr>
          <w:rFonts w:cs="v5.0.0"/>
        </w:rPr>
      </w:pPr>
      <w:r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26303F04" w14:textId="77777777" w:rsidR="00946B36" w:rsidRPr="001C0CC4" w:rsidRDefault="00946B36" w:rsidP="00946B36">
      <w:pPr>
        <w:pStyle w:val="Heading2"/>
      </w:pPr>
      <w:bookmarkStart w:id="85" w:name="_Toc21344426"/>
      <w:bookmarkStart w:id="86" w:name="_Toc29801913"/>
      <w:bookmarkStart w:id="87" w:name="_Toc29802337"/>
      <w:bookmarkStart w:id="88" w:name="_Toc29802962"/>
      <w:bookmarkStart w:id="89" w:name="_Toc36107704"/>
      <w:bookmarkStart w:id="90" w:name="_Toc37251478"/>
      <w:bookmarkStart w:id="91" w:name="_Toc45888385"/>
      <w:bookmarkStart w:id="92" w:name="_Toc45888984"/>
      <w:bookmarkStart w:id="93" w:name="_Toc59650333"/>
      <w:bookmarkStart w:id="94" w:name="_Toc61357605"/>
      <w:bookmarkStart w:id="95" w:name="_Toc61359379"/>
      <w:r w:rsidRPr="001C0CC4">
        <w:t>7.1A</w:t>
      </w:r>
      <w:r w:rsidRPr="001C0CC4"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3EE363A" w14:textId="77777777" w:rsidR="00946B36" w:rsidRDefault="00946B36" w:rsidP="00946B36">
      <w:r w:rsidRPr="00315090">
        <w:t xml:space="preserve">The minimum requirements for band combinations including Band n41 also apply for the corresponding band combinations with Band </w:t>
      </w:r>
      <w:r>
        <w:t>n90</w:t>
      </w:r>
      <w:r w:rsidRPr="00315090">
        <w:t xml:space="preserve"> replacing Band n41 but with otherwise identical parameters. For brevity the said band combinations with Band </w:t>
      </w:r>
      <w:r>
        <w:t>n90</w:t>
      </w:r>
      <w:r w:rsidRPr="00315090">
        <w:t xml:space="preserve"> are not listed in the tables below but are covered by this specification.</w:t>
      </w:r>
    </w:p>
    <w:p w14:paraId="04A30446" w14:textId="53961AFB" w:rsidR="00946B36" w:rsidRDefault="00946B36" w:rsidP="00946B36">
      <w:pPr>
        <w:rPr>
          <w:ins w:id="96" w:author="Ericsson" w:date="2021-01-15T22:42:00Z"/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7.5A, 7.6A, 7.7A and 7.8A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240A7B74" w14:textId="7EB153E2" w:rsidR="00946B36" w:rsidRPr="001C0CC4" w:rsidRDefault="00946B36" w:rsidP="00946B36">
      <w:pPr>
        <w:pStyle w:val="Heading2"/>
        <w:rPr>
          <w:ins w:id="97" w:author="Ericsson" w:date="2021-01-15T22:42:00Z"/>
        </w:rPr>
      </w:pPr>
      <w:ins w:id="98" w:author="Ericsson" w:date="2021-01-15T22:42:00Z">
        <w:r w:rsidRPr="001C0CC4">
          <w:t>7.1</w:t>
        </w:r>
        <w:r>
          <w:t>F</w:t>
        </w:r>
        <w:r w:rsidRPr="001C0CC4">
          <w:tab/>
          <w:t>General</w:t>
        </w:r>
      </w:ins>
    </w:p>
    <w:p w14:paraId="2D79E56E" w14:textId="5DA1022D" w:rsidR="006D1350" w:rsidRPr="006D6500" w:rsidRDefault="006D1350" w:rsidP="006D1350">
      <w:pPr>
        <w:rPr>
          <w:ins w:id="99" w:author="Ericsson" w:date="2021-01-15T23:04:00Z"/>
          <w:rFonts w:cs="v5.0.0"/>
        </w:rPr>
      </w:pPr>
      <w:ins w:id="100" w:author="Ericsson" w:date="2021-01-15T23:04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 xml:space="preserve">minimum requirements for the </w:t>
        </w:r>
      </w:ins>
      <w:ins w:id="101" w:author="Ericsson" w:date="2021-01-15T23:10:00Z">
        <w:r w:rsidR="00B2181C">
          <w:rPr>
            <w:rFonts w:eastAsiaTheme="minorEastAsia"/>
            <w:color w:val="0070C0"/>
            <w:lang w:val="en-US" w:eastAsia="zh-CN"/>
          </w:rPr>
          <w:t>receiver</w:t>
        </w:r>
      </w:ins>
      <w:ins w:id="102" w:author="Ericsson" w:date="2021-01-15T23:04:00Z">
        <w:r>
          <w:rPr>
            <w:rFonts w:eastAsiaTheme="minorEastAsia"/>
            <w:color w:val="0070C0"/>
            <w:lang w:val="en-US" w:eastAsia="zh-CN"/>
          </w:rPr>
          <w:t xml:space="preserve"> characteristics are specified </w:t>
        </w:r>
      </w:ins>
      <w:ins w:id="103" w:author="Ericsson" w:date="2021-01-15T23:16:00Z">
        <w:r w:rsidR="00C9273E">
          <w:rPr>
            <w:rFonts w:eastAsiaTheme="minorEastAsia"/>
            <w:color w:val="0070C0"/>
            <w:lang w:val="en-US" w:eastAsia="zh-CN"/>
          </w:rPr>
          <w:t>with all</w:t>
        </w:r>
      </w:ins>
      <w:ins w:id="104" w:author="Ericsson" w:date="2021-01-15T23:17:00Z">
        <w:r w:rsidR="0060110C">
          <w:rPr>
            <w:rFonts w:eastAsiaTheme="minorEastAsia"/>
            <w:color w:val="0070C0"/>
            <w:lang w:val="en-US" w:eastAsia="zh-CN"/>
          </w:rPr>
          <w:t xml:space="preserve"> </w:t>
        </w:r>
      </w:ins>
      <w:ins w:id="105" w:author="Ericsson" w:date="2021-01-15T23:04:00Z">
        <w:r>
          <w:rPr>
            <w:rFonts w:eastAsiaTheme="minorEastAsia"/>
            <w:color w:val="0070C0"/>
            <w:lang w:val="en-US" w:eastAsia="zh-CN"/>
          </w:rPr>
          <w:t xml:space="preserve">RB set(s) within the channel </w:t>
        </w:r>
      </w:ins>
      <w:ins w:id="106" w:author="Ericsson" w:date="2021-01-15T23:19:00Z">
        <w:r w:rsidR="00240EE3">
          <w:rPr>
            <w:rFonts w:eastAsiaTheme="minorEastAsia"/>
            <w:color w:val="0070C0"/>
            <w:lang w:val="en-US" w:eastAsia="zh-CN"/>
          </w:rPr>
          <w:t xml:space="preserve">scheduled </w:t>
        </w:r>
      </w:ins>
      <w:ins w:id="107" w:author="Ericsson" w:date="2021-01-15T23:20:00Z">
        <w:r w:rsidR="0036356A">
          <w:rPr>
            <w:rFonts w:eastAsiaTheme="minorEastAsia"/>
            <w:color w:val="0070C0"/>
            <w:lang w:val="en-US" w:eastAsia="zh-CN"/>
          </w:rPr>
          <w:t xml:space="preserve">with </w:t>
        </w:r>
        <w:r w:rsidR="0036356A" w:rsidRPr="002F6D00">
          <w:rPr>
            <w:lang w:eastAsia="ja-JP"/>
          </w:rPr>
          <w:t>no intra-cell guard-bands configured</w:t>
        </w:r>
        <w:r w:rsidR="0036356A">
          <w:rPr>
            <w:lang w:eastAsia="ja-JP"/>
          </w:rPr>
          <w:t xml:space="preserve"> </w:t>
        </w:r>
      </w:ins>
      <w:ins w:id="108" w:author="Ericsson" w:date="2021-01-15T23:18:00Z">
        <w:r w:rsidR="00240EE3">
          <w:rPr>
            <w:rFonts w:eastAsiaTheme="minorEastAsia"/>
            <w:color w:val="0070C0"/>
            <w:lang w:val="en-US" w:eastAsia="zh-CN"/>
          </w:rPr>
          <w:t xml:space="preserve">and </w:t>
        </w:r>
      </w:ins>
      <w:ins w:id="109" w:author="Ericsson" w:date="2021-01-15T23:17:00Z">
        <w:r w:rsidR="0060110C">
          <w:rPr>
            <w:rFonts w:eastAsiaTheme="minorEastAsia"/>
            <w:color w:val="0070C0"/>
            <w:lang w:val="en-US" w:eastAsia="zh-CN"/>
          </w:rPr>
          <w:t>with</w:t>
        </w:r>
      </w:ins>
      <w:ins w:id="110" w:author="Ericsson" w:date="2021-01-15T23:04:00Z">
        <w:r>
          <w:rPr>
            <w:rFonts w:eastAsiaTheme="minorEastAsia"/>
            <w:color w:val="0070C0"/>
            <w:lang w:val="en-US" w:eastAsia="zh-CN"/>
          </w:rPr>
          <w:t xml:space="preserve"> all RB sets available for </w:t>
        </w:r>
      </w:ins>
      <w:ins w:id="111" w:author="Ericsson" w:date="2021-01-15T23:17:00Z">
        <w:r w:rsidR="0060110C">
          <w:rPr>
            <w:rFonts w:eastAsiaTheme="minorEastAsia"/>
            <w:color w:val="0070C0"/>
            <w:lang w:val="en-US" w:eastAsia="zh-CN"/>
          </w:rPr>
          <w:t xml:space="preserve">DL </w:t>
        </w:r>
      </w:ins>
      <w:ins w:id="112" w:author="Ericsson" w:date="2021-01-15T23:04:00Z">
        <w:r>
          <w:rPr>
            <w:rFonts w:eastAsiaTheme="minorEastAsia"/>
            <w:color w:val="0070C0"/>
            <w:lang w:val="en-US" w:eastAsia="zh-CN"/>
          </w:rPr>
          <w:t>transmissions according to the channel access procedures in [</w:t>
        </w:r>
      </w:ins>
      <w:ins w:id="113" w:author="Ericsson" w:date="2021-01-15T23:17:00Z">
        <w:r w:rsidR="00717D66">
          <w:rPr>
            <w:rFonts w:eastAsiaTheme="minorEastAsia"/>
            <w:color w:val="0070C0"/>
            <w:lang w:val="en-US" w:eastAsia="zh-CN"/>
          </w:rPr>
          <w:t>14</w:t>
        </w:r>
      </w:ins>
      <w:ins w:id="114" w:author="Ericsson" w:date="2021-01-15T23:04:00Z">
        <w:r>
          <w:rPr>
            <w:rFonts w:eastAsiaTheme="minorEastAsia"/>
            <w:color w:val="0070C0"/>
            <w:lang w:val="en-US" w:eastAsia="zh-CN"/>
          </w:rPr>
          <w:t>]</w:t>
        </w:r>
      </w:ins>
      <w:ins w:id="115" w:author="Ericsson" w:date="2021-01-15T23:20:00Z">
        <w:r w:rsidR="0036356A">
          <w:rPr>
            <w:rFonts w:eastAsiaTheme="minorEastAsia"/>
            <w:color w:val="0070C0"/>
            <w:lang w:val="en-US" w:eastAsia="zh-CN"/>
          </w:rPr>
          <w:t xml:space="preserve">. </w:t>
        </w:r>
      </w:ins>
      <w:ins w:id="116" w:author="Ericsson" w:date="2021-01-15T23:04:00Z">
        <w:r>
          <w:rPr>
            <w:rFonts w:eastAsiaTheme="minorEastAsia"/>
            <w:color w:val="0070C0"/>
            <w:lang w:val="en-US" w:eastAsia="zh-CN"/>
          </w:rPr>
          <w:t>This also applies for wideband operations within a channel part of a CA band combination.</w:t>
        </w:r>
      </w:ins>
    </w:p>
    <w:p w14:paraId="4095F6CF" w14:textId="77777777" w:rsidR="00946B36" w:rsidRPr="00257325" w:rsidRDefault="00946B36" w:rsidP="00946B36">
      <w:pPr>
        <w:rPr>
          <w:rFonts w:cs="v5.0.0"/>
        </w:rPr>
      </w:pPr>
    </w:p>
    <w:p w14:paraId="7CE7A38E" w14:textId="77777777" w:rsidR="00946B36" w:rsidRPr="001C0CC4" w:rsidRDefault="00946B36" w:rsidP="00946B36">
      <w:pPr>
        <w:pStyle w:val="Heading2"/>
      </w:pPr>
      <w:bookmarkStart w:id="117" w:name="_Toc21344427"/>
      <w:bookmarkStart w:id="118" w:name="_Toc29801914"/>
      <w:bookmarkStart w:id="119" w:name="_Toc29802338"/>
      <w:bookmarkStart w:id="120" w:name="_Toc29802963"/>
      <w:bookmarkStart w:id="121" w:name="_Toc36107705"/>
      <w:bookmarkStart w:id="122" w:name="_Toc37251479"/>
      <w:bookmarkStart w:id="123" w:name="_Toc45888386"/>
      <w:bookmarkStart w:id="124" w:name="_Toc45888985"/>
      <w:bookmarkStart w:id="125" w:name="_Toc59650334"/>
      <w:bookmarkStart w:id="126" w:name="_Toc61357606"/>
      <w:bookmarkStart w:id="127" w:name="_Toc61359380"/>
      <w:r w:rsidRPr="001C0CC4">
        <w:t>7.2</w:t>
      </w:r>
      <w:r w:rsidRPr="001C0CC4">
        <w:tab/>
        <w:t>Diversity characteristics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8D73EF5" w14:textId="77777777" w:rsidR="00946B36" w:rsidRDefault="00946B36" w:rsidP="00905FD0">
      <w:pPr>
        <w:rPr>
          <w:i/>
          <w:iCs/>
          <w:noProof/>
          <w:color w:val="0070C0"/>
        </w:rPr>
      </w:pPr>
    </w:p>
    <w:p w14:paraId="5D2EAA29" w14:textId="77777777" w:rsidR="00905FD0" w:rsidRPr="00D30772" w:rsidRDefault="00905FD0" w:rsidP="00905FD0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1D04316A" w14:textId="77777777" w:rsidR="00905FD0" w:rsidRPr="00D30772" w:rsidRDefault="00905FD0" w:rsidP="00905FD0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32FBB"/>
    <w:rsid w:val="000405AD"/>
    <w:rsid w:val="00052BFF"/>
    <w:rsid w:val="00052CF7"/>
    <w:rsid w:val="0005376A"/>
    <w:rsid w:val="00067348"/>
    <w:rsid w:val="00071CDE"/>
    <w:rsid w:val="000768FE"/>
    <w:rsid w:val="000774BA"/>
    <w:rsid w:val="000A1797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14BE1"/>
    <w:rsid w:val="00115057"/>
    <w:rsid w:val="00123429"/>
    <w:rsid w:val="001439A4"/>
    <w:rsid w:val="00145D43"/>
    <w:rsid w:val="00146800"/>
    <w:rsid w:val="00151AB6"/>
    <w:rsid w:val="0016240A"/>
    <w:rsid w:val="00192C46"/>
    <w:rsid w:val="001A04F9"/>
    <w:rsid w:val="001A08B3"/>
    <w:rsid w:val="001A1116"/>
    <w:rsid w:val="001A7B60"/>
    <w:rsid w:val="001B52F0"/>
    <w:rsid w:val="001B7A65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35544"/>
    <w:rsid w:val="0023766F"/>
    <w:rsid w:val="0024003F"/>
    <w:rsid w:val="00240EE3"/>
    <w:rsid w:val="002420C1"/>
    <w:rsid w:val="00247DAE"/>
    <w:rsid w:val="00257325"/>
    <w:rsid w:val="0026004D"/>
    <w:rsid w:val="002640DD"/>
    <w:rsid w:val="00267BFD"/>
    <w:rsid w:val="00267E91"/>
    <w:rsid w:val="00275D12"/>
    <w:rsid w:val="00284FEB"/>
    <w:rsid w:val="002860C4"/>
    <w:rsid w:val="002872EE"/>
    <w:rsid w:val="002951B9"/>
    <w:rsid w:val="002B5741"/>
    <w:rsid w:val="002B6E46"/>
    <w:rsid w:val="002B72BC"/>
    <w:rsid w:val="002C386E"/>
    <w:rsid w:val="002D6FAF"/>
    <w:rsid w:val="002E2AAA"/>
    <w:rsid w:val="002E472E"/>
    <w:rsid w:val="002F576E"/>
    <w:rsid w:val="00305409"/>
    <w:rsid w:val="003152F1"/>
    <w:rsid w:val="00326917"/>
    <w:rsid w:val="00336128"/>
    <w:rsid w:val="003609EF"/>
    <w:rsid w:val="0036231A"/>
    <w:rsid w:val="0036356A"/>
    <w:rsid w:val="00367C6B"/>
    <w:rsid w:val="0037060A"/>
    <w:rsid w:val="00371B53"/>
    <w:rsid w:val="00374DD4"/>
    <w:rsid w:val="00396CB8"/>
    <w:rsid w:val="003B68DC"/>
    <w:rsid w:val="003C1EFB"/>
    <w:rsid w:val="003C303E"/>
    <w:rsid w:val="003D4324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54D0"/>
    <w:rsid w:val="004219F8"/>
    <w:rsid w:val="004242F1"/>
    <w:rsid w:val="004264D1"/>
    <w:rsid w:val="00432534"/>
    <w:rsid w:val="00450311"/>
    <w:rsid w:val="00454E54"/>
    <w:rsid w:val="0046368B"/>
    <w:rsid w:val="0047627D"/>
    <w:rsid w:val="004A6F47"/>
    <w:rsid w:val="004B75B7"/>
    <w:rsid w:val="004C11F5"/>
    <w:rsid w:val="004C3617"/>
    <w:rsid w:val="004C44CB"/>
    <w:rsid w:val="004C7A1B"/>
    <w:rsid w:val="004D674D"/>
    <w:rsid w:val="004D7686"/>
    <w:rsid w:val="004E3FBE"/>
    <w:rsid w:val="0050463F"/>
    <w:rsid w:val="005062AF"/>
    <w:rsid w:val="0051580D"/>
    <w:rsid w:val="00542928"/>
    <w:rsid w:val="00547111"/>
    <w:rsid w:val="00552A0C"/>
    <w:rsid w:val="00552B9A"/>
    <w:rsid w:val="00570808"/>
    <w:rsid w:val="0058003E"/>
    <w:rsid w:val="00580C95"/>
    <w:rsid w:val="00592D74"/>
    <w:rsid w:val="005B40A1"/>
    <w:rsid w:val="005B5838"/>
    <w:rsid w:val="005E2C44"/>
    <w:rsid w:val="005E4AC7"/>
    <w:rsid w:val="005F5944"/>
    <w:rsid w:val="0060110C"/>
    <w:rsid w:val="006202EB"/>
    <w:rsid w:val="00621188"/>
    <w:rsid w:val="006257ED"/>
    <w:rsid w:val="006335BE"/>
    <w:rsid w:val="00653040"/>
    <w:rsid w:val="00654B3D"/>
    <w:rsid w:val="00656E6B"/>
    <w:rsid w:val="00665C47"/>
    <w:rsid w:val="006713F7"/>
    <w:rsid w:val="00671763"/>
    <w:rsid w:val="00683199"/>
    <w:rsid w:val="00695808"/>
    <w:rsid w:val="006B46FB"/>
    <w:rsid w:val="006C14E0"/>
    <w:rsid w:val="006D1350"/>
    <w:rsid w:val="006D1ED6"/>
    <w:rsid w:val="006D6500"/>
    <w:rsid w:val="006E21FB"/>
    <w:rsid w:val="006E2E28"/>
    <w:rsid w:val="00703F3F"/>
    <w:rsid w:val="007042FC"/>
    <w:rsid w:val="007176FF"/>
    <w:rsid w:val="00717D66"/>
    <w:rsid w:val="00723042"/>
    <w:rsid w:val="00732B5F"/>
    <w:rsid w:val="00736DEF"/>
    <w:rsid w:val="00742CAA"/>
    <w:rsid w:val="00756037"/>
    <w:rsid w:val="00770156"/>
    <w:rsid w:val="0077478C"/>
    <w:rsid w:val="00792342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F7259"/>
    <w:rsid w:val="007F7FFE"/>
    <w:rsid w:val="008030DB"/>
    <w:rsid w:val="00803F21"/>
    <w:rsid w:val="008040A8"/>
    <w:rsid w:val="008046DF"/>
    <w:rsid w:val="008131B9"/>
    <w:rsid w:val="00823BA0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4BDE"/>
    <w:rsid w:val="008B55D1"/>
    <w:rsid w:val="008D46E7"/>
    <w:rsid w:val="008D7AE3"/>
    <w:rsid w:val="008F3789"/>
    <w:rsid w:val="008F686C"/>
    <w:rsid w:val="009001A6"/>
    <w:rsid w:val="00905FD0"/>
    <w:rsid w:val="0091035A"/>
    <w:rsid w:val="00911344"/>
    <w:rsid w:val="009148DE"/>
    <w:rsid w:val="00922B51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5753"/>
    <w:rsid w:val="009A579D"/>
    <w:rsid w:val="009A6C14"/>
    <w:rsid w:val="009B3829"/>
    <w:rsid w:val="009B7991"/>
    <w:rsid w:val="009D0098"/>
    <w:rsid w:val="009D3141"/>
    <w:rsid w:val="009E0040"/>
    <w:rsid w:val="009E3297"/>
    <w:rsid w:val="009F212F"/>
    <w:rsid w:val="009F7331"/>
    <w:rsid w:val="009F734F"/>
    <w:rsid w:val="00A14A28"/>
    <w:rsid w:val="00A21D12"/>
    <w:rsid w:val="00A246B6"/>
    <w:rsid w:val="00A332C6"/>
    <w:rsid w:val="00A42CBA"/>
    <w:rsid w:val="00A47E70"/>
    <w:rsid w:val="00A50CF0"/>
    <w:rsid w:val="00A7671C"/>
    <w:rsid w:val="00A92A0C"/>
    <w:rsid w:val="00AA2CBC"/>
    <w:rsid w:val="00AA36BF"/>
    <w:rsid w:val="00AB4169"/>
    <w:rsid w:val="00AB4ADB"/>
    <w:rsid w:val="00AC09E3"/>
    <w:rsid w:val="00AC5820"/>
    <w:rsid w:val="00AD1CD8"/>
    <w:rsid w:val="00AE2FA8"/>
    <w:rsid w:val="00AE457F"/>
    <w:rsid w:val="00B00A8A"/>
    <w:rsid w:val="00B0731C"/>
    <w:rsid w:val="00B13D2D"/>
    <w:rsid w:val="00B2181C"/>
    <w:rsid w:val="00B258BB"/>
    <w:rsid w:val="00B272BF"/>
    <w:rsid w:val="00B325EB"/>
    <w:rsid w:val="00B4354D"/>
    <w:rsid w:val="00B55526"/>
    <w:rsid w:val="00B61BE8"/>
    <w:rsid w:val="00B61D83"/>
    <w:rsid w:val="00B67B97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C17E91"/>
    <w:rsid w:val="00C37AC2"/>
    <w:rsid w:val="00C421F9"/>
    <w:rsid w:val="00C524FA"/>
    <w:rsid w:val="00C527C1"/>
    <w:rsid w:val="00C54CB9"/>
    <w:rsid w:val="00C55064"/>
    <w:rsid w:val="00C56DF4"/>
    <w:rsid w:val="00C60467"/>
    <w:rsid w:val="00C66BA2"/>
    <w:rsid w:val="00C67000"/>
    <w:rsid w:val="00C8451C"/>
    <w:rsid w:val="00C9085E"/>
    <w:rsid w:val="00C9273E"/>
    <w:rsid w:val="00C95985"/>
    <w:rsid w:val="00CA1AFA"/>
    <w:rsid w:val="00CA5982"/>
    <w:rsid w:val="00CB169E"/>
    <w:rsid w:val="00CC5026"/>
    <w:rsid w:val="00CC68D0"/>
    <w:rsid w:val="00CE439C"/>
    <w:rsid w:val="00CE4C61"/>
    <w:rsid w:val="00CF186D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626D4"/>
    <w:rsid w:val="00D66520"/>
    <w:rsid w:val="00D7301E"/>
    <w:rsid w:val="00D84904"/>
    <w:rsid w:val="00DA4D0C"/>
    <w:rsid w:val="00DA776A"/>
    <w:rsid w:val="00DA79FF"/>
    <w:rsid w:val="00DC2033"/>
    <w:rsid w:val="00DE34CF"/>
    <w:rsid w:val="00E05CF2"/>
    <w:rsid w:val="00E13F3D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96ED6"/>
    <w:rsid w:val="00EB09B7"/>
    <w:rsid w:val="00EB292A"/>
    <w:rsid w:val="00ED352E"/>
    <w:rsid w:val="00EE7D7C"/>
    <w:rsid w:val="00F111F3"/>
    <w:rsid w:val="00F25D98"/>
    <w:rsid w:val="00F300FB"/>
    <w:rsid w:val="00F5333B"/>
    <w:rsid w:val="00F544DB"/>
    <w:rsid w:val="00F7034A"/>
    <w:rsid w:val="00F710A2"/>
    <w:rsid w:val="00F7243E"/>
    <w:rsid w:val="00F872BC"/>
    <w:rsid w:val="00F877FB"/>
    <w:rsid w:val="00FB1FFE"/>
    <w:rsid w:val="00FB6386"/>
    <w:rsid w:val="00FC14A6"/>
    <w:rsid w:val="00FC2587"/>
    <w:rsid w:val="00FD1E63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FAE0AC-8C2D-4B15-8797-7E250C0D1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1593</Words>
  <Characters>9193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2021-01-15T22:33:00Z</dcterms:created>
  <dcterms:modified xsi:type="dcterms:W3CDTF">2021-01-15T22:34:00Z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