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9C14F" w14:textId="52A5939C" w:rsidR="00A563E3" w:rsidRPr="00DB3907" w:rsidRDefault="00A563E3" w:rsidP="00A563E3">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2E6E5E">
        <w:rPr>
          <w:rFonts w:cs="Arial"/>
          <w:sz w:val="24"/>
          <w:szCs w:val="24"/>
          <w:lang w:val="de-DE"/>
        </w:rPr>
        <w:t>7</w:t>
      </w:r>
      <w:r>
        <w:rPr>
          <w:rFonts w:cs="Arial"/>
          <w:sz w:val="24"/>
          <w:szCs w:val="24"/>
          <w:lang w:val="de-DE"/>
        </w:rPr>
        <w:t>-e</w:t>
      </w:r>
      <w:r w:rsidRPr="00DB3907">
        <w:rPr>
          <w:rFonts w:cs="Arial"/>
          <w:sz w:val="24"/>
          <w:szCs w:val="24"/>
          <w:lang w:val="de-DE"/>
        </w:rPr>
        <w:tab/>
        <w:t>R4-</w:t>
      </w:r>
      <w:r>
        <w:rPr>
          <w:rFonts w:cs="Arial"/>
          <w:sz w:val="24"/>
          <w:szCs w:val="24"/>
          <w:lang w:val="de-DE"/>
        </w:rPr>
        <w:t>20</w:t>
      </w:r>
      <w:r w:rsidR="00441453">
        <w:rPr>
          <w:rFonts w:cs="Arial"/>
          <w:sz w:val="24"/>
          <w:szCs w:val="24"/>
          <w:lang w:val="de-DE"/>
        </w:rPr>
        <w:t>16439</w:t>
      </w:r>
    </w:p>
    <w:p w14:paraId="6E79AB25" w14:textId="63047769" w:rsidR="00A563E3" w:rsidRPr="00DB3907" w:rsidRDefault="002E6E5E" w:rsidP="00A563E3">
      <w:pPr>
        <w:pStyle w:val="Header"/>
        <w:tabs>
          <w:tab w:val="left" w:pos="6521"/>
        </w:tabs>
        <w:rPr>
          <w:rFonts w:cs="Arial"/>
          <w:sz w:val="24"/>
          <w:szCs w:val="24"/>
        </w:rPr>
      </w:pPr>
      <w:r>
        <w:rPr>
          <w:rFonts w:cs="Arial"/>
          <w:sz w:val="24"/>
          <w:szCs w:val="24"/>
        </w:rPr>
        <w:t>Nov</w:t>
      </w:r>
      <w:r w:rsidR="00A563E3">
        <w:rPr>
          <w:rFonts w:cs="Arial"/>
          <w:sz w:val="24"/>
          <w:szCs w:val="24"/>
        </w:rPr>
        <w:t xml:space="preserve"> </w:t>
      </w:r>
      <w:r>
        <w:rPr>
          <w:rFonts w:cs="Arial"/>
          <w:sz w:val="24"/>
          <w:szCs w:val="24"/>
        </w:rPr>
        <w:t>2</w:t>
      </w:r>
      <w:r>
        <w:rPr>
          <w:rFonts w:cs="Arial"/>
          <w:sz w:val="24"/>
          <w:szCs w:val="24"/>
          <w:vertAlign w:val="superscript"/>
        </w:rPr>
        <w:t>nd</w:t>
      </w:r>
      <w:r w:rsidR="00A563E3">
        <w:rPr>
          <w:rFonts w:cs="Arial"/>
          <w:sz w:val="24"/>
          <w:szCs w:val="24"/>
        </w:rPr>
        <w:t xml:space="preserve"> ‒ </w:t>
      </w:r>
      <w:r>
        <w:rPr>
          <w:rFonts w:cs="Arial"/>
          <w:sz w:val="24"/>
          <w:szCs w:val="24"/>
        </w:rPr>
        <w:t>13</w:t>
      </w:r>
      <w:r w:rsidR="00A563E3">
        <w:rPr>
          <w:rFonts w:cs="Arial"/>
          <w:sz w:val="24"/>
          <w:szCs w:val="24"/>
          <w:vertAlign w:val="superscript"/>
        </w:rPr>
        <w:t>th</w:t>
      </w:r>
      <w:r w:rsidR="00A563E3">
        <w:rPr>
          <w:rFonts w:cs="Arial"/>
          <w:sz w:val="24"/>
          <w:szCs w:val="24"/>
        </w:rPr>
        <w:t>, 2020</w:t>
      </w:r>
    </w:p>
    <w:p w14:paraId="4CA7942A" w14:textId="77777777" w:rsidR="00A563E3" w:rsidRPr="00DB3907" w:rsidRDefault="00A563E3" w:rsidP="00A563E3">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FD38D9A"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714EAB">
        <w:rPr>
          <w:rFonts w:ascii="Arial" w:hAnsi="Arial"/>
          <w:sz w:val="24"/>
          <w:lang w:val="en-US"/>
        </w:rPr>
        <w:t>10.18.2</w:t>
      </w:r>
      <w:bookmarkStart w:id="0" w:name="_GoBack"/>
      <w:bookmarkEnd w:id="0"/>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5B5AE82D"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41EFB">
        <w:rPr>
          <w:rFonts w:ascii="Arial" w:hAnsi="Arial"/>
          <w:sz w:val="24"/>
          <w:lang w:val="en-US"/>
        </w:rPr>
        <w:t>Upper limits on output power for dual PA</w:t>
      </w:r>
    </w:p>
    <w:p w14:paraId="013F978F" w14:textId="57B9E8AA"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923AD5">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E80A246" w14:textId="2CC9612B" w:rsidR="00EC5D39" w:rsidRDefault="00E41EFB" w:rsidP="00EC0D60">
      <w:pPr>
        <w:rPr>
          <w:lang w:val="en-US"/>
        </w:rPr>
      </w:pPr>
      <w:r w:rsidRPr="002935B8">
        <w:rPr>
          <w:lang w:val="en-US"/>
        </w:rPr>
        <w:t>Increasing the UE maximum output power has been seen as beneficial since Rel-</w:t>
      </w:r>
      <w:r w:rsidR="004F4690" w:rsidRPr="002935B8">
        <w:rPr>
          <w:lang w:val="en-US"/>
        </w:rPr>
        <w:t>14</w:t>
      </w:r>
      <w:r w:rsidRPr="002935B8">
        <w:rPr>
          <w:lang w:val="en-US"/>
        </w:rPr>
        <w:t xml:space="preserve"> when power class 2 was first</w:t>
      </w:r>
      <w:r>
        <w:rPr>
          <w:lang w:val="en-US"/>
        </w:rPr>
        <w:t xml:space="preserve"> introduced.  Since then, the number of bands with PC2 specification and the number of CA and DC configurations including PC2 and PC1.5 have steadily increased.  At the same time, UE front-end architectures consisting of two separate Tx paths operating simultaneously have also become more common.  UL MIMO, UL CA, and transmit diversity are some of the recent developments where dual PA configurations are assumed.  In this contribution, the confluence of higher output power and a dual PA architecture is explored</w:t>
      </w:r>
      <w:r w:rsidR="0071419C">
        <w:rPr>
          <w:lang w:val="en-US"/>
        </w:rPr>
        <w:t xml:space="preserve"> in the context of the work item on </w:t>
      </w:r>
      <w:r w:rsidR="00067B92">
        <w:rPr>
          <w:lang w:val="en-US"/>
        </w:rPr>
        <w:t xml:space="preserve">PC2 UL CA </w:t>
      </w:r>
      <w:r w:rsidR="0071419C">
        <w:rPr>
          <w:lang w:val="en-US"/>
        </w:rPr>
        <w:t>[1]</w:t>
      </w:r>
      <w:r w:rsidR="00067B92">
        <w:rPr>
          <w:lang w:val="en-US"/>
        </w:rPr>
        <w:t xml:space="preserve"> and corresponding SAR schemes [2] but may possibly be generalized</w:t>
      </w:r>
      <w:r>
        <w:rPr>
          <w:lang w:val="en-US"/>
        </w:rPr>
        <w:t>.</w:t>
      </w:r>
      <w:r w:rsidR="00067B92">
        <w:rPr>
          <w:lang w:val="en-US"/>
        </w:rPr>
        <w:t xml:space="preserve">  </w:t>
      </w:r>
    </w:p>
    <w:p w14:paraId="10F6602E" w14:textId="254438DC" w:rsidR="007E1E78" w:rsidRDefault="007E1E78" w:rsidP="0099327E">
      <w:pPr>
        <w:pStyle w:val="Heading1"/>
        <w:tabs>
          <w:tab w:val="clear" w:pos="432"/>
          <w:tab w:val="num" w:pos="522"/>
        </w:tabs>
        <w:ind w:left="522" w:hanging="522"/>
        <w:rPr>
          <w:lang w:val="en-US"/>
        </w:rPr>
      </w:pPr>
      <w:r>
        <w:rPr>
          <w:lang w:val="en-US"/>
        </w:rPr>
        <w:t>Discussion</w:t>
      </w:r>
    </w:p>
    <w:p w14:paraId="5B64EA89" w14:textId="0ED118EC" w:rsidR="00F6425F" w:rsidRDefault="00F6425F" w:rsidP="00F6425F">
      <w:pPr>
        <w:pStyle w:val="Heading2"/>
        <w:rPr>
          <w:lang w:val="en-US"/>
        </w:rPr>
      </w:pPr>
      <w:r>
        <w:rPr>
          <w:lang w:val="en-US"/>
        </w:rPr>
        <w:t>Higher output power</w:t>
      </w:r>
    </w:p>
    <w:p w14:paraId="4A27805D" w14:textId="3BBBF32A" w:rsidR="00E71AC3" w:rsidRDefault="00E41EFB" w:rsidP="005010EC">
      <w:pPr>
        <w:rPr>
          <w:lang w:val="en-US"/>
        </w:rPr>
      </w:pPr>
      <w:r w:rsidRPr="002935B8">
        <w:rPr>
          <w:lang w:val="en-US"/>
        </w:rPr>
        <w:t>Higher UE output power has been gaining in popularity since the introduction of the 26 dBm power class 2 in Rel-</w:t>
      </w:r>
      <w:r w:rsidR="002935B8" w:rsidRPr="002935B8">
        <w:rPr>
          <w:lang w:val="en-US"/>
        </w:rPr>
        <w:t>14 E-</w:t>
      </w:r>
      <w:r w:rsidR="002935B8">
        <w:rPr>
          <w:lang w:val="en-US"/>
        </w:rPr>
        <w:t>UTRA specifications</w:t>
      </w:r>
      <w:r>
        <w:rPr>
          <w:lang w:val="en-US"/>
        </w:rPr>
        <w:t>.  Operators hav</w:t>
      </w:r>
      <w:r w:rsidR="00E71AC3">
        <w:rPr>
          <w:lang w:val="en-US"/>
        </w:rPr>
        <w:t>e requested PC2 with comment</w:t>
      </w:r>
      <w:r w:rsidR="00385A3D">
        <w:rPr>
          <w:lang w:val="en-US"/>
        </w:rPr>
        <w:t>s</w:t>
      </w:r>
      <w:r w:rsidR="00E71AC3">
        <w:rPr>
          <w:lang w:val="en-US"/>
        </w:rPr>
        <w:t xml:space="preserve"> such as</w:t>
      </w:r>
    </w:p>
    <w:p w14:paraId="5F10DD94" w14:textId="1EB19C32" w:rsidR="00E71AC3" w:rsidRDefault="00E71AC3" w:rsidP="00BE18B7">
      <w:pPr>
        <w:ind w:left="284" w:right="631"/>
        <w:rPr>
          <w:lang w:eastAsia="zh-CN"/>
        </w:rPr>
      </w:pPr>
      <w:r w:rsidRPr="00E71AC3">
        <w:rPr>
          <w:rFonts w:hint="eastAsia"/>
          <w:i/>
          <w:iCs/>
          <w:lang w:eastAsia="zh-CN"/>
        </w:rPr>
        <w:t>T</w:t>
      </w:r>
      <w:r w:rsidRPr="00E71AC3">
        <w:rPr>
          <w:i/>
          <w:iCs/>
          <w:lang w:eastAsia="zh-CN"/>
        </w:rPr>
        <w:t>h</w:t>
      </w:r>
      <w:r w:rsidRPr="00E71AC3">
        <w:rPr>
          <w:rFonts w:hint="eastAsia"/>
          <w:i/>
          <w:iCs/>
          <w:lang w:eastAsia="zh-CN"/>
        </w:rPr>
        <w:t xml:space="preserve">e high power UE has been identified as a direct technology to solve the coverage issue in high and medium </w:t>
      </w:r>
      <w:r w:rsidRPr="00E71AC3">
        <w:rPr>
          <w:i/>
          <w:iCs/>
          <w:lang w:eastAsia="zh-CN"/>
        </w:rPr>
        <w:t>frequency</w:t>
      </w:r>
      <w:r w:rsidRPr="00E71AC3">
        <w:rPr>
          <w:rFonts w:hint="eastAsia"/>
          <w:i/>
          <w:iCs/>
          <w:lang w:eastAsia="zh-CN"/>
        </w:rPr>
        <w:t xml:space="preserve"> range for NR and LTE</w:t>
      </w:r>
      <w:r w:rsidRPr="00A97C81">
        <w:rPr>
          <w:rFonts w:hint="eastAsia"/>
          <w:lang w:eastAsia="zh-CN"/>
        </w:rPr>
        <w:t>.</w:t>
      </w:r>
      <w:r>
        <w:rPr>
          <w:lang w:eastAsia="zh-CN"/>
        </w:rPr>
        <w:t xml:space="preserve"> [</w:t>
      </w:r>
      <w:r w:rsidR="00067B92">
        <w:rPr>
          <w:lang w:eastAsia="zh-CN"/>
        </w:rPr>
        <w:t>3</w:t>
      </w:r>
      <w:r>
        <w:rPr>
          <w:lang w:eastAsia="zh-CN"/>
        </w:rPr>
        <w:t>]</w:t>
      </w:r>
    </w:p>
    <w:p w14:paraId="0316109F" w14:textId="119C8902" w:rsidR="00E71AC3" w:rsidRDefault="00E71AC3" w:rsidP="00BE18B7">
      <w:pPr>
        <w:ind w:left="284" w:right="631"/>
        <w:rPr>
          <w:lang w:val="en-US"/>
        </w:rPr>
      </w:pPr>
      <w:r w:rsidRPr="00E71AC3">
        <w:rPr>
          <w:i/>
          <w:iCs/>
          <w:lang w:val="en-US"/>
        </w:rPr>
        <w:t>Increasing the transmit power of UE has significant benefits on extending cell coverage area and improving the experience of cell edge users</w:t>
      </w:r>
      <w:r>
        <w:rPr>
          <w:lang w:val="en-US"/>
        </w:rPr>
        <w:t>. [</w:t>
      </w:r>
      <w:r w:rsidR="00067B92">
        <w:rPr>
          <w:lang w:val="en-US"/>
        </w:rPr>
        <w:t>4</w:t>
      </w:r>
      <w:r>
        <w:rPr>
          <w:lang w:val="en-US"/>
        </w:rPr>
        <w:t>]</w:t>
      </w:r>
    </w:p>
    <w:p w14:paraId="7C7EAEEC" w14:textId="7924EA32" w:rsidR="00E71AC3" w:rsidRDefault="00BE18B7" w:rsidP="00BE18B7">
      <w:pPr>
        <w:ind w:left="284" w:right="631"/>
        <w:rPr>
          <w:lang w:val="en-US"/>
        </w:rPr>
      </w:pPr>
      <w:r w:rsidRPr="00BE18B7">
        <w:rPr>
          <w:i/>
          <w:iCs/>
          <w:lang w:val="en-US"/>
        </w:rPr>
        <w:t>Power Class 2 HPUE allows TDD operators to improve cell coverage and allows B41 cells to have the same ISD as lower frequency band cells.  EN-DC architecture options divide total UE Tx power between LTE and NR, which can reduce coverage by up to 3dB, depending on the power sharing parameters of the UE. It is therefore desirable to enable higher UL Tx power</w:t>
      </w:r>
      <w:r w:rsidRPr="00BE18B7">
        <w:rPr>
          <w:lang w:val="en-US"/>
        </w:rPr>
        <w:t xml:space="preserve">.  </w:t>
      </w:r>
      <w:r>
        <w:rPr>
          <w:lang w:val="en-US"/>
        </w:rPr>
        <w:t>[</w:t>
      </w:r>
      <w:r w:rsidR="00067B92">
        <w:rPr>
          <w:lang w:val="en-US"/>
        </w:rPr>
        <w:t>5</w:t>
      </w:r>
      <w:r>
        <w:rPr>
          <w:lang w:val="en-US"/>
        </w:rPr>
        <w:t>]</w:t>
      </w:r>
    </w:p>
    <w:p w14:paraId="6EB372FF" w14:textId="2BBCBEE6" w:rsidR="00E41EFB" w:rsidRDefault="00FA19BB" w:rsidP="005010EC">
      <w:pPr>
        <w:rPr>
          <w:lang w:val="en-US"/>
        </w:rPr>
      </w:pPr>
      <w:r>
        <w:rPr>
          <w:lang w:val="en-US"/>
        </w:rPr>
        <w:t xml:space="preserve">Thus, it is seen that increasing the output power of the UE is desirable </w:t>
      </w:r>
      <w:r w:rsidR="00AD6B6C">
        <w:rPr>
          <w:lang w:val="en-US"/>
        </w:rPr>
        <w:t>to</w:t>
      </w:r>
      <w:r>
        <w:rPr>
          <w:lang w:val="en-US"/>
        </w:rPr>
        <w:t xml:space="preserve"> the </w:t>
      </w:r>
      <w:r w:rsidR="00AD6B6C">
        <w:rPr>
          <w:lang w:val="en-US"/>
        </w:rPr>
        <w:t xml:space="preserve">network </w:t>
      </w:r>
      <w:r>
        <w:rPr>
          <w:lang w:val="en-US"/>
        </w:rPr>
        <w:t>operators.</w:t>
      </w:r>
    </w:p>
    <w:p w14:paraId="2465888A" w14:textId="50D9907D" w:rsidR="00700EAC" w:rsidRPr="00700EAC" w:rsidRDefault="00FA19BB" w:rsidP="00700EAC">
      <w:pPr>
        <w:rPr>
          <w:lang w:val="en-US"/>
        </w:rPr>
      </w:pPr>
      <w:r>
        <w:rPr>
          <w:lang w:val="en-US"/>
        </w:rPr>
        <w:t xml:space="preserve">At the same time, dual PA architectures in the UE are becoming more common to support features such as UL MIMO, UL CA, and UL Tx diversity.  </w:t>
      </w:r>
      <w:r w:rsidR="008356DC">
        <w:rPr>
          <w:lang w:val="en-US"/>
        </w:rPr>
        <w:t xml:space="preserve">It is therefore natural to explore possibilities for combining the desire for higher output power </w:t>
      </w:r>
      <w:r w:rsidR="008F2394">
        <w:rPr>
          <w:lang w:val="en-US"/>
        </w:rPr>
        <w:t>with</w:t>
      </w:r>
      <w:r w:rsidR="008356DC">
        <w:rPr>
          <w:lang w:val="en-US"/>
        </w:rPr>
        <w:t xml:space="preserve"> the fact that the UE supports dual PA’s.</w:t>
      </w:r>
      <w:r w:rsidR="008F2394">
        <w:rPr>
          <w:lang w:val="en-US"/>
        </w:rPr>
        <w:t xml:space="preserve">  For example, consider a UE that supports PC2 UL CA with a 23 + 26 dBm front-end PA configuration, i.e., case b or c identified in [</w:t>
      </w:r>
      <w:r w:rsidR="00067B92">
        <w:rPr>
          <w:lang w:val="en-US"/>
        </w:rPr>
        <w:t>2</w:t>
      </w:r>
      <w:r w:rsidR="008F2394">
        <w:rPr>
          <w:lang w:val="en-US"/>
        </w:rPr>
        <w:t xml:space="preserve">].  </w:t>
      </w:r>
    </w:p>
    <w:p w14:paraId="2A2EF39B" w14:textId="4DD1FE8F" w:rsidR="00700EAC" w:rsidRDefault="00700EAC" w:rsidP="00700EA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Power configurations from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2115"/>
        <w:gridCol w:w="2133"/>
        <w:gridCol w:w="2133"/>
      </w:tblGrid>
      <w:tr w:rsidR="00700EAC" w:rsidRPr="00700EAC" w14:paraId="37372EEF" w14:textId="77777777" w:rsidTr="00700EAC">
        <w:trPr>
          <w:jc w:val="center"/>
        </w:trPr>
        <w:tc>
          <w:tcPr>
            <w:tcW w:w="2033" w:type="dxa"/>
            <w:shd w:val="clear" w:color="auto" w:fill="auto"/>
          </w:tcPr>
          <w:p w14:paraId="6633E5A1" w14:textId="77777777" w:rsidR="00700EAC" w:rsidRPr="00700EAC" w:rsidRDefault="00700EAC" w:rsidP="002859A3">
            <w:pPr>
              <w:jc w:val="both"/>
              <w:rPr>
                <w:sz w:val="18"/>
                <w:szCs w:val="18"/>
                <w:lang w:eastAsia="zh-CN"/>
              </w:rPr>
            </w:pPr>
          </w:p>
        </w:tc>
        <w:tc>
          <w:tcPr>
            <w:tcW w:w="2115" w:type="dxa"/>
            <w:shd w:val="clear" w:color="auto" w:fill="auto"/>
          </w:tcPr>
          <w:p w14:paraId="6FFD46F9" w14:textId="77777777" w:rsidR="00700EAC" w:rsidRPr="00700EAC" w:rsidRDefault="00700EAC" w:rsidP="002859A3">
            <w:pPr>
              <w:jc w:val="both"/>
              <w:rPr>
                <w:sz w:val="18"/>
                <w:szCs w:val="18"/>
                <w:lang w:eastAsia="zh-CN"/>
              </w:rPr>
            </w:pPr>
            <w:r w:rsidRPr="00700EAC">
              <w:rPr>
                <w:sz w:val="18"/>
                <w:szCs w:val="18"/>
                <w:lang w:eastAsia="zh-CN"/>
              </w:rPr>
              <w:t xml:space="preserve">UE </w:t>
            </w:r>
            <w:r w:rsidRPr="00700EAC">
              <w:rPr>
                <w:rFonts w:hint="eastAsia"/>
                <w:sz w:val="18"/>
                <w:szCs w:val="18"/>
                <w:lang w:eastAsia="zh-CN"/>
              </w:rPr>
              <w:t>power class</w:t>
            </w:r>
          </w:p>
        </w:tc>
        <w:tc>
          <w:tcPr>
            <w:tcW w:w="2133" w:type="dxa"/>
            <w:shd w:val="clear" w:color="auto" w:fill="auto"/>
          </w:tcPr>
          <w:p w14:paraId="6298B777" w14:textId="77777777" w:rsidR="00700EAC" w:rsidRPr="00700EAC" w:rsidRDefault="00700EAC" w:rsidP="002859A3">
            <w:pPr>
              <w:jc w:val="both"/>
              <w:rPr>
                <w:sz w:val="18"/>
                <w:szCs w:val="18"/>
                <w:lang w:eastAsia="zh-CN"/>
              </w:rPr>
            </w:pPr>
            <w:r w:rsidRPr="00700EAC">
              <w:rPr>
                <w:rFonts w:hint="eastAsia"/>
                <w:sz w:val="18"/>
                <w:szCs w:val="18"/>
                <w:lang w:eastAsia="zh-CN"/>
              </w:rPr>
              <w:t>NR Carrier x power class</w:t>
            </w:r>
          </w:p>
        </w:tc>
        <w:tc>
          <w:tcPr>
            <w:tcW w:w="2133" w:type="dxa"/>
            <w:shd w:val="clear" w:color="auto" w:fill="auto"/>
          </w:tcPr>
          <w:p w14:paraId="17C3378F" w14:textId="77777777" w:rsidR="00700EAC" w:rsidRPr="00700EAC" w:rsidRDefault="00700EAC" w:rsidP="002859A3">
            <w:pPr>
              <w:jc w:val="both"/>
              <w:rPr>
                <w:sz w:val="18"/>
                <w:szCs w:val="18"/>
                <w:lang w:eastAsia="zh-CN"/>
              </w:rPr>
            </w:pPr>
            <w:r w:rsidRPr="00700EAC">
              <w:rPr>
                <w:rFonts w:hint="eastAsia"/>
                <w:sz w:val="18"/>
                <w:szCs w:val="18"/>
                <w:lang w:eastAsia="zh-CN"/>
              </w:rPr>
              <w:t>NR Carrier y power class</w:t>
            </w:r>
          </w:p>
        </w:tc>
      </w:tr>
      <w:tr w:rsidR="00700EAC" w:rsidRPr="00700EAC" w14:paraId="4E01DFCE" w14:textId="77777777" w:rsidTr="00700EAC">
        <w:trPr>
          <w:jc w:val="center"/>
        </w:trPr>
        <w:tc>
          <w:tcPr>
            <w:tcW w:w="2033" w:type="dxa"/>
            <w:shd w:val="clear" w:color="auto" w:fill="auto"/>
          </w:tcPr>
          <w:p w14:paraId="5B105353" w14:textId="77777777" w:rsidR="00700EAC" w:rsidRPr="00700EAC" w:rsidRDefault="00700EAC" w:rsidP="002859A3">
            <w:pPr>
              <w:jc w:val="both"/>
              <w:rPr>
                <w:sz w:val="18"/>
                <w:szCs w:val="18"/>
                <w:lang w:eastAsia="zh-CN"/>
              </w:rPr>
            </w:pPr>
            <w:r w:rsidRPr="00700EAC">
              <w:rPr>
                <w:rFonts w:hint="eastAsia"/>
                <w:sz w:val="18"/>
                <w:szCs w:val="18"/>
                <w:lang w:eastAsia="zh-CN"/>
              </w:rPr>
              <w:t>Ca</w:t>
            </w:r>
            <w:r w:rsidRPr="00700EAC">
              <w:rPr>
                <w:sz w:val="18"/>
                <w:szCs w:val="18"/>
                <w:lang w:eastAsia="zh-CN"/>
              </w:rPr>
              <w:t xml:space="preserve">se </w:t>
            </w:r>
            <w:r w:rsidRPr="00700EAC">
              <w:rPr>
                <w:rFonts w:hint="eastAsia"/>
                <w:sz w:val="18"/>
                <w:szCs w:val="18"/>
                <w:lang w:eastAsia="zh-CN"/>
              </w:rPr>
              <w:t>a</w:t>
            </w:r>
          </w:p>
        </w:tc>
        <w:tc>
          <w:tcPr>
            <w:tcW w:w="2115" w:type="dxa"/>
            <w:shd w:val="clear" w:color="auto" w:fill="auto"/>
          </w:tcPr>
          <w:p w14:paraId="1C598274" w14:textId="77777777" w:rsidR="00700EAC" w:rsidRPr="00700EAC" w:rsidRDefault="00700EAC" w:rsidP="002859A3">
            <w:pPr>
              <w:jc w:val="both"/>
              <w:rPr>
                <w:sz w:val="18"/>
                <w:szCs w:val="18"/>
                <w:lang w:eastAsia="zh-CN"/>
              </w:rPr>
            </w:pPr>
            <w:r w:rsidRPr="00700EAC">
              <w:rPr>
                <w:rFonts w:hint="eastAsia"/>
                <w:sz w:val="18"/>
                <w:szCs w:val="18"/>
                <w:lang w:eastAsia="zh-CN"/>
              </w:rPr>
              <w:t>26dBm</w:t>
            </w:r>
          </w:p>
        </w:tc>
        <w:tc>
          <w:tcPr>
            <w:tcW w:w="2133" w:type="dxa"/>
            <w:shd w:val="clear" w:color="auto" w:fill="auto"/>
          </w:tcPr>
          <w:p w14:paraId="30EE53D0" w14:textId="77777777" w:rsidR="00700EAC" w:rsidRPr="00700EAC" w:rsidRDefault="00700EAC" w:rsidP="002859A3">
            <w:pPr>
              <w:jc w:val="both"/>
              <w:rPr>
                <w:sz w:val="18"/>
                <w:szCs w:val="18"/>
                <w:lang w:eastAsia="zh-CN"/>
              </w:rPr>
            </w:pPr>
            <w:r w:rsidRPr="00700EAC">
              <w:rPr>
                <w:rFonts w:hint="eastAsia"/>
                <w:sz w:val="18"/>
                <w:szCs w:val="18"/>
                <w:lang w:eastAsia="zh-CN"/>
              </w:rPr>
              <w:t>23dBm</w:t>
            </w:r>
          </w:p>
        </w:tc>
        <w:tc>
          <w:tcPr>
            <w:tcW w:w="2133" w:type="dxa"/>
            <w:shd w:val="clear" w:color="auto" w:fill="auto"/>
          </w:tcPr>
          <w:p w14:paraId="42122AD4" w14:textId="77777777" w:rsidR="00700EAC" w:rsidRPr="00700EAC" w:rsidRDefault="00700EAC" w:rsidP="002859A3">
            <w:pPr>
              <w:jc w:val="both"/>
              <w:rPr>
                <w:sz w:val="18"/>
                <w:szCs w:val="18"/>
                <w:lang w:eastAsia="zh-CN"/>
              </w:rPr>
            </w:pPr>
            <w:r w:rsidRPr="00700EAC">
              <w:rPr>
                <w:rFonts w:hint="eastAsia"/>
                <w:sz w:val="18"/>
                <w:szCs w:val="18"/>
                <w:lang w:eastAsia="zh-CN"/>
              </w:rPr>
              <w:t>23dBm</w:t>
            </w:r>
          </w:p>
        </w:tc>
      </w:tr>
      <w:tr w:rsidR="00700EAC" w:rsidRPr="00700EAC" w14:paraId="70820ACD" w14:textId="77777777" w:rsidTr="00700EAC">
        <w:trPr>
          <w:jc w:val="center"/>
        </w:trPr>
        <w:tc>
          <w:tcPr>
            <w:tcW w:w="2033" w:type="dxa"/>
            <w:shd w:val="clear" w:color="auto" w:fill="auto"/>
          </w:tcPr>
          <w:p w14:paraId="38F3C50B" w14:textId="77777777" w:rsidR="00700EAC" w:rsidRPr="00700EAC" w:rsidRDefault="00700EAC" w:rsidP="002859A3">
            <w:pPr>
              <w:jc w:val="both"/>
              <w:rPr>
                <w:sz w:val="18"/>
                <w:szCs w:val="18"/>
                <w:lang w:eastAsia="zh-CN"/>
              </w:rPr>
            </w:pPr>
            <w:r w:rsidRPr="00700EAC">
              <w:rPr>
                <w:rFonts w:hint="eastAsia"/>
                <w:sz w:val="18"/>
                <w:szCs w:val="18"/>
                <w:lang w:eastAsia="zh-CN"/>
              </w:rPr>
              <w:t>Case b</w:t>
            </w:r>
          </w:p>
        </w:tc>
        <w:tc>
          <w:tcPr>
            <w:tcW w:w="2115" w:type="dxa"/>
            <w:shd w:val="clear" w:color="auto" w:fill="auto"/>
          </w:tcPr>
          <w:p w14:paraId="7ADAFD5A" w14:textId="77777777" w:rsidR="00700EAC" w:rsidRPr="00700EAC" w:rsidRDefault="00700EAC" w:rsidP="002859A3">
            <w:pPr>
              <w:jc w:val="both"/>
              <w:rPr>
                <w:sz w:val="18"/>
                <w:szCs w:val="18"/>
                <w:lang w:eastAsia="zh-CN"/>
              </w:rPr>
            </w:pPr>
            <w:r w:rsidRPr="00700EAC">
              <w:rPr>
                <w:rFonts w:hint="eastAsia"/>
                <w:sz w:val="18"/>
                <w:szCs w:val="18"/>
                <w:lang w:eastAsia="zh-CN"/>
              </w:rPr>
              <w:t>26dBm</w:t>
            </w:r>
          </w:p>
        </w:tc>
        <w:tc>
          <w:tcPr>
            <w:tcW w:w="2133" w:type="dxa"/>
            <w:shd w:val="clear" w:color="auto" w:fill="auto"/>
          </w:tcPr>
          <w:p w14:paraId="3E36550A" w14:textId="77777777" w:rsidR="00700EAC" w:rsidRPr="00700EAC" w:rsidRDefault="00700EAC" w:rsidP="002859A3">
            <w:pPr>
              <w:jc w:val="both"/>
              <w:rPr>
                <w:sz w:val="18"/>
                <w:szCs w:val="18"/>
                <w:lang w:eastAsia="zh-CN"/>
              </w:rPr>
            </w:pPr>
            <w:r w:rsidRPr="00700EAC">
              <w:rPr>
                <w:rFonts w:hint="eastAsia"/>
                <w:sz w:val="18"/>
                <w:szCs w:val="18"/>
                <w:lang w:eastAsia="zh-CN"/>
              </w:rPr>
              <w:t>23dBm</w:t>
            </w:r>
          </w:p>
        </w:tc>
        <w:tc>
          <w:tcPr>
            <w:tcW w:w="2133" w:type="dxa"/>
            <w:shd w:val="clear" w:color="auto" w:fill="auto"/>
          </w:tcPr>
          <w:p w14:paraId="4569377A" w14:textId="77777777" w:rsidR="00700EAC" w:rsidRPr="00700EAC" w:rsidRDefault="00700EAC" w:rsidP="002859A3">
            <w:pPr>
              <w:jc w:val="both"/>
              <w:rPr>
                <w:sz w:val="18"/>
                <w:szCs w:val="18"/>
                <w:lang w:eastAsia="zh-CN"/>
              </w:rPr>
            </w:pPr>
            <w:r w:rsidRPr="00700EAC">
              <w:rPr>
                <w:rFonts w:hint="eastAsia"/>
                <w:sz w:val="18"/>
                <w:szCs w:val="18"/>
                <w:lang w:eastAsia="zh-CN"/>
              </w:rPr>
              <w:t>26dBm</w:t>
            </w:r>
          </w:p>
        </w:tc>
      </w:tr>
      <w:tr w:rsidR="00700EAC" w:rsidRPr="00700EAC" w14:paraId="0787582A" w14:textId="77777777" w:rsidTr="00700EAC">
        <w:trPr>
          <w:jc w:val="center"/>
        </w:trPr>
        <w:tc>
          <w:tcPr>
            <w:tcW w:w="2033" w:type="dxa"/>
            <w:shd w:val="clear" w:color="auto" w:fill="auto"/>
          </w:tcPr>
          <w:p w14:paraId="47E53F40" w14:textId="77777777" w:rsidR="00700EAC" w:rsidRPr="00700EAC" w:rsidRDefault="00700EAC" w:rsidP="002859A3">
            <w:pPr>
              <w:jc w:val="both"/>
              <w:rPr>
                <w:sz w:val="18"/>
                <w:szCs w:val="18"/>
                <w:lang w:eastAsia="zh-CN"/>
              </w:rPr>
            </w:pPr>
            <w:r w:rsidRPr="00700EAC">
              <w:rPr>
                <w:sz w:val="18"/>
                <w:szCs w:val="18"/>
                <w:lang w:eastAsia="zh-CN"/>
              </w:rPr>
              <w:t>Case c</w:t>
            </w:r>
          </w:p>
        </w:tc>
        <w:tc>
          <w:tcPr>
            <w:tcW w:w="2115" w:type="dxa"/>
            <w:shd w:val="clear" w:color="auto" w:fill="auto"/>
          </w:tcPr>
          <w:p w14:paraId="40B85FEE" w14:textId="77777777" w:rsidR="00700EAC" w:rsidRPr="00700EAC" w:rsidRDefault="00700EAC" w:rsidP="002859A3">
            <w:pPr>
              <w:jc w:val="both"/>
              <w:rPr>
                <w:sz w:val="18"/>
                <w:szCs w:val="18"/>
                <w:lang w:eastAsia="zh-CN"/>
              </w:rPr>
            </w:pPr>
            <w:r w:rsidRPr="00700EAC">
              <w:rPr>
                <w:sz w:val="18"/>
                <w:szCs w:val="18"/>
                <w:lang w:eastAsia="zh-CN"/>
              </w:rPr>
              <w:t>26dBm</w:t>
            </w:r>
          </w:p>
        </w:tc>
        <w:tc>
          <w:tcPr>
            <w:tcW w:w="2133" w:type="dxa"/>
            <w:shd w:val="clear" w:color="auto" w:fill="auto"/>
          </w:tcPr>
          <w:p w14:paraId="7C44F397" w14:textId="77777777" w:rsidR="00700EAC" w:rsidRPr="00700EAC" w:rsidRDefault="00700EAC" w:rsidP="002859A3">
            <w:pPr>
              <w:jc w:val="both"/>
              <w:rPr>
                <w:sz w:val="18"/>
                <w:szCs w:val="18"/>
                <w:lang w:eastAsia="zh-CN"/>
              </w:rPr>
            </w:pPr>
            <w:r w:rsidRPr="00700EAC">
              <w:rPr>
                <w:sz w:val="18"/>
                <w:szCs w:val="18"/>
                <w:lang w:eastAsia="zh-CN"/>
              </w:rPr>
              <w:t>26dBm</w:t>
            </w:r>
          </w:p>
        </w:tc>
        <w:tc>
          <w:tcPr>
            <w:tcW w:w="2133" w:type="dxa"/>
            <w:shd w:val="clear" w:color="auto" w:fill="auto"/>
          </w:tcPr>
          <w:p w14:paraId="7C41E8A7" w14:textId="77777777" w:rsidR="00700EAC" w:rsidRPr="00700EAC" w:rsidRDefault="00700EAC" w:rsidP="002859A3">
            <w:pPr>
              <w:jc w:val="both"/>
              <w:rPr>
                <w:sz w:val="18"/>
                <w:szCs w:val="18"/>
                <w:lang w:eastAsia="zh-CN"/>
              </w:rPr>
            </w:pPr>
            <w:r w:rsidRPr="00700EAC">
              <w:rPr>
                <w:sz w:val="18"/>
                <w:szCs w:val="18"/>
                <w:lang w:eastAsia="zh-CN"/>
              </w:rPr>
              <w:t>2</w:t>
            </w:r>
            <w:r w:rsidRPr="00700EAC">
              <w:rPr>
                <w:rFonts w:eastAsia="SimSun" w:hint="eastAsia"/>
                <w:sz w:val="18"/>
                <w:szCs w:val="18"/>
                <w:lang w:eastAsia="zh-CN"/>
              </w:rPr>
              <w:t>3</w:t>
            </w:r>
            <w:r w:rsidRPr="00700EAC">
              <w:rPr>
                <w:sz w:val="18"/>
                <w:szCs w:val="18"/>
                <w:lang w:eastAsia="zh-CN"/>
              </w:rPr>
              <w:t>dBm</w:t>
            </w:r>
          </w:p>
        </w:tc>
      </w:tr>
      <w:tr w:rsidR="00700EAC" w:rsidRPr="00700EAC" w14:paraId="62D3D100" w14:textId="77777777" w:rsidTr="00700EAC">
        <w:trPr>
          <w:jc w:val="center"/>
        </w:trPr>
        <w:tc>
          <w:tcPr>
            <w:tcW w:w="2033" w:type="dxa"/>
            <w:shd w:val="clear" w:color="auto" w:fill="auto"/>
          </w:tcPr>
          <w:p w14:paraId="6E4E02B8" w14:textId="77777777" w:rsidR="00700EAC" w:rsidRPr="00700EAC" w:rsidRDefault="00700EAC" w:rsidP="002859A3">
            <w:pPr>
              <w:jc w:val="both"/>
              <w:rPr>
                <w:rFonts w:eastAsia="SimSun"/>
                <w:sz w:val="18"/>
                <w:szCs w:val="18"/>
                <w:lang w:eastAsia="zh-CN"/>
              </w:rPr>
            </w:pPr>
            <w:r w:rsidRPr="00700EAC">
              <w:rPr>
                <w:sz w:val="18"/>
                <w:szCs w:val="18"/>
                <w:lang w:eastAsia="zh-CN"/>
              </w:rPr>
              <w:t xml:space="preserve">Case </w:t>
            </w:r>
            <w:r w:rsidRPr="00700EAC">
              <w:rPr>
                <w:rFonts w:eastAsia="SimSun" w:hint="eastAsia"/>
                <w:sz w:val="18"/>
                <w:szCs w:val="18"/>
                <w:lang w:eastAsia="zh-CN"/>
              </w:rPr>
              <w:t>d</w:t>
            </w:r>
          </w:p>
        </w:tc>
        <w:tc>
          <w:tcPr>
            <w:tcW w:w="2115" w:type="dxa"/>
            <w:shd w:val="clear" w:color="auto" w:fill="auto"/>
          </w:tcPr>
          <w:p w14:paraId="41CB4747" w14:textId="77777777" w:rsidR="00700EAC" w:rsidRPr="00700EAC" w:rsidRDefault="00700EAC" w:rsidP="002859A3">
            <w:pPr>
              <w:jc w:val="both"/>
              <w:rPr>
                <w:sz w:val="18"/>
                <w:szCs w:val="18"/>
                <w:lang w:eastAsia="zh-CN"/>
              </w:rPr>
            </w:pPr>
            <w:r w:rsidRPr="00700EAC">
              <w:rPr>
                <w:sz w:val="18"/>
                <w:szCs w:val="18"/>
                <w:lang w:eastAsia="zh-CN"/>
              </w:rPr>
              <w:t>26dBm</w:t>
            </w:r>
          </w:p>
        </w:tc>
        <w:tc>
          <w:tcPr>
            <w:tcW w:w="2133" w:type="dxa"/>
            <w:shd w:val="clear" w:color="auto" w:fill="auto"/>
          </w:tcPr>
          <w:p w14:paraId="2E7A4124" w14:textId="77777777" w:rsidR="00700EAC" w:rsidRPr="00700EAC" w:rsidRDefault="00700EAC" w:rsidP="002859A3">
            <w:pPr>
              <w:jc w:val="both"/>
              <w:rPr>
                <w:sz w:val="18"/>
                <w:szCs w:val="18"/>
                <w:lang w:eastAsia="zh-CN"/>
              </w:rPr>
            </w:pPr>
            <w:r w:rsidRPr="00700EAC">
              <w:rPr>
                <w:sz w:val="18"/>
                <w:szCs w:val="18"/>
                <w:lang w:eastAsia="zh-CN"/>
              </w:rPr>
              <w:t>26dBm</w:t>
            </w:r>
          </w:p>
        </w:tc>
        <w:tc>
          <w:tcPr>
            <w:tcW w:w="2133" w:type="dxa"/>
            <w:shd w:val="clear" w:color="auto" w:fill="auto"/>
          </w:tcPr>
          <w:p w14:paraId="2321CD75" w14:textId="77777777" w:rsidR="00700EAC" w:rsidRPr="00700EAC" w:rsidRDefault="00700EAC" w:rsidP="002859A3">
            <w:pPr>
              <w:jc w:val="both"/>
              <w:rPr>
                <w:sz w:val="18"/>
                <w:szCs w:val="18"/>
                <w:lang w:eastAsia="zh-CN"/>
              </w:rPr>
            </w:pPr>
            <w:r w:rsidRPr="00700EAC">
              <w:rPr>
                <w:sz w:val="18"/>
                <w:szCs w:val="18"/>
                <w:lang w:eastAsia="zh-CN"/>
              </w:rPr>
              <w:t>2</w:t>
            </w:r>
            <w:r w:rsidRPr="00700EAC">
              <w:rPr>
                <w:rFonts w:eastAsia="SimSun" w:hint="eastAsia"/>
                <w:sz w:val="18"/>
                <w:szCs w:val="18"/>
                <w:lang w:eastAsia="zh-CN"/>
              </w:rPr>
              <w:t>6</w:t>
            </w:r>
            <w:r w:rsidRPr="00700EAC">
              <w:rPr>
                <w:sz w:val="18"/>
                <w:szCs w:val="18"/>
                <w:lang w:eastAsia="zh-CN"/>
              </w:rPr>
              <w:t>dBm</w:t>
            </w:r>
          </w:p>
        </w:tc>
      </w:tr>
    </w:tbl>
    <w:p w14:paraId="3292046B" w14:textId="77777777" w:rsidR="00700EAC" w:rsidRDefault="00700EAC" w:rsidP="005010EC">
      <w:pPr>
        <w:rPr>
          <w:lang w:val="en-US"/>
        </w:rPr>
      </w:pPr>
    </w:p>
    <w:p w14:paraId="3FBFDF84" w14:textId="0C1F9489" w:rsidR="00FA19BB" w:rsidRDefault="008F2394" w:rsidP="005010EC">
      <w:pPr>
        <w:rPr>
          <w:lang w:val="en-US"/>
        </w:rPr>
      </w:pPr>
      <w:r>
        <w:rPr>
          <w:lang w:val="en-US"/>
        </w:rPr>
        <w:lastRenderedPageBreak/>
        <w:t>The power class of the UE is PC2 so it is bound to a composite maximum output power of 26 dBm when summing the power in each carrier.  However, since the UE is assumed to carry 23 dBm and 26 dBm capable transmitters that can operate concurrently, the UE is actually capable of delivering up to 28 dB</w:t>
      </w:r>
      <w:r w:rsidR="00E678DE">
        <w:rPr>
          <w:lang w:val="en-US"/>
        </w:rPr>
        <w:t>m ignoring aspects related to SAR, coexistence, and emissions for the moment.  Similarly, the case d from [</w:t>
      </w:r>
      <w:r w:rsidR="00067B92">
        <w:rPr>
          <w:lang w:val="en-US"/>
        </w:rPr>
        <w:t>2</w:t>
      </w:r>
      <w:r w:rsidR="00E678DE">
        <w:rPr>
          <w:lang w:val="en-US"/>
        </w:rPr>
        <w:t xml:space="preserve">] represents a UE with 26+26 dBm configuration which would be capable of delivering 29 dBm.  </w:t>
      </w:r>
    </w:p>
    <w:p w14:paraId="34EFE568" w14:textId="0BD9EE37" w:rsidR="00E678DE" w:rsidRPr="00E678DE" w:rsidRDefault="00E678DE" w:rsidP="005010EC">
      <w:pPr>
        <w:rPr>
          <w:b/>
          <w:bCs/>
          <w:lang w:val="en-US"/>
        </w:rPr>
      </w:pPr>
      <w:r w:rsidRPr="00E678DE">
        <w:rPr>
          <w:b/>
          <w:bCs/>
          <w:lang w:val="en-US"/>
        </w:rPr>
        <w:t>Observation</w:t>
      </w:r>
      <w:r w:rsidR="00241C1B">
        <w:rPr>
          <w:b/>
          <w:bCs/>
          <w:lang w:val="en-US"/>
        </w:rPr>
        <w:t xml:space="preserve"> 1</w:t>
      </w:r>
      <w:r w:rsidRPr="00E678DE">
        <w:rPr>
          <w:b/>
          <w:bCs/>
          <w:lang w:val="en-US"/>
        </w:rPr>
        <w:t>:  The dual-PA equipped UE (case b, c, and d of [</w:t>
      </w:r>
      <w:r w:rsidR="00067B92">
        <w:rPr>
          <w:b/>
          <w:bCs/>
          <w:lang w:val="en-US"/>
        </w:rPr>
        <w:t>2</w:t>
      </w:r>
      <w:r w:rsidRPr="00E678DE">
        <w:rPr>
          <w:b/>
          <w:bCs/>
          <w:lang w:val="en-US"/>
        </w:rPr>
        <w:t>]) is hardware capable of delivering higher output power, but is artificially constrained by the power class definition</w:t>
      </w:r>
      <w:r w:rsidR="00BA74F3">
        <w:rPr>
          <w:b/>
          <w:bCs/>
          <w:lang w:val="en-US"/>
        </w:rPr>
        <w:t xml:space="preserve"> for UL CA</w:t>
      </w:r>
      <w:r w:rsidRPr="00E678DE">
        <w:rPr>
          <w:b/>
          <w:bCs/>
          <w:lang w:val="en-US"/>
        </w:rPr>
        <w:t>.</w:t>
      </w:r>
    </w:p>
    <w:p w14:paraId="0F95EFED" w14:textId="3C6330C9" w:rsidR="00E678DE" w:rsidRDefault="0071419C" w:rsidP="0071419C">
      <w:pPr>
        <w:tabs>
          <w:tab w:val="left" w:pos="525"/>
          <w:tab w:val="left" w:pos="6870"/>
        </w:tabs>
        <w:rPr>
          <w:lang w:val="en-US"/>
        </w:rPr>
      </w:pPr>
      <w:r>
        <w:rPr>
          <w:lang w:val="en-US"/>
        </w:rPr>
        <w:t xml:space="preserve">To fully take advantage of the hardware capability </w:t>
      </w:r>
      <w:r w:rsidRPr="00067B92">
        <w:rPr>
          <w:i/>
          <w:iCs/>
          <w:lang w:val="en-US"/>
        </w:rPr>
        <w:t>already present in the UE</w:t>
      </w:r>
      <w:r>
        <w:rPr>
          <w:lang w:val="en-US"/>
        </w:rPr>
        <w:t>, we seek to lift the restriction on maximum output power imposed by the power class definition.</w:t>
      </w:r>
      <w:r w:rsidR="00F6425F">
        <w:rPr>
          <w:lang w:val="en-US"/>
        </w:rPr>
        <w:t xml:space="preserve">  Before discussing the method to remove output power restriction</w:t>
      </w:r>
      <w:r w:rsidR="0035719D">
        <w:rPr>
          <w:lang w:val="en-US"/>
        </w:rPr>
        <w:t>s</w:t>
      </w:r>
      <w:r w:rsidR="00F6425F">
        <w:rPr>
          <w:lang w:val="en-US"/>
        </w:rPr>
        <w:t xml:space="preserve"> in the specification, we first evaluate the impact to other related requirements.</w:t>
      </w:r>
    </w:p>
    <w:p w14:paraId="385FF615" w14:textId="0CB7DA65" w:rsidR="00F6425F" w:rsidRDefault="00F6425F" w:rsidP="00F6425F">
      <w:pPr>
        <w:pStyle w:val="Heading2"/>
        <w:rPr>
          <w:lang w:val="en-US"/>
        </w:rPr>
      </w:pPr>
      <w:r>
        <w:rPr>
          <w:lang w:val="en-US"/>
        </w:rPr>
        <w:t>Impact to requirements</w:t>
      </w:r>
    </w:p>
    <w:p w14:paraId="530B5BE8" w14:textId="7ACA1E4A" w:rsidR="00434CAE" w:rsidRDefault="00F6425F" w:rsidP="00F6425F">
      <w:pPr>
        <w:rPr>
          <w:lang w:val="en-US"/>
        </w:rPr>
      </w:pPr>
      <w:r>
        <w:rPr>
          <w:lang w:val="en-US"/>
        </w:rPr>
        <w:t xml:space="preserve">In the course of studying and specifying higher output power classes, </w:t>
      </w:r>
      <w:r w:rsidR="0035719D">
        <w:rPr>
          <w:lang w:val="en-US"/>
        </w:rPr>
        <w:t xml:space="preserve">it has been recognized that other requirements besides maximum output power are impacted.  </w:t>
      </w:r>
      <w:r w:rsidR="008F3758">
        <w:rPr>
          <w:lang w:val="en-US"/>
        </w:rPr>
        <w:t xml:space="preserve">These include ACLR, MPR/A-MPR, </w:t>
      </w:r>
      <w:r w:rsidR="00822B86">
        <w:rPr>
          <w:lang w:val="en-US"/>
        </w:rPr>
        <w:t>and SAR.</w:t>
      </w:r>
    </w:p>
    <w:p w14:paraId="0441FA89" w14:textId="6BD277E5" w:rsidR="00F6425F" w:rsidRDefault="0035719D" w:rsidP="00F6425F">
      <w:pPr>
        <w:rPr>
          <w:lang w:val="en-US"/>
        </w:rPr>
      </w:pPr>
      <w:r>
        <w:rPr>
          <w:lang w:val="en-US"/>
        </w:rPr>
        <w:t>Coexistence</w:t>
      </w:r>
      <w:r w:rsidR="001E4C9A">
        <w:rPr>
          <w:lang w:val="en-US"/>
        </w:rPr>
        <w:t xml:space="preserve"> was the first such requirement to be studied for both PC2 and PC1.5.</w:t>
      </w:r>
      <w:r w:rsidR="00613022">
        <w:rPr>
          <w:lang w:val="en-US"/>
        </w:rPr>
        <w:t xml:space="preserve">  </w:t>
      </w:r>
      <w:r w:rsidR="00F84D33">
        <w:rPr>
          <w:lang w:val="en-US"/>
        </w:rPr>
        <w:t>For PC2 it was agreed to tighten UE ACLR by 1 dB from 30 dB to 31 dB to facilitate coexistence.  For PC 1.5, the same</w:t>
      </w:r>
      <w:r w:rsidR="00434CAE">
        <w:rPr>
          <w:lang w:val="en-US"/>
        </w:rPr>
        <w:t xml:space="preserve"> tightening of 1 dB relative to PC3 resulting in </w:t>
      </w:r>
      <w:r w:rsidR="00F84D33">
        <w:rPr>
          <w:lang w:val="en-US"/>
        </w:rPr>
        <w:t>31 dB ACLR was agreed [</w:t>
      </w:r>
      <w:r w:rsidR="00434CAE">
        <w:rPr>
          <w:lang w:val="en-US"/>
        </w:rPr>
        <w:t>6</w:t>
      </w:r>
      <w:r w:rsidR="00F84D33">
        <w:rPr>
          <w:lang w:val="en-US"/>
        </w:rPr>
        <w:t>]</w:t>
      </w:r>
      <w:r w:rsidR="00434CAE">
        <w:rPr>
          <w:lang w:val="en-US"/>
        </w:rPr>
        <w:t xml:space="preserve">.  Therefore, for the case b, c, </w:t>
      </w:r>
      <w:r w:rsidR="00BA74F3">
        <w:rPr>
          <w:lang w:val="en-US"/>
        </w:rPr>
        <w:t xml:space="preserve">and </w:t>
      </w:r>
      <w:r w:rsidR="00434CAE">
        <w:rPr>
          <w:lang w:val="en-US"/>
        </w:rPr>
        <w:t>d UE’s, the maximum power is 28, 28, and 29 dB where it has already been shown that coexistence can be achieved with the same ACLR as PC</w:t>
      </w:r>
      <w:r w:rsidR="00BA74F3">
        <w:rPr>
          <w:lang w:val="en-US"/>
        </w:rPr>
        <w:t>2</w:t>
      </w:r>
      <w:r w:rsidR="00434CAE">
        <w:rPr>
          <w:lang w:val="en-US"/>
        </w:rPr>
        <w:t xml:space="preserve">.  Coexistence is not impacted then as long as the transmission power is less than or equal to 29 dB and the ACLR is </w:t>
      </w:r>
      <w:r w:rsidR="00AD6B6C">
        <w:rPr>
          <w:lang w:val="en-US"/>
        </w:rPr>
        <w:t xml:space="preserve">no worse than </w:t>
      </w:r>
      <w:r w:rsidR="00434CAE">
        <w:rPr>
          <w:lang w:val="en-US"/>
        </w:rPr>
        <w:t>31 dB</w:t>
      </w:r>
      <w:r w:rsidR="00BA74F3">
        <w:rPr>
          <w:lang w:val="en-US"/>
        </w:rPr>
        <w:t xml:space="preserve"> which is already required for PC2</w:t>
      </w:r>
      <w:r w:rsidR="00434CAE">
        <w:rPr>
          <w:lang w:val="en-US"/>
        </w:rPr>
        <w:t>.</w:t>
      </w:r>
    </w:p>
    <w:p w14:paraId="3FA3D25B" w14:textId="5B5356BB" w:rsidR="00E86C2F" w:rsidRDefault="00434CAE" w:rsidP="00F6425F">
      <w:pPr>
        <w:rPr>
          <w:lang w:val="en-US"/>
        </w:rPr>
      </w:pPr>
      <w:r>
        <w:rPr>
          <w:lang w:val="en-US"/>
        </w:rPr>
        <w:t>MPR and A-MPR</w:t>
      </w:r>
      <w:r w:rsidR="00193FB9">
        <w:rPr>
          <w:lang w:val="en-US"/>
        </w:rPr>
        <w:t xml:space="preserve"> are also requirements that may be impacted by transmitting higher output power levels.  MPR and A-MPR are allowed power backoffs relative to P</w:t>
      </w:r>
      <w:r w:rsidR="00193FB9" w:rsidRPr="00193FB9">
        <w:rPr>
          <w:vertAlign w:val="subscript"/>
          <w:lang w:val="en-US"/>
        </w:rPr>
        <w:t>PowerClass</w:t>
      </w:r>
      <w:r w:rsidR="00193FB9">
        <w:rPr>
          <w:lang w:val="en-US"/>
        </w:rPr>
        <w:t xml:space="preserve"> to enable the UE to meet emission requirements.  </w:t>
      </w:r>
      <w:r w:rsidR="00E86C2F">
        <w:rPr>
          <w:lang w:val="en-US"/>
        </w:rPr>
        <w:t xml:space="preserve">For UL inter-band CA, MPR and A-MPR are defined according to their single carrier specifications; there is no additional MPR and A-MPR to account for the joint transmission from both carriers.  Therefore, for case b, c, and d, the single carrier MPR and A-MPR values are already defined and are used for inter-band UL CA as well.  Joint transmission on the two uplink carriers does not alter the MPR/A-MPR; in fact, the power class of the UL CA is immaterial since the MPR/A-MPR are taken from the single carrier requirements relative to the single carrier power class.  </w:t>
      </w:r>
    </w:p>
    <w:p w14:paraId="0321D172" w14:textId="55958983" w:rsidR="008F3758" w:rsidRDefault="008F3758" w:rsidP="00F6425F">
      <w:pPr>
        <w:rPr>
          <w:lang w:val="en-US"/>
        </w:rPr>
      </w:pPr>
      <w:r>
        <w:rPr>
          <w:lang w:val="en-US"/>
        </w:rPr>
        <w:t xml:space="preserve">SAR and thermal mitigation are important aspects to consider when transmitting at higher power levels.  </w:t>
      </w:r>
      <w:r w:rsidR="00624D6A">
        <w:rPr>
          <w:lang w:val="en-US"/>
        </w:rPr>
        <w:t xml:space="preserve">While it is still the topic of ongoing study [2], similar scenarios with higher power transmission have been handled in the 3GPP specifications by defining a UE capability on maximum uplink duty cycle.  The UE signals a maximum duty cycle it can tolerate while meeting SAR and the network scheduler should ideally schedule uplink for the UE according to its reported capability.  </w:t>
      </w:r>
      <w:r w:rsidR="00CA1C12">
        <w:rPr>
          <w:lang w:val="en-US"/>
        </w:rPr>
        <w:t>Since we are now proposing that the UE may transmit higher than the power class (i.e., higher than 26 dBm), then it may be necessary for the UE to report a lower duty cycle capability to remain within its SAR envelope.</w:t>
      </w:r>
      <w:r w:rsidR="00AD6B6C">
        <w:rPr>
          <w:lang w:val="en-US"/>
        </w:rPr>
        <w:t xml:space="preserve">  In addition, P-MPR is also available if needed.</w:t>
      </w:r>
      <w:r w:rsidR="00CA1C12">
        <w:rPr>
          <w:lang w:val="en-US"/>
        </w:rPr>
        <w:t xml:space="preserve">  As long as a UE capability reporting mechanism is available, the </w:t>
      </w:r>
      <w:r w:rsidR="00241C1B">
        <w:rPr>
          <w:lang w:val="en-US"/>
        </w:rPr>
        <w:t>UE can accommodate the possibility of higher transmit power by reporting the corresponding duty cycle limit.</w:t>
      </w:r>
      <w:r w:rsidR="00930248">
        <w:rPr>
          <w:lang w:val="en-US"/>
        </w:rPr>
        <w:t xml:space="preserve">  One might anticipate that the overall duty cycle would lie between 25% and 50% for a UE with maximum transmission power between 26 and 29 dBm.</w:t>
      </w:r>
    </w:p>
    <w:p w14:paraId="702D5A31" w14:textId="0424220D" w:rsidR="00822B86" w:rsidRPr="00822B86" w:rsidRDefault="00822B86" w:rsidP="00F6425F">
      <w:pPr>
        <w:rPr>
          <w:b/>
          <w:bCs/>
          <w:lang w:val="en-US"/>
        </w:rPr>
      </w:pPr>
      <w:r w:rsidRPr="00822B86">
        <w:rPr>
          <w:b/>
          <w:bCs/>
          <w:lang w:val="en-US"/>
        </w:rPr>
        <w:t xml:space="preserve">Observation 2:  Coexistence, MPR and A-MPR, and uplink duty cycle capability reporting specifications can be reused without modification </w:t>
      </w:r>
      <w:r w:rsidR="00F74D4C">
        <w:rPr>
          <w:b/>
          <w:bCs/>
          <w:lang w:val="en-US"/>
        </w:rPr>
        <w:t xml:space="preserve">even </w:t>
      </w:r>
      <w:r w:rsidRPr="00822B86">
        <w:rPr>
          <w:b/>
          <w:bCs/>
          <w:lang w:val="en-US"/>
        </w:rPr>
        <w:t>if the case b, c, or d UE is allowed to transmit above PC2 power levels.</w:t>
      </w:r>
    </w:p>
    <w:p w14:paraId="7B5A2CE3" w14:textId="6193CEB6" w:rsidR="001B7481" w:rsidRDefault="00822B86" w:rsidP="00F6425F">
      <w:pPr>
        <w:rPr>
          <w:lang w:val="en-US"/>
        </w:rPr>
      </w:pPr>
      <w:r>
        <w:rPr>
          <w:lang w:val="en-US"/>
        </w:rPr>
        <w:t xml:space="preserve">On the other hand, </w:t>
      </w:r>
      <w:r w:rsidR="00241C1B">
        <w:rPr>
          <w:lang w:val="en-US"/>
        </w:rPr>
        <w:t xml:space="preserve">MSD </w:t>
      </w:r>
      <w:r w:rsidR="001B7481">
        <w:rPr>
          <w:lang w:val="en-US"/>
        </w:rPr>
        <w:t xml:space="preserve">may be </w:t>
      </w:r>
      <w:r>
        <w:rPr>
          <w:lang w:val="en-US"/>
        </w:rPr>
        <w:t xml:space="preserve">potential problem </w:t>
      </w:r>
      <w:r w:rsidR="001B7481">
        <w:rPr>
          <w:lang w:val="en-US"/>
        </w:rPr>
        <w:t xml:space="preserve">with higher transmitter power causing greater interference.  For synchronized TDD band combinations, this would not be a problem since the Tx and Rx are not active simultaneously.  For harmonic MSD this would not be a problem since this MSD is already derived assuming full power from a single transmitter, either 23 dBm or 26 dBm.  </w:t>
      </w:r>
      <w:r w:rsidR="009D63CA">
        <w:rPr>
          <w:lang w:val="en-US"/>
        </w:rPr>
        <w:t xml:space="preserve">The same conclusion for cross-band isolation MSD can also be made.  </w:t>
      </w:r>
      <w:r w:rsidR="001B7481">
        <w:rPr>
          <w:lang w:val="en-US"/>
        </w:rPr>
        <w:t xml:space="preserve">However, for 2UL IMD the MSD </w:t>
      </w:r>
      <w:r w:rsidR="006C71F9">
        <w:rPr>
          <w:lang w:val="en-US"/>
        </w:rPr>
        <w:t xml:space="preserve">has typically been </w:t>
      </w:r>
      <w:r w:rsidR="001B7481">
        <w:rPr>
          <w:lang w:val="en-US"/>
        </w:rPr>
        <w:t>derived based on simultaneous transmission with a maximum total output power of 26 dBm, i.e., 23 dBm output at each transmitter</w:t>
      </w:r>
      <w:r w:rsidR="006C71F9">
        <w:rPr>
          <w:lang w:val="en-US"/>
        </w:rPr>
        <w:t>, for PC2</w:t>
      </w:r>
      <w:r w:rsidR="001B7481">
        <w:rPr>
          <w:lang w:val="en-US"/>
        </w:rPr>
        <w:t xml:space="preserve">.  Therefore, the 2UL IMD would </w:t>
      </w:r>
      <w:r w:rsidR="006C71F9">
        <w:rPr>
          <w:lang w:val="en-US"/>
        </w:rPr>
        <w:t>need to consider</w:t>
      </w:r>
      <w:r w:rsidR="001B7481">
        <w:rPr>
          <w:lang w:val="en-US"/>
        </w:rPr>
        <w:t xml:space="preserve"> the case of simultaneous transmission with maximum total output power of 28 dBm for case b and c </w:t>
      </w:r>
      <w:r w:rsidR="00187204">
        <w:rPr>
          <w:lang w:val="en-US"/>
        </w:rPr>
        <w:t>and</w:t>
      </w:r>
      <w:r w:rsidR="001B7481">
        <w:rPr>
          <w:lang w:val="en-US"/>
        </w:rPr>
        <w:t xml:space="preserve"> 29 dBm for case d.  </w:t>
      </w:r>
      <w:r w:rsidR="006C71F9">
        <w:rPr>
          <w:lang w:val="en-US"/>
        </w:rPr>
        <w:t xml:space="preserve">Since the MSD has not yet been evaluated for 2UL CA this work is forthcoming; however, it should be cautioned that reusing MSD from previous derivations for PC2 </w:t>
      </w:r>
      <w:r w:rsidR="00F74D4C">
        <w:rPr>
          <w:lang w:val="en-US"/>
        </w:rPr>
        <w:t>c</w:t>
      </w:r>
      <w:r w:rsidR="006C71F9">
        <w:rPr>
          <w:lang w:val="en-US"/>
        </w:rPr>
        <w:t>ould underestimate the MSD.</w:t>
      </w:r>
    </w:p>
    <w:p w14:paraId="3A3876BF" w14:textId="7E6EA8E1" w:rsidR="00187204" w:rsidRPr="004437C9" w:rsidRDefault="00187204" w:rsidP="00F6425F">
      <w:pPr>
        <w:rPr>
          <w:lang w:val="en-US"/>
        </w:rPr>
      </w:pPr>
      <w:r>
        <w:rPr>
          <w:lang w:val="en-US"/>
        </w:rPr>
        <w:t xml:space="preserve">Another concern </w:t>
      </w:r>
      <w:r w:rsidR="00F74D4C">
        <w:rPr>
          <w:lang w:val="en-US"/>
        </w:rPr>
        <w:t>is the r</w:t>
      </w:r>
      <w:r>
        <w:rPr>
          <w:lang w:val="en-US"/>
        </w:rPr>
        <w:t xml:space="preserve">egulatory limits on output power </w:t>
      </w:r>
      <w:r w:rsidR="00F74D4C">
        <w:rPr>
          <w:lang w:val="en-US"/>
        </w:rPr>
        <w:t xml:space="preserve">imposed </w:t>
      </w:r>
      <w:r>
        <w:rPr>
          <w:lang w:val="en-US"/>
        </w:rPr>
        <w:t xml:space="preserve">in </w:t>
      </w:r>
      <w:r w:rsidR="001B7481">
        <w:rPr>
          <w:lang w:val="en-US"/>
        </w:rPr>
        <w:t>some countries</w:t>
      </w:r>
      <w:r>
        <w:rPr>
          <w:lang w:val="en-US"/>
        </w:rPr>
        <w:t xml:space="preserve">.  There may be a limit on maximum transmit power of 26 dBm or even 23 dBm.  </w:t>
      </w:r>
      <w:r w:rsidR="002935B8">
        <w:rPr>
          <w:lang w:val="en-US"/>
        </w:rPr>
        <w:t>However, regu</w:t>
      </w:r>
      <w:r w:rsidR="00F74D4C">
        <w:rPr>
          <w:lang w:val="en-US"/>
        </w:rPr>
        <w:t>l</w:t>
      </w:r>
      <w:r w:rsidR="002935B8">
        <w:rPr>
          <w:lang w:val="en-US"/>
        </w:rPr>
        <w:t xml:space="preserve">atory limits are usually imposed per-band since different regulations apply over different frequency ranges.  In case of inter-band UL CA across different bands, the regulatory limits may </w:t>
      </w:r>
      <w:r w:rsidR="00F74D4C">
        <w:rPr>
          <w:lang w:val="en-US"/>
        </w:rPr>
        <w:t>only apply individually to each band</w:t>
      </w:r>
      <w:r w:rsidR="002935B8">
        <w:rPr>
          <w:lang w:val="en-US"/>
        </w:rPr>
        <w:t xml:space="preserve"> unless there is a composite per-UE requirement.  </w:t>
      </w:r>
      <w:r>
        <w:rPr>
          <w:lang w:val="en-US"/>
        </w:rPr>
        <w:t xml:space="preserve">If a UE signals support of PC2 for UL CA, then the network may not anticipate that the UE could deliver more than 26 dBm.  </w:t>
      </w:r>
      <w:r>
        <w:rPr>
          <w:lang w:val="en-US"/>
        </w:rPr>
        <w:lastRenderedPageBreak/>
        <w:t xml:space="preserve">One possible solution is for the network to </w:t>
      </w:r>
      <w:r w:rsidR="004437C9">
        <w:rPr>
          <w:lang w:val="en-US"/>
        </w:rPr>
        <w:t>signal</w:t>
      </w:r>
      <w:r>
        <w:rPr>
          <w:lang w:val="en-US"/>
        </w:rPr>
        <w:t xml:space="preserve"> </w:t>
      </w:r>
      <w:r w:rsidR="004437C9" w:rsidRPr="001C0CC4">
        <w:rPr>
          <w:lang w:bidi="bn-IN"/>
        </w:rPr>
        <w:t>P</w:t>
      </w:r>
      <w:r w:rsidR="004437C9" w:rsidRPr="001C0CC4">
        <w:rPr>
          <w:vertAlign w:val="subscript"/>
          <w:lang w:bidi="bn-IN"/>
        </w:rPr>
        <w:t>EMAX,CA</w:t>
      </w:r>
      <w:r w:rsidR="004437C9">
        <w:rPr>
          <w:lang w:bidi="bn-IN"/>
        </w:rPr>
        <w:t xml:space="preserve"> in those deployments where regulatory restrictions on output power apply.  </w:t>
      </w:r>
    </w:p>
    <w:p w14:paraId="2C089478" w14:textId="3740A8E1" w:rsidR="00241C1B" w:rsidRDefault="001B7481" w:rsidP="00F6425F">
      <w:pPr>
        <w:rPr>
          <w:b/>
          <w:bCs/>
          <w:lang w:bidi="bn-IN"/>
        </w:rPr>
      </w:pPr>
      <w:r w:rsidRPr="004437C9">
        <w:rPr>
          <w:b/>
          <w:bCs/>
          <w:lang w:val="en-US"/>
        </w:rPr>
        <w:t xml:space="preserve">Observation 3:  </w:t>
      </w:r>
      <w:r w:rsidR="004437C9" w:rsidRPr="004437C9">
        <w:rPr>
          <w:b/>
          <w:bCs/>
          <w:lang w:val="en-US"/>
        </w:rPr>
        <w:t xml:space="preserve">MSD due to </w:t>
      </w:r>
      <w:r w:rsidRPr="004437C9">
        <w:rPr>
          <w:b/>
          <w:bCs/>
          <w:lang w:val="en-US"/>
        </w:rPr>
        <w:t xml:space="preserve">2UL IMD </w:t>
      </w:r>
      <w:r w:rsidR="004437C9" w:rsidRPr="004437C9">
        <w:rPr>
          <w:b/>
          <w:bCs/>
          <w:lang w:val="en-US"/>
        </w:rPr>
        <w:t xml:space="preserve">should be evaluated </w:t>
      </w:r>
      <w:r w:rsidR="00F74D4C">
        <w:rPr>
          <w:b/>
          <w:bCs/>
          <w:lang w:val="en-US"/>
        </w:rPr>
        <w:t xml:space="preserve">for </w:t>
      </w:r>
      <w:r w:rsidR="004437C9" w:rsidRPr="004437C9">
        <w:rPr>
          <w:b/>
          <w:bCs/>
          <w:lang w:val="en-US"/>
        </w:rPr>
        <w:t xml:space="preserve">maximum </w:t>
      </w:r>
      <w:r w:rsidR="00F74D4C">
        <w:rPr>
          <w:b/>
          <w:bCs/>
          <w:lang w:val="en-US"/>
        </w:rPr>
        <w:t xml:space="preserve">combined </w:t>
      </w:r>
      <w:r w:rsidR="004437C9" w:rsidRPr="004437C9">
        <w:rPr>
          <w:b/>
          <w:bCs/>
          <w:lang w:val="en-US"/>
        </w:rPr>
        <w:t xml:space="preserve">output power </w:t>
      </w:r>
      <w:r w:rsidR="00F74D4C">
        <w:rPr>
          <w:b/>
          <w:bCs/>
          <w:lang w:val="en-US"/>
        </w:rPr>
        <w:t>of up to 29 dBm</w:t>
      </w:r>
      <w:r w:rsidR="004437C9" w:rsidRPr="004437C9">
        <w:rPr>
          <w:b/>
          <w:bCs/>
          <w:lang w:val="en-US"/>
        </w:rPr>
        <w:t xml:space="preserve">.  Regulatory limits on maximum output power should also be considered.  One possible solution is </w:t>
      </w:r>
      <w:r w:rsidR="004437C9" w:rsidRPr="004437C9">
        <w:rPr>
          <w:lang w:bidi="bn-IN"/>
        </w:rPr>
        <w:t>P</w:t>
      </w:r>
      <w:r w:rsidR="004437C9" w:rsidRPr="004437C9">
        <w:rPr>
          <w:vertAlign w:val="subscript"/>
          <w:lang w:bidi="bn-IN"/>
        </w:rPr>
        <w:t>EMAX,CA</w:t>
      </w:r>
      <w:r w:rsidR="004437C9" w:rsidRPr="004437C9">
        <w:rPr>
          <w:b/>
          <w:bCs/>
          <w:lang w:bidi="bn-IN"/>
        </w:rPr>
        <w:t xml:space="preserve"> signaling</w:t>
      </w:r>
      <w:r w:rsidR="002935B8">
        <w:rPr>
          <w:b/>
          <w:bCs/>
          <w:lang w:bidi="bn-IN"/>
        </w:rPr>
        <w:t xml:space="preserve"> if needed</w:t>
      </w:r>
      <w:r w:rsidR="004437C9" w:rsidRPr="004437C9">
        <w:rPr>
          <w:b/>
          <w:bCs/>
          <w:lang w:bidi="bn-IN"/>
        </w:rPr>
        <w:t>.</w:t>
      </w:r>
    </w:p>
    <w:p w14:paraId="4BE0DF40" w14:textId="6DBFAC9E" w:rsidR="001B7481" w:rsidRDefault="001B7481" w:rsidP="001B7481">
      <w:pPr>
        <w:pStyle w:val="Heading2"/>
        <w:rPr>
          <w:lang w:val="en-US"/>
        </w:rPr>
      </w:pPr>
      <w:r>
        <w:rPr>
          <w:lang w:val="en-US"/>
        </w:rPr>
        <w:t>Implementation in the specification</w:t>
      </w:r>
    </w:p>
    <w:p w14:paraId="5FF21697" w14:textId="0DCA4CB8" w:rsidR="00700EAC" w:rsidRDefault="001B7481" w:rsidP="001B7481">
      <w:pPr>
        <w:rPr>
          <w:lang w:val="en-US"/>
        </w:rPr>
      </w:pPr>
      <w:r>
        <w:rPr>
          <w:lang w:val="en-US"/>
        </w:rPr>
        <w:t xml:space="preserve">In order to enable higher transmit power for UL CA with dual Tx case b, c, or d, two </w:t>
      </w:r>
      <w:r w:rsidR="00700EAC">
        <w:rPr>
          <w:lang w:val="en-US"/>
        </w:rPr>
        <w:t>options</w:t>
      </w:r>
      <w:r>
        <w:rPr>
          <w:lang w:val="en-US"/>
        </w:rPr>
        <w:t xml:space="preserve"> exist</w:t>
      </w:r>
      <w:r w:rsidR="00700EAC">
        <w:rPr>
          <w:lang w:val="en-US"/>
        </w:rPr>
        <w:t xml:space="preserve"> – either define new power classes for 28 dBm and 29 dBm for UL CA with dual Tx, or retain the PC2 power class but modify the upper limit on transmit power.  The option to define a new power class is well understood.  In this case, the new power class is specified with an assumption of dual Tx.  In fact, PC 1.5 for 29 dBm has already been defined with an assumption of dual Tx, but was limited to UL MIMO, TxDiv, and intra-band EN-DC</w:t>
      </w:r>
      <w:r w:rsidR="002E4BBD">
        <w:rPr>
          <w:lang w:val="en-US"/>
        </w:rPr>
        <w:t xml:space="preserve"> [5]</w:t>
      </w:r>
      <w:r w:rsidR="00700EAC">
        <w:rPr>
          <w:lang w:val="en-US"/>
        </w:rPr>
        <w:t xml:space="preserve">.  </w:t>
      </w:r>
      <w:r w:rsidR="000A3B71">
        <w:rPr>
          <w:lang w:val="en-US"/>
        </w:rPr>
        <w:t>T</w:t>
      </w:r>
      <w:r w:rsidR="00C76913">
        <w:rPr>
          <w:lang w:val="en-US"/>
        </w:rPr>
        <w:t>o avoid the definition of new power classes, a PC2 power class can enable higher power transmission if the P</w:t>
      </w:r>
      <w:r w:rsidR="00C76913" w:rsidRPr="00C76913">
        <w:rPr>
          <w:vertAlign w:val="subscript"/>
          <w:lang w:val="en-US"/>
        </w:rPr>
        <w:t>CMAX_H</w:t>
      </w:r>
      <w:r w:rsidR="00C76913" w:rsidRPr="00C76913">
        <w:rPr>
          <w:lang w:val="en-US"/>
        </w:rPr>
        <w:t xml:space="preserve"> </w:t>
      </w:r>
      <w:r w:rsidR="00C76913">
        <w:rPr>
          <w:lang w:val="en-US"/>
        </w:rPr>
        <w:t>is modified.  The upper bound on configured power is given by the following equation for inter-band UL CA</w:t>
      </w:r>
    </w:p>
    <w:p w14:paraId="1462BC58" w14:textId="77777777" w:rsidR="00C76913" w:rsidRPr="001C0CC4" w:rsidRDefault="00C76913" w:rsidP="00C76913">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3BBB6AE6" w14:textId="1AD02BE2" w:rsidR="00504B06" w:rsidRDefault="00C76913" w:rsidP="001B7481">
      <w:pPr>
        <w:rPr>
          <w:lang w:val="en-US"/>
        </w:rPr>
      </w:pPr>
      <w:r>
        <w:rPr>
          <w:lang w:val="en-US"/>
        </w:rPr>
        <w:t>Thus, for PC2 UL CA P</w:t>
      </w:r>
      <w:r w:rsidRPr="00C76913">
        <w:rPr>
          <w:vertAlign w:val="subscript"/>
          <w:lang w:val="en-US"/>
        </w:rPr>
        <w:t>PowerClass</w:t>
      </w:r>
      <w:r>
        <w:rPr>
          <w:lang w:val="en-US"/>
        </w:rPr>
        <w:t xml:space="preserve"> is 26 dBm and will limit the maximum output power for case b, c, and d.  If P</w:t>
      </w:r>
      <w:r w:rsidRPr="00C76913">
        <w:rPr>
          <w:vertAlign w:val="subscript"/>
          <w:lang w:val="en-US"/>
        </w:rPr>
        <w:t>PowerClass</w:t>
      </w:r>
      <w:r>
        <w:rPr>
          <w:lang w:val="en-US"/>
        </w:rPr>
        <w:t xml:space="preserve"> is removed from the P</w:t>
      </w:r>
      <w:r w:rsidRPr="00C76913">
        <w:rPr>
          <w:vertAlign w:val="subscript"/>
          <w:lang w:val="en-US"/>
        </w:rPr>
        <w:t>CMAX_H</w:t>
      </w:r>
      <w:r w:rsidRPr="00C76913">
        <w:rPr>
          <w:lang w:val="en-US"/>
        </w:rPr>
        <w:t xml:space="preserve"> </w:t>
      </w:r>
      <w:r>
        <w:rPr>
          <w:lang w:val="en-US"/>
        </w:rPr>
        <w:t>equation, then the UL CA P</w:t>
      </w:r>
      <w:r w:rsidRPr="00C76913">
        <w:rPr>
          <w:vertAlign w:val="subscript"/>
          <w:lang w:val="en-US"/>
        </w:rPr>
        <w:t>CMAX</w:t>
      </w:r>
      <w:r>
        <w:rPr>
          <w:lang w:val="en-US"/>
        </w:rPr>
        <w:t xml:space="preserve"> will be upper bounded by the </w:t>
      </w:r>
      <w:r w:rsidR="00504B06">
        <w:rPr>
          <w:lang w:val="en-US"/>
        </w:rPr>
        <w:t xml:space="preserve">linear </w:t>
      </w:r>
      <w:r>
        <w:rPr>
          <w:lang w:val="en-US"/>
        </w:rPr>
        <w:t xml:space="preserve">sum of the </w:t>
      </w:r>
      <w:r w:rsidR="00504B06" w:rsidRPr="001C0CC4">
        <w:rPr>
          <w:lang w:bidi="bn-IN"/>
        </w:rPr>
        <w:t>P</w:t>
      </w:r>
      <w:r w:rsidR="00504B06" w:rsidRPr="001C0CC4">
        <w:rPr>
          <w:vertAlign w:val="subscript"/>
          <w:lang w:bidi="bn-IN"/>
        </w:rPr>
        <w:t>EMAX,</w:t>
      </w:r>
      <w:r w:rsidR="00504B06">
        <w:rPr>
          <w:vertAlign w:val="subscript"/>
          <w:lang w:bidi="bn-IN"/>
        </w:rPr>
        <w:t>c</w:t>
      </w:r>
      <w:r w:rsidR="003202D5">
        <w:rPr>
          <w:lang w:bidi="bn-IN"/>
        </w:rPr>
        <w:t xml:space="preserve"> (or </w:t>
      </w:r>
      <w:r w:rsidR="003202D5" w:rsidRPr="003202D5">
        <w:rPr>
          <w:i/>
          <w:iCs/>
          <w:lang w:bidi="bn-IN"/>
        </w:rPr>
        <w:t>P-max</w:t>
      </w:r>
      <w:r w:rsidR="003202D5">
        <w:rPr>
          <w:lang w:bidi="bn-IN"/>
        </w:rPr>
        <w:t xml:space="preserve"> in 38.331)</w:t>
      </w:r>
      <w:r>
        <w:rPr>
          <w:lang w:val="en-US"/>
        </w:rPr>
        <w:t xml:space="preserve"> in each carrier</w:t>
      </w:r>
      <w:r w:rsidR="00504B06">
        <w:rPr>
          <w:lang w:val="en-US"/>
        </w:rPr>
        <w:t xml:space="preserve"> unless</w:t>
      </w:r>
      <w:r w:rsidR="00504B06" w:rsidRPr="00504B06">
        <w:rPr>
          <w:lang w:bidi="bn-IN"/>
        </w:rPr>
        <w:t xml:space="preserve"> </w:t>
      </w:r>
      <w:r w:rsidR="00504B06" w:rsidRPr="001C0CC4">
        <w:rPr>
          <w:lang w:bidi="bn-IN"/>
        </w:rPr>
        <w:t>P</w:t>
      </w:r>
      <w:r w:rsidR="00504B06" w:rsidRPr="001C0CC4">
        <w:rPr>
          <w:vertAlign w:val="subscript"/>
          <w:lang w:bidi="bn-IN"/>
        </w:rPr>
        <w:t>EMAX,CA</w:t>
      </w:r>
      <w:r w:rsidR="00504B06">
        <w:rPr>
          <w:lang w:bidi="bn-IN"/>
        </w:rPr>
        <w:t xml:space="preserve"> is signaled</w:t>
      </w:r>
      <w:r>
        <w:rPr>
          <w:lang w:val="en-US"/>
        </w:rPr>
        <w:t xml:space="preserve">.  </w:t>
      </w:r>
      <w:r w:rsidR="003202D5">
        <w:rPr>
          <w:lang w:val="en-US"/>
        </w:rPr>
        <w:t xml:space="preserve">In case </w:t>
      </w:r>
      <w:r w:rsidR="002E4BBD">
        <w:rPr>
          <w:lang w:val="en-US"/>
        </w:rPr>
        <w:t xml:space="preserve">the per-cell </w:t>
      </w:r>
      <w:r w:rsidR="003202D5" w:rsidRPr="001C0CC4">
        <w:rPr>
          <w:lang w:bidi="bn-IN"/>
        </w:rPr>
        <w:t>P</w:t>
      </w:r>
      <w:r w:rsidR="003202D5" w:rsidRPr="001C0CC4">
        <w:rPr>
          <w:vertAlign w:val="subscript"/>
          <w:lang w:bidi="bn-IN"/>
        </w:rPr>
        <w:t>EMAX,</w:t>
      </w:r>
      <w:r w:rsidR="003202D5">
        <w:rPr>
          <w:vertAlign w:val="subscript"/>
          <w:lang w:bidi="bn-IN"/>
        </w:rPr>
        <w:t>c</w:t>
      </w:r>
      <w:r w:rsidR="003202D5">
        <w:rPr>
          <w:lang w:val="en-US"/>
        </w:rPr>
        <w:t xml:space="preserve"> is not signaled, the UE reported power class capability for that cell is used in the summation. </w:t>
      </w:r>
      <w:r w:rsidR="00504B06">
        <w:rPr>
          <w:lang w:val="en-US"/>
        </w:rPr>
        <w:t>The upper limit then becomes 28 dBm or 29 dBm as desired.</w:t>
      </w:r>
    </w:p>
    <w:p w14:paraId="28B95620" w14:textId="77777777" w:rsidR="00083315" w:rsidRDefault="00083315" w:rsidP="001B7481">
      <w:pPr>
        <w:rPr>
          <w:lang w:val="en-US"/>
        </w:rPr>
      </w:pPr>
      <w:r>
        <w:rPr>
          <w:lang w:val="en-US"/>
        </w:rPr>
        <w:t>Between the option to define a new power class and the option to modify the P</w:t>
      </w:r>
      <w:r w:rsidRPr="00C76913">
        <w:rPr>
          <w:vertAlign w:val="subscript"/>
          <w:lang w:val="en-US"/>
        </w:rPr>
        <w:t>CMAX_H</w:t>
      </w:r>
      <w:r>
        <w:rPr>
          <w:lang w:val="en-US"/>
        </w:rPr>
        <w:t>, we have a preference towards modifying P</w:t>
      </w:r>
      <w:r w:rsidRPr="00C76913">
        <w:rPr>
          <w:vertAlign w:val="subscript"/>
          <w:lang w:val="en-US"/>
        </w:rPr>
        <w:t>CMAX_H</w:t>
      </w:r>
      <w:r>
        <w:rPr>
          <w:lang w:val="en-US"/>
        </w:rPr>
        <w:t xml:space="preserve">.  It is a simpler change than adding new power classes and there does not appear to be any compelling reason for the </w:t>
      </w:r>
      <w:r w:rsidRPr="001C0CC4">
        <w:rPr>
          <w:lang w:bidi="bn-IN"/>
        </w:rPr>
        <w:t>P</w:t>
      </w:r>
      <w:r w:rsidRPr="001C0CC4">
        <w:rPr>
          <w:vertAlign w:val="subscript"/>
          <w:lang w:bidi="bn-IN"/>
        </w:rPr>
        <w:t>PowerClass</w:t>
      </w:r>
      <w:r>
        <w:rPr>
          <w:lang w:val="en-US"/>
        </w:rPr>
        <w:t xml:space="preserve"> term within the </w:t>
      </w:r>
      <w:r w:rsidRPr="001C0CC4">
        <w:rPr>
          <w:lang w:bidi="bn-IN"/>
        </w:rPr>
        <w:t>P</w:t>
      </w:r>
      <w:r w:rsidRPr="001C0CC4">
        <w:rPr>
          <w:vertAlign w:val="subscript"/>
          <w:lang w:bidi="bn-IN"/>
        </w:rPr>
        <w:t>CMAX_H</w:t>
      </w:r>
      <w:r>
        <w:rPr>
          <w:lang w:val="en-US"/>
        </w:rPr>
        <w:t xml:space="preserve"> to being with. </w:t>
      </w:r>
    </w:p>
    <w:p w14:paraId="590964F5" w14:textId="6B8EC949" w:rsidR="00083315" w:rsidRPr="00083315" w:rsidRDefault="00083315" w:rsidP="001B7481">
      <w:pPr>
        <w:rPr>
          <w:b/>
          <w:bCs/>
          <w:lang w:val="en-US"/>
        </w:rPr>
      </w:pPr>
      <w:r w:rsidRPr="00083315">
        <w:rPr>
          <w:b/>
          <w:bCs/>
          <w:lang w:val="en-US"/>
        </w:rPr>
        <w:t xml:space="preserve">Proposal:  Remove the </w:t>
      </w:r>
      <w:r w:rsidRPr="007F74C1">
        <w:rPr>
          <w:lang w:bidi="bn-IN"/>
        </w:rPr>
        <w:t>P</w:t>
      </w:r>
      <w:r w:rsidRPr="007F74C1">
        <w:rPr>
          <w:vertAlign w:val="subscript"/>
          <w:lang w:bidi="bn-IN"/>
        </w:rPr>
        <w:t>PowerClass</w:t>
      </w:r>
      <w:r w:rsidRPr="00083315">
        <w:rPr>
          <w:b/>
          <w:bCs/>
          <w:lang w:val="en-US"/>
        </w:rPr>
        <w:t xml:space="preserve"> term within the </w:t>
      </w:r>
      <w:r w:rsidRPr="007F74C1">
        <w:rPr>
          <w:lang w:bidi="bn-IN"/>
        </w:rPr>
        <w:t>P</w:t>
      </w:r>
      <w:r w:rsidRPr="007F74C1">
        <w:rPr>
          <w:vertAlign w:val="subscript"/>
          <w:lang w:bidi="bn-IN"/>
        </w:rPr>
        <w:t>CMAX_H</w:t>
      </w:r>
      <w:r w:rsidRPr="00083315">
        <w:rPr>
          <w:b/>
          <w:bCs/>
          <w:lang w:val="en-US"/>
        </w:rPr>
        <w:t xml:space="preserve"> for inter-band UL CA.</w:t>
      </w:r>
    </w:p>
    <w:p w14:paraId="0B307391" w14:textId="3F302CAE" w:rsidR="007F74C1" w:rsidRDefault="007F74C1" w:rsidP="001B7481">
      <w:pPr>
        <w:rPr>
          <w:lang w:val="en-US"/>
        </w:rPr>
      </w:pPr>
      <w:r>
        <w:rPr>
          <w:lang w:val="en-US"/>
        </w:rPr>
        <w:t xml:space="preserve">One byproduct of adjusting </w:t>
      </w:r>
      <w:r w:rsidRPr="001C0CC4">
        <w:rPr>
          <w:lang w:bidi="bn-IN"/>
        </w:rPr>
        <w:t>P</w:t>
      </w:r>
      <w:r w:rsidRPr="001C0CC4">
        <w:rPr>
          <w:vertAlign w:val="subscript"/>
          <w:lang w:bidi="bn-IN"/>
        </w:rPr>
        <w:t>CMAX_H</w:t>
      </w:r>
      <w:r>
        <w:rPr>
          <w:lang w:val="en-US"/>
        </w:rPr>
        <w:t xml:space="preserve"> instead of defining a new power class is that P</w:t>
      </w:r>
      <w:r w:rsidRPr="007F74C1">
        <w:rPr>
          <w:vertAlign w:val="subscript"/>
          <w:lang w:val="en-US"/>
        </w:rPr>
        <w:t>compensation</w:t>
      </w:r>
      <w:r>
        <w:rPr>
          <w:lang w:val="en-US"/>
        </w:rPr>
        <w:t xml:space="preserve"> and the cell reselection thresholds will not reflect the </w:t>
      </w:r>
      <w:r w:rsidR="00923AD5">
        <w:rPr>
          <w:lang w:val="en-US"/>
        </w:rPr>
        <w:t xml:space="preserve">increased power capability of the UE.  However, this increased power capability is only for UL CA, so cell-based reselection is not impacted.  </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07E6DE50" w14:textId="76EF6FAD" w:rsidR="00363513" w:rsidRDefault="00695F68" w:rsidP="00363513">
      <w:pPr>
        <w:rPr>
          <w:lang w:val="en-US"/>
        </w:rPr>
      </w:pPr>
      <w:r>
        <w:rPr>
          <w:lang w:val="en-US"/>
        </w:rPr>
        <w:t xml:space="preserve">Power class 2 UL inter-band CA is currently being discussed with open work items on SAR scheme and band combinations.  For UL CA, the UE architectures under consideration are 23+23, 23+26, 26+23, and 26+26 dBm Tx paths.  Except for the first, all of these UE architectures are capable of delivering more than 26 dBm </w:t>
      </w:r>
      <w:r w:rsidR="000D2A39">
        <w:rPr>
          <w:lang w:val="en-US"/>
        </w:rPr>
        <w:t>when summing the powers from each Tx path for UL CA</w:t>
      </w:r>
      <w:r>
        <w:rPr>
          <w:lang w:val="en-US"/>
        </w:rPr>
        <w:t xml:space="preserve">.  Given the interest in network deployments with higher UE transmit powers for cell coverage and cell edge user experience and the inherent </w:t>
      </w:r>
      <w:r w:rsidR="007759D8">
        <w:rPr>
          <w:lang w:val="en-US"/>
        </w:rPr>
        <w:t>partitioning of UE transmit power with dual simultaneous transmission for UL CA</w:t>
      </w:r>
      <w:r w:rsidR="006C71F9">
        <w:rPr>
          <w:lang w:val="en-US"/>
        </w:rPr>
        <w:t xml:space="preserve">, then fully utilizing the power capability of the UE will be beneficial.  This contribution discussed potential specification impact.  Most notable is the 2UL IMD MSD that would need to be evaluated </w:t>
      </w:r>
      <w:r w:rsidR="000D2A39">
        <w:rPr>
          <w:lang w:val="en-US"/>
        </w:rPr>
        <w:t xml:space="preserve">with in increased uplink power of up to </w:t>
      </w:r>
      <w:r w:rsidR="006C71F9">
        <w:rPr>
          <w:lang w:val="en-US"/>
        </w:rPr>
        <w:t>29 dBm.  A simple method for enabling the increase in power is also proposed.</w:t>
      </w:r>
      <w:r>
        <w:rPr>
          <w:lang w:val="en-US"/>
        </w:rPr>
        <w:t xml:space="preserve"> </w:t>
      </w:r>
    </w:p>
    <w:p w14:paraId="38B394A3" w14:textId="77777777" w:rsidR="000D2A39" w:rsidRPr="00083315" w:rsidRDefault="000D2A39" w:rsidP="000D2A39">
      <w:pPr>
        <w:rPr>
          <w:b/>
          <w:bCs/>
          <w:lang w:val="en-US"/>
        </w:rPr>
      </w:pPr>
      <w:r w:rsidRPr="00083315">
        <w:rPr>
          <w:b/>
          <w:bCs/>
          <w:lang w:val="en-US"/>
        </w:rPr>
        <w:t xml:space="preserve">Proposal:  Remove the </w:t>
      </w:r>
      <w:r w:rsidRPr="007F74C1">
        <w:rPr>
          <w:lang w:bidi="bn-IN"/>
        </w:rPr>
        <w:t>P</w:t>
      </w:r>
      <w:r w:rsidRPr="007F74C1">
        <w:rPr>
          <w:vertAlign w:val="subscript"/>
          <w:lang w:bidi="bn-IN"/>
        </w:rPr>
        <w:t>PowerClass</w:t>
      </w:r>
      <w:r w:rsidRPr="00083315">
        <w:rPr>
          <w:b/>
          <w:bCs/>
          <w:lang w:val="en-US"/>
        </w:rPr>
        <w:t xml:space="preserve"> term within the </w:t>
      </w:r>
      <w:r w:rsidRPr="007F74C1">
        <w:rPr>
          <w:lang w:bidi="bn-IN"/>
        </w:rPr>
        <w:t>P</w:t>
      </w:r>
      <w:r w:rsidRPr="007F74C1">
        <w:rPr>
          <w:vertAlign w:val="subscript"/>
          <w:lang w:bidi="bn-IN"/>
        </w:rPr>
        <w:t>CMAX_H</w:t>
      </w:r>
      <w:r w:rsidRPr="00083315">
        <w:rPr>
          <w:b/>
          <w:bCs/>
          <w:lang w:val="en-US"/>
        </w:rPr>
        <w:t xml:space="preserve"> for inter-band UL CA.</w:t>
      </w:r>
    </w:p>
    <w:p w14:paraId="370EE77B" w14:textId="77777777" w:rsidR="0090577D" w:rsidRDefault="0090577D" w:rsidP="00AE5A64">
      <w:pPr>
        <w:pStyle w:val="Heading1"/>
        <w:numPr>
          <w:ilvl w:val="0"/>
          <w:numId w:val="0"/>
        </w:numPr>
        <w:rPr>
          <w:lang w:val="en-US"/>
        </w:rPr>
      </w:pPr>
      <w:r>
        <w:rPr>
          <w:lang w:val="en-US"/>
        </w:rPr>
        <w:t>Reference</w:t>
      </w:r>
    </w:p>
    <w:p w14:paraId="0C8A25ED" w14:textId="435399F7" w:rsidR="00067B92" w:rsidRDefault="00067B92" w:rsidP="00067B92">
      <w:pPr>
        <w:numPr>
          <w:ilvl w:val="0"/>
          <w:numId w:val="2"/>
        </w:numPr>
        <w:tabs>
          <w:tab w:val="left" w:pos="1080"/>
        </w:tabs>
        <w:rPr>
          <w:lang w:val="en-US" w:eastAsia="x-none"/>
        </w:rPr>
      </w:pPr>
      <w:bookmarkStart w:id="1" w:name="_Hlk859252"/>
      <w:r>
        <w:rPr>
          <w:lang w:val="en-US" w:eastAsia="x-none"/>
        </w:rPr>
        <w:t>RP-202102, “</w:t>
      </w:r>
      <w:r w:rsidRPr="00067B92">
        <w:rPr>
          <w:lang w:val="en-US" w:eastAsia="x-none"/>
        </w:rPr>
        <w:t>New WID: High power UE (power class 2) for NR inter-band Carrier Aggregation with 2 bands downlink and 2 bands uplink</w:t>
      </w:r>
      <w:r>
        <w:rPr>
          <w:lang w:val="en-US" w:eastAsia="x-none"/>
        </w:rPr>
        <w:t>,” China Telecom</w:t>
      </w:r>
    </w:p>
    <w:p w14:paraId="0CFA3D15" w14:textId="66C41C9A" w:rsidR="00067B92" w:rsidRDefault="00067B92" w:rsidP="00067B92">
      <w:pPr>
        <w:numPr>
          <w:ilvl w:val="0"/>
          <w:numId w:val="2"/>
        </w:numPr>
        <w:tabs>
          <w:tab w:val="left" w:pos="1080"/>
        </w:tabs>
        <w:rPr>
          <w:lang w:val="en-US" w:eastAsia="x-none"/>
        </w:rPr>
      </w:pPr>
      <w:r w:rsidRPr="008F2394">
        <w:rPr>
          <w:lang w:val="en-US" w:eastAsia="x-none"/>
        </w:rPr>
        <w:t>RP-201584, “Revised WID: SAR schemes for UE power class 2 (PC2) for NR inter-band Carrier Aggregation and supplemental uplink (SUL) configurations with 2 bands UL</w:t>
      </w:r>
      <w:r>
        <w:rPr>
          <w:lang w:val="en-US" w:eastAsia="x-none"/>
        </w:rPr>
        <w:t>,” China Telecom</w:t>
      </w:r>
    </w:p>
    <w:p w14:paraId="7D48A0D1" w14:textId="496F1BA5" w:rsidR="00E71AC3" w:rsidRDefault="008F5FF5" w:rsidP="00BE18B7">
      <w:pPr>
        <w:numPr>
          <w:ilvl w:val="0"/>
          <w:numId w:val="2"/>
        </w:numPr>
        <w:tabs>
          <w:tab w:val="left" w:pos="1080"/>
        </w:tabs>
        <w:rPr>
          <w:lang w:val="en-US" w:eastAsia="x-none"/>
        </w:rPr>
      </w:pPr>
      <w:r>
        <w:rPr>
          <w:lang w:val="en-US" w:eastAsia="x-none"/>
        </w:rPr>
        <w:t>R</w:t>
      </w:r>
      <w:r w:rsidR="003329D6">
        <w:rPr>
          <w:lang w:val="en-US" w:eastAsia="x-none"/>
        </w:rPr>
        <w:t>P-</w:t>
      </w:r>
      <w:r w:rsidR="00E71AC3">
        <w:rPr>
          <w:lang w:val="en-US" w:eastAsia="x-none"/>
        </w:rPr>
        <w:t>201337, “</w:t>
      </w:r>
      <w:r w:rsidR="00E71AC3" w:rsidRPr="00E71AC3">
        <w:rPr>
          <w:lang w:val="en-US" w:eastAsia="x-none"/>
        </w:rPr>
        <w:t>New WID: Power Class 2 UE for NR inter-band CA and SUL configurations with 2 bands UL</w:t>
      </w:r>
      <w:r w:rsidR="00E71AC3">
        <w:rPr>
          <w:lang w:val="en-US" w:eastAsia="x-none"/>
        </w:rPr>
        <w:t>,” China Teleco</w:t>
      </w:r>
      <w:r w:rsidR="00BE18B7">
        <w:rPr>
          <w:lang w:val="en-US" w:eastAsia="x-none"/>
        </w:rPr>
        <w:t>m</w:t>
      </w:r>
    </w:p>
    <w:p w14:paraId="265142AA" w14:textId="209B6BDD" w:rsidR="00BE18B7" w:rsidRDefault="00BE18B7" w:rsidP="00BE18B7">
      <w:pPr>
        <w:numPr>
          <w:ilvl w:val="0"/>
          <w:numId w:val="2"/>
        </w:numPr>
        <w:tabs>
          <w:tab w:val="left" w:pos="1080"/>
        </w:tabs>
        <w:rPr>
          <w:lang w:val="en-US" w:eastAsia="x-none"/>
        </w:rPr>
      </w:pPr>
      <w:r>
        <w:rPr>
          <w:lang w:val="en-US" w:eastAsia="x-none"/>
        </w:rPr>
        <w:t>RP-202079, “</w:t>
      </w:r>
      <w:r w:rsidRPr="00BE18B7">
        <w:rPr>
          <w:lang w:val="en-US" w:eastAsia="x-none"/>
        </w:rPr>
        <w:t>Revised WID on High power UE (power class 2) for EN-DC with 1 LTE band + 1 NR TDD band</w:t>
      </w:r>
      <w:r>
        <w:rPr>
          <w:lang w:val="en-US" w:eastAsia="x-none"/>
        </w:rPr>
        <w:t>,” China Unicom</w:t>
      </w:r>
    </w:p>
    <w:p w14:paraId="39C23920" w14:textId="3A64687D" w:rsidR="00BE18B7" w:rsidRDefault="00BE18B7" w:rsidP="00BE18B7">
      <w:pPr>
        <w:numPr>
          <w:ilvl w:val="0"/>
          <w:numId w:val="2"/>
        </w:numPr>
        <w:tabs>
          <w:tab w:val="left" w:pos="1080"/>
        </w:tabs>
        <w:rPr>
          <w:lang w:val="en-US" w:eastAsia="x-none"/>
        </w:rPr>
      </w:pPr>
      <w:r>
        <w:rPr>
          <w:lang w:val="en-US" w:eastAsia="x-none"/>
        </w:rPr>
        <w:lastRenderedPageBreak/>
        <w:t>RP-192738, “</w:t>
      </w:r>
      <w:r w:rsidRPr="00BE18B7">
        <w:rPr>
          <w:lang w:val="en-US" w:eastAsia="x-none"/>
        </w:rPr>
        <w:t>Revised WID for 29 dBm UE Power Class for LTE Band 41and NR Band n41</w:t>
      </w:r>
      <w:r>
        <w:rPr>
          <w:lang w:val="en-US" w:eastAsia="x-none"/>
        </w:rPr>
        <w:t>,” Sprint, CMCC</w:t>
      </w:r>
    </w:p>
    <w:p w14:paraId="46F64C55" w14:textId="1DC3F6A9" w:rsidR="008F2394" w:rsidRDefault="00434CAE" w:rsidP="00624F43">
      <w:pPr>
        <w:numPr>
          <w:ilvl w:val="0"/>
          <w:numId w:val="2"/>
        </w:numPr>
        <w:tabs>
          <w:tab w:val="left" w:pos="1080"/>
        </w:tabs>
        <w:rPr>
          <w:lang w:val="en-US" w:eastAsia="x-none"/>
        </w:rPr>
      </w:pPr>
      <w:r>
        <w:rPr>
          <w:lang w:val="en-US" w:eastAsia="x-none"/>
        </w:rPr>
        <w:t>R4-1904926, “</w:t>
      </w:r>
      <w:r w:rsidRPr="00434CAE">
        <w:rPr>
          <w:lang w:val="en-US" w:eastAsia="x-none"/>
        </w:rPr>
        <w:t>Summary and conclusions for coexistence study on 29dBm UE Power Class for LTE Band 41 and NR Band n41</w:t>
      </w:r>
      <w:r>
        <w:rPr>
          <w:lang w:val="en-US" w:eastAsia="x-none"/>
        </w:rPr>
        <w:t>,” Nokia, Sprint, Ericsson</w:t>
      </w:r>
      <w:bookmarkEnd w:id="1"/>
    </w:p>
    <w:sectPr w:rsidR="008F2394" w:rsidSect="0082407A">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6D753" w14:textId="77777777" w:rsidR="00790512" w:rsidRDefault="00790512">
      <w:r>
        <w:separator/>
      </w:r>
    </w:p>
  </w:endnote>
  <w:endnote w:type="continuationSeparator" w:id="0">
    <w:p w14:paraId="20ABD038" w14:textId="77777777" w:rsidR="00790512" w:rsidRDefault="00790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957335" w:rsidRDefault="009573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57335" w:rsidRDefault="009573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957335" w:rsidRDefault="009573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57335" w:rsidRDefault="0095733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2F3C6" w14:textId="77777777" w:rsidR="00790512" w:rsidRDefault="00790512">
      <w:r>
        <w:separator/>
      </w:r>
    </w:p>
  </w:footnote>
  <w:footnote w:type="continuationSeparator" w:id="0">
    <w:p w14:paraId="6A1C2690" w14:textId="77777777" w:rsidR="00790512" w:rsidRDefault="007905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4"/>
  </w:num>
  <w:num w:numId="3">
    <w:abstractNumId w:val="16"/>
  </w:num>
  <w:num w:numId="4">
    <w:abstractNumId w:val="20"/>
  </w:num>
  <w:num w:numId="5">
    <w:abstractNumId w:val="13"/>
  </w:num>
  <w:num w:numId="6">
    <w:abstractNumId w:val="5"/>
  </w:num>
  <w:num w:numId="7">
    <w:abstractNumId w:val="2"/>
  </w:num>
  <w:num w:numId="8">
    <w:abstractNumId w:val="15"/>
  </w:num>
  <w:num w:numId="9">
    <w:abstractNumId w:val="6"/>
  </w:num>
  <w:num w:numId="10">
    <w:abstractNumId w:val="12"/>
  </w:num>
  <w:num w:numId="11">
    <w:abstractNumId w:val="21"/>
  </w:num>
  <w:num w:numId="12">
    <w:abstractNumId w:val="4"/>
  </w:num>
  <w:num w:numId="13">
    <w:abstractNumId w:val="18"/>
  </w:num>
  <w:num w:numId="14">
    <w:abstractNumId w:val="1"/>
  </w:num>
  <w:num w:numId="15">
    <w:abstractNumId w:val="11"/>
  </w:num>
  <w:num w:numId="16">
    <w:abstractNumId w:val="7"/>
  </w:num>
  <w:num w:numId="17">
    <w:abstractNumId w:val="17"/>
  </w:num>
  <w:num w:numId="18">
    <w:abstractNumId w:val="19"/>
  </w:num>
  <w:num w:numId="19">
    <w:abstractNumId w:val="8"/>
  </w:num>
  <w:num w:numId="20">
    <w:abstractNumId w:val="9"/>
  </w:num>
  <w:num w:numId="21">
    <w:abstractNumId w:val="0"/>
  </w:num>
  <w:num w:numId="22">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01"/>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4EC"/>
    <w:rsid w:val="00034928"/>
    <w:rsid w:val="000349F9"/>
    <w:rsid w:val="00034D4C"/>
    <w:rsid w:val="00034F8D"/>
    <w:rsid w:val="000354FD"/>
    <w:rsid w:val="0003558C"/>
    <w:rsid w:val="00035828"/>
    <w:rsid w:val="0003584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85C"/>
    <w:rsid w:val="00053989"/>
    <w:rsid w:val="00053E42"/>
    <w:rsid w:val="000549BA"/>
    <w:rsid w:val="000550EF"/>
    <w:rsid w:val="000555F0"/>
    <w:rsid w:val="00055B21"/>
    <w:rsid w:val="00055F49"/>
    <w:rsid w:val="00056C5E"/>
    <w:rsid w:val="00057B8F"/>
    <w:rsid w:val="000601B0"/>
    <w:rsid w:val="000605D7"/>
    <w:rsid w:val="00060DD0"/>
    <w:rsid w:val="00061B50"/>
    <w:rsid w:val="00062AE2"/>
    <w:rsid w:val="00062E5A"/>
    <w:rsid w:val="00062F52"/>
    <w:rsid w:val="00063B14"/>
    <w:rsid w:val="0006427B"/>
    <w:rsid w:val="000642D1"/>
    <w:rsid w:val="000643A3"/>
    <w:rsid w:val="0006440F"/>
    <w:rsid w:val="000648F2"/>
    <w:rsid w:val="00064DFA"/>
    <w:rsid w:val="00065C27"/>
    <w:rsid w:val="00066EEB"/>
    <w:rsid w:val="000671C6"/>
    <w:rsid w:val="00067594"/>
    <w:rsid w:val="00067B92"/>
    <w:rsid w:val="00070561"/>
    <w:rsid w:val="00070ECC"/>
    <w:rsid w:val="00072354"/>
    <w:rsid w:val="000724BF"/>
    <w:rsid w:val="00072597"/>
    <w:rsid w:val="000725AA"/>
    <w:rsid w:val="00072830"/>
    <w:rsid w:val="00072C4C"/>
    <w:rsid w:val="000737DA"/>
    <w:rsid w:val="00074EBA"/>
    <w:rsid w:val="00074F2C"/>
    <w:rsid w:val="0007555F"/>
    <w:rsid w:val="00076DB9"/>
    <w:rsid w:val="000771C7"/>
    <w:rsid w:val="00077FE0"/>
    <w:rsid w:val="00081509"/>
    <w:rsid w:val="00081F1C"/>
    <w:rsid w:val="00082CE8"/>
    <w:rsid w:val="00083315"/>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31"/>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71"/>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5C"/>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2D6"/>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A39"/>
    <w:rsid w:val="000D2B1D"/>
    <w:rsid w:val="000D2DDE"/>
    <w:rsid w:val="000D2E2A"/>
    <w:rsid w:val="000D2F5D"/>
    <w:rsid w:val="000D3487"/>
    <w:rsid w:val="000D3CB5"/>
    <w:rsid w:val="000D4E0C"/>
    <w:rsid w:val="000D5951"/>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DA0"/>
    <w:rsid w:val="000E4FBB"/>
    <w:rsid w:val="000E58CF"/>
    <w:rsid w:val="000E5C51"/>
    <w:rsid w:val="000E60A4"/>
    <w:rsid w:val="000E6208"/>
    <w:rsid w:val="000E6F68"/>
    <w:rsid w:val="000E7110"/>
    <w:rsid w:val="000E7250"/>
    <w:rsid w:val="000E791F"/>
    <w:rsid w:val="000F0E0B"/>
    <w:rsid w:val="000F0FD2"/>
    <w:rsid w:val="000F1DA5"/>
    <w:rsid w:val="000F2C1B"/>
    <w:rsid w:val="000F3114"/>
    <w:rsid w:val="000F323B"/>
    <w:rsid w:val="000F5357"/>
    <w:rsid w:val="000F5A74"/>
    <w:rsid w:val="000F5EAE"/>
    <w:rsid w:val="000F6B31"/>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7C8"/>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CA8"/>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6E45"/>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535A"/>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CC9"/>
    <w:rsid w:val="00184E92"/>
    <w:rsid w:val="00185051"/>
    <w:rsid w:val="0018555B"/>
    <w:rsid w:val="001855CC"/>
    <w:rsid w:val="00185893"/>
    <w:rsid w:val="00186488"/>
    <w:rsid w:val="00187204"/>
    <w:rsid w:val="0018788E"/>
    <w:rsid w:val="00187E14"/>
    <w:rsid w:val="001905F3"/>
    <w:rsid w:val="0019071D"/>
    <w:rsid w:val="00190F12"/>
    <w:rsid w:val="00191D6B"/>
    <w:rsid w:val="00192293"/>
    <w:rsid w:val="001925A9"/>
    <w:rsid w:val="00192FFF"/>
    <w:rsid w:val="00193142"/>
    <w:rsid w:val="00193747"/>
    <w:rsid w:val="001937B4"/>
    <w:rsid w:val="00193FB9"/>
    <w:rsid w:val="00194403"/>
    <w:rsid w:val="00194582"/>
    <w:rsid w:val="001945E8"/>
    <w:rsid w:val="00194DEE"/>
    <w:rsid w:val="00195150"/>
    <w:rsid w:val="00195E87"/>
    <w:rsid w:val="001968A7"/>
    <w:rsid w:val="00197AE0"/>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60"/>
    <w:rsid w:val="001B4DD5"/>
    <w:rsid w:val="001B58A4"/>
    <w:rsid w:val="001B5CA4"/>
    <w:rsid w:val="001B5E69"/>
    <w:rsid w:val="001B6982"/>
    <w:rsid w:val="001B6B77"/>
    <w:rsid w:val="001B6E8F"/>
    <w:rsid w:val="001B7463"/>
    <w:rsid w:val="001B7481"/>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0412"/>
    <w:rsid w:val="001E1023"/>
    <w:rsid w:val="001E11D1"/>
    <w:rsid w:val="001E1C0D"/>
    <w:rsid w:val="001E22AF"/>
    <w:rsid w:val="001E2518"/>
    <w:rsid w:val="001E2ABF"/>
    <w:rsid w:val="001E2C3E"/>
    <w:rsid w:val="001E31EE"/>
    <w:rsid w:val="001E36A1"/>
    <w:rsid w:val="001E3907"/>
    <w:rsid w:val="001E4395"/>
    <w:rsid w:val="001E459E"/>
    <w:rsid w:val="001E4C42"/>
    <w:rsid w:val="001E4C9A"/>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4F17"/>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1C1B"/>
    <w:rsid w:val="002420FA"/>
    <w:rsid w:val="0024341E"/>
    <w:rsid w:val="00243E31"/>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3C65"/>
    <w:rsid w:val="00274205"/>
    <w:rsid w:val="0027453E"/>
    <w:rsid w:val="00274925"/>
    <w:rsid w:val="00274FBC"/>
    <w:rsid w:val="0027504A"/>
    <w:rsid w:val="002757F6"/>
    <w:rsid w:val="00275B1A"/>
    <w:rsid w:val="00275C3D"/>
    <w:rsid w:val="00275CFF"/>
    <w:rsid w:val="00276223"/>
    <w:rsid w:val="002765D8"/>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263"/>
    <w:rsid w:val="002865FA"/>
    <w:rsid w:val="002866C4"/>
    <w:rsid w:val="0028685E"/>
    <w:rsid w:val="002869C0"/>
    <w:rsid w:val="002900D1"/>
    <w:rsid w:val="00290FB2"/>
    <w:rsid w:val="0029101E"/>
    <w:rsid w:val="0029138C"/>
    <w:rsid w:val="002921C4"/>
    <w:rsid w:val="0029239C"/>
    <w:rsid w:val="0029286C"/>
    <w:rsid w:val="002932EC"/>
    <w:rsid w:val="002935B8"/>
    <w:rsid w:val="0029582E"/>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6D65"/>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D9E"/>
    <w:rsid w:val="002E1E16"/>
    <w:rsid w:val="002E1E6C"/>
    <w:rsid w:val="002E1FA4"/>
    <w:rsid w:val="002E20FA"/>
    <w:rsid w:val="002E272E"/>
    <w:rsid w:val="002E2BE9"/>
    <w:rsid w:val="002E3BD7"/>
    <w:rsid w:val="002E3E3C"/>
    <w:rsid w:val="002E407E"/>
    <w:rsid w:val="002E4193"/>
    <w:rsid w:val="002E4241"/>
    <w:rsid w:val="002E4880"/>
    <w:rsid w:val="002E4A76"/>
    <w:rsid w:val="002E4BBD"/>
    <w:rsid w:val="002E4D02"/>
    <w:rsid w:val="002E55A2"/>
    <w:rsid w:val="002E5C6F"/>
    <w:rsid w:val="002E6E5E"/>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6F2"/>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2D5"/>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9D6"/>
    <w:rsid w:val="00332DD8"/>
    <w:rsid w:val="00332E3C"/>
    <w:rsid w:val="00332FAF"/>
    <w:rsid w:val="003336B2"/>
    <w:rsid w:val="003337D9"/>
    <w:rsid w:val="00333865"/>
    <w:rsid w:val="003338B4"/>
    <w:rsid w:val="003348EF"/>
    <w:rsid w:val="003359A3"/>
    <w:rsid w:val="00336801"/>
    <w:rsid w:val="003370EF"/>
    <w:rsid w:val="00337554"/>
    <w:rsid w:val="00337613"/>
    <w:rsid w:val="00337A5E"/>
    <w:rsid w:val="003402F4"/>
    <w:rsid w:val="00340539"/>
    <w:rsid w:val="0034157C"/>
    <w:rsid w:val="00341D2E"/>
    <w:rsid w:val="00341F00"/>
    <w:rsid w:val="003427F4"/>
    <w:rsid w:val="00342D54"/>
    <w:rsid w:val="00343AE0"/>
    <w:rsid w:val="00344FE2"/>
    <w:rsid w:val="003451DC"/>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6C16"/>
    <w:rsid w:val="0035719D"/>
    <w:rsid w:val="00357459"/>
    <w:rsid w:val="003609F7"/>
    <w:rsid w:val="00360B4B"/>
    <w:rsid w:val="003612CF"/>
    <w:rsid w:val="00361435"/>
    <w:rsid w:val="00361788"/>
    <w:rsid w:val="003626C2"/>
    <w:rsid w:val="00362F30"/>
    <w:rsid w:val="003631D5"/>
    <w:rsid w:val="00363482"/>
    <w:rsid w:val="00363513"/>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947"/>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41E2"/>
    <w:rsid w:val="00385043"/>
    <w:rsid w:val="00385A3D"/>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ABD"/>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B71"/>
    <w:rsid w:val="003D0DEB"/>
    <w:rsid w:val="003D1991"/>
    <w:rsid w:val="003D1B40"/>
    <w:rsid w:val="003D1E4C"/>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6757"/>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BAE"/>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CAE"/>
    <w:rsid w:val="00434ED6"/>
    <w:rsid w:val="00435452"/>
    <w:rsid w:val="00435E1C"/>
    <w:rsid w:val="00435F2E"/>
    <w:rsid w:val="00436263"/>
    <w:rsid w:val="004368CD"/>
    <w:rsid w:val="004372F6"/>
    <w:rsid w:val="00437606"/>
    <w:rsid w:val="004401A4"/>
    <w:rsid w:val="0044043F"/>
    <w:rsid w:val="004404BA"/>
    <w:rsid w:val="00440805"/>
    <w:rsid w:val="0044086E"/>
    <w:rsid w:val="00440C6D"/>
    <w:rsid w:val="00440D3A"/>
    <w:rsid w:val="0044125C"/>
    <w:rsid w:val="004413C1"/>
    <w:rsid w:val="00441453"/>
    <w:rsid w:val="00441BB4"/>
    <w:rsid w:val="00441C17"/>
    <w:rsid w:val="004421EC"/>
    <w:rsid w:val="004422CD"/>
    <w:rsid w:val="00442857"/>
    <w:rsid w:val="00442A68"/>
    <w:rsid w:val="004430A2"/>
    <w:rsid w:val="004437C9"/>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DE2"/>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1F6"/>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2B34"/>
    <w:rsid w:val="0048385F"/>
    <w:rsid w:val="00483B86"/>
    <w:rsid w:val="00483C46"/>
    <w:rsid w:val="00483CF6"/>
    <w:rsid w:val="004845C1"/>
    <w:rsid w:val="0048493E"/>
    <w:rsid w:val="00484AB9"/>
    <w:rsid w:val="004852CF"/>
    <w:rsid w:val="0048533B"/>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305E"/>
    <w:rsid w:val="004D338B"/>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335"/>
    <w:rsid w:val="004F469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0EC"/>
    <w:rsid w:val="00501D13"/>
    <w:rsid w:val="00502A3E"/>
    <w:rsid w:val="00504B06"/>
    <w:rsid w:val="00505386"/>
    <w:rsid w:val="00505D2D"/>
    <w:rsid w:val="005068E4"/>
    <w:rsid w:val="00506CAE"/>
    <w:rsid w:val="00507279"/>
    <w:rsid w:val="00507514"/>
    <w:rsid w:val="00507B00"/>
    <w:rsid w:val="00507B9C"/>
    <w:rsid w:val="0051085A"/>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407"/>
    <w:rsid w:val="0053650A"/>
    <w:rsid w:val="005365A0"/>
    <w:rsid w:val="00536833"/>
    <w:rsid w:val="005375C1"/>
    <w:rsid w:val="00537F2E"/>
    <w:rsid w:val="0054008E"/>
    <w:rsid w:val="00540AD9"/>
    <w:rsid w:val="00540E4D"/>
    <w:rsid w:val="0054188C"/>
    <w:rsid w:val="005427B8"/>
    <w:rsid w:val="00543144"/>
    <w:rsid w:val="00543396"/>
    <w:rsid w:val="00543BDB"/>
    <w:rsid w:val="00543E5A"/>
    <w:rsid w:val="0054477C"/>
    <w:rsid w:val="00544811"/>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6E"/>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B05"/>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702"/>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465"/>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4B1"/>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1789"/>
    <w:rsid w:val="005B21F0"/>
    <w:rsid w:val="005B2846"/>
    <w:rsid w:val="005B2C09"/>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2CAC"/>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022"/>
    <w:rsid w:val="00613428"/>
    <w:rsid w:val="00613713"/>
    <w:rsid w:val="006145B9"/>
    <w:rsid w:val="00616603"/>
    <w:rsid w:val="006173AF"/>
    <w:rsid w:val="006178BC"/>
    <w:rsid w:val="00617AA7"/>
    <w:rsid w:val="006200A9"/>
    <w:rsid w:val="006205C1"/>
    <w:rsid w:val="00620688"/>
    <w:rsid w:val="00620D81"/>
    <w:rsid w:val="0062180E"/>
    <w:rsid w:val="00621FF0"/>
    <w:rsid w:val="0062255B"/>
    <w:rsid w:val="006231F3"/>
    <w:rsid w:val="0062340D"/>
    <w:rsid w:val="00623D8D"/>
    <w:rsid w:val="00623FDF"/>
    <w:rsid w:val="0062416F"/>
    <w:rsid w:val="00624D6A"/>
    <w:rsid w:val="00624E83"/>
    <w:rsid w:val="00624FD9"/>
    <w:rsid w:val="006252F1"/>
    <w:rsid w:val="00625485"/>
    <w:rsid w:val="00625715"/>
    <w:rsid w:val="006258FC"/>
    <w:rsid w:val="0062606D"/>
    <w:rsid w:val="006261CB"/>
    <w:rsid w:val="0062624E"/>
    <w:rsid w:val="006266D7"/>
    <w:rsid w:val="006268EE"/>
    <w:rsid w:val="00626F71"/>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266"/>
    <w:rsid w:val="006404BF"/>
    <w:rsid w:val="00641129"/>
    <w:rsid w:val="006411FD"/>
    <w:rsid w:val="006412FF"/>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2F36"/>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0DB"/>
    <w:rsid w:val="006804C1"/>
    <w:rsid w:val="0068130C"/>
    <w:rsid w:val="00681863"/>
    <w:rsid w:val="00681879"/>
    <w:rsid w:val="00681C86"/>
    <w:rsid w:val="00681E48"/>
    <w:rsid w:val="006837E1"/>
    <w:rsid w:val="00683A6E"/>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4E8"/>
    <w:rsid w:val="006957D1"/>
    <w:rsid w:val="00695D19"/>
    <w:rsid w:val="00695F68"/>
    <w:rsid w:val="00696D35"/>
    <w:rsid w:val="00697217"/>
    <w:rsid w:val="0069757C"/>
    <w:rsid w:val="006A094D"/>
    <w:rsid w:val="006A0A88"/>
    <w:rsid w:val="006A0FC3"/>
    <w:rsid w:val="006A110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1F9"/>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251"/>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0EAC"/>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0D3"/>
    <w:rsid w:val="007108D8"/>
    <w:rsid w:val="007113BE"/>
    <w:rsid w:val="0071157E"/>
    <w:rsid w:val="00711B27"/>
    <w:rsid w:val="00711F11"/>
    <w:rsid w:val="00712676"/>
    <w:rsid w:val="00712B7E"/>
    <w:rsid w:val="00712CBA"/>
    <w:rsid w:val="00712F16"/>
    <w:rsid w:val="00713FA4"/>
    <w:rsid w:val="0071419C"/>
    <w:rsid w:val="0071453D"/>
    <w:rsid w:val="00714EAB"/>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750"/>
    <w:rsid w:val="00726CE3"/>
    <w:rsid w:val="00726E61"/>
    <w:rsid w:val="00727071"/>
    <w:rsid w:val="00727242"/>
    <w:rsid w:val="00730A49"/>
    <w:rsid w:val="00731475"/>
    <w:rsid w:val="00731D02"/>
    <w:rsid w:val="00732D90"/>
    <w:rsid w:val="0073334B"/>
    <w:rsid w:val="00733723"/>
    <w:rsid w:val="0073383C"/>
    <w:rsid w:val="0073413D"/>
    <w:rsid w:val="0073419D"/>
    <w:rsid w:val="007366ED"/>
    <w:rsid w:val="00737096"/>
    <w:rsid w:val="0073715A"/>
    <w:rsid w:val="0074077F"/>
    <w:rsid w:val="00740E45"/>
    <w:rsid w:val="00740E7B"/>
    <w:rsid w:val="007423D7"/>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3C37"/>
    <w:rsid w:val="0076433C"/>
    <w:rsid w:val="007646C3"/>
    <w:rsid w:val="00764ABF"/>
    <w:rsid w:val="00764C90"/>
    <w:rsid w:val="00764F6B"/>
    <w:rsid w:val="00765328"/>
    <w:rsid w:val="007663F2"/>
    <w:rsid w:val="007664C6"/>
    <w:rsid w:val="00766A38"/>
    <w:rsid w:val="00766CB7"/>
    <w:rsid w:val="00767F66"/>
    <w:rsid w:val="00770C66"/>
    <w:rsid w:val="00771750"/>
    <w:rsid w:val="007719DB"/>
    <w:rsid w:val="00772D93"/>
    <w:rsid w:val="00772F91"/>
    <w:rsid w:val="0077333A"/>
    <w:rsid w:val="00773968"/>
    <w:rsid w:val="007739A8"/>
    <w:rsid w:val="00773AFC"/>
    <w:rsid w:val="00773F65"/>
    <w:rsid w:val="00774004"/>
    <w:rsid w:val="0077434B"/>
    <w:rsid w:val="007747B8"/>
    <w:rsid w:val="007754EA"/>
    <w:rsid w:val="007759D8"/>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512"/>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214"/>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0D73"/>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A14"/>
    <w:rsid w:val="007F1BC0"/>
    <w:rsid w:val="007F241C"/>
    <w:rsid w:val="007F275A"/>
    <w:rsid w:val="007F299A"/>
    <w:rsid w:val="007F2B6A"/>
    <w:rsid w:val="007F3094"/>
    <w:rsid w:val="007F321F"/>
    <w:rsid w:val="007F4C7A"/>
    <w:rsid w:val="007F51CC"/>
    <w:rsid w:val="007F5F94"/>
    <w:rsid w:val="007F6F18"/>
    <w:rsid w:val="007F74C1"/>
    <w:rsid w:val="007F7987"/>
    <w:rsid w:val="008000EE"/>
    <w:rsid w:val="00800130"/>
    <w:rsid w:val="0080055A"/>
    <w:rsid w:val="008008A4"/>
    <w:rsid w:val="00800BA3"/>
    <w:rsid w:val="008017C0"/>
    <w:rsid w:val="00801901"/>
    <w:rsid w:val="00801D20"/>
    <w:rsid w:val="00801D46"/>
    <w:rsid w:val="00801D79"/>
    <w:rsid w:val="00801FCF"/>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0C01"/>
    <w:rsid w:val="00821285"/>
    <w:rsid w:val="00821480"/>
    <w:rsid w:val="0082276A"/>
    <w:rsid w:val="00822B86"/>
    <w:rsid w:val="008238B8"/>
    <w:rsid w:val="0082407A"/>
    <w:rsid w:val="0082472F"/>
    <w:rsid w:val="00824D2A"/>
    <w:rsid w:val="00827B7C"/>
    <w:rsid w:val="00827F68"/>
    <w:rsid w:val="008302A1"/>
    <w:rsid w:val="0083059D"/>
    <w:rsid w:val="00830633"/>
    <w:rsid w:val="0083089C"/>
    <w:rsid w:val="00830B17"/>
    <w:rsid w:val="008310D9"/>
    <w:rsid w:val="00831375"/>
    <w:rsid w:val="00831816"/>
    <w:rsid w:val="008318A3"/>
    <w:rsid w:val="00831C53"/>
    <w:rsid w:val="0083247C"/>
    <w:rsid w:val="00833022"/>
    <w:rsid w:val="00833222"/>
    <w:rsid w:val="0083418A"/>
    <w:rsid w:val="00834639"/>
    <w:rsid w:val="008354CB"/>
    <w:rsid w:val="008356DC"/>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0A46"/>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4E35"/>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828"/>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A39"/>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097"/>
    <w:rsid w:val="008E65C8"/>
    <w:rsid w:val="008E666A"/>
    <w:rsid w:val="008E72F3"/>
    <w:rsid w:val="008E742E"/>
    <w:rsid w:val="008E762B"/>
    <w:rsid w:val="008F009E"/>
    <w:rsid w:val="008F010E"/>
    <w:rsid w:val="008F05D8"/>
    <w:rsid w:val="008F06EB"/>
    <w:rsid w:val="008F088C"/>
    <w:rsid w:val="008F0E38"/>
    <w:rsid w:val="008F1906"/>
    <w:rsid w:val="008F1ACD"/>
    <w:rsid w:val="008F2394"/>
    <w:rsid w:val="008F2D00"/>
    <w:rsid w:val="008F2E34"/>
    <w:rsid w:val="008F2E41"/>
    <w:rsid w:val="008F33AA"/>
    <w:rsid w:val="008F3758"/>
    <w:rsid w:val="008F38FD"/>
    <w:rsid w:val="008F455D"/>
    <w:rsid w:val="008F4EFB"/>
    <w:rsid w:val="008F532F"/>
    <w:rsid w:val="008F5EA6"/>
    <w:rsid w:val="008F5FF5"/>
    <w:rsid w:val="008F6101"/>
    <w:rsid w:val="008F6897"/>
    <w:rsid w:val="008F7FBA"/>
    <w:rsid w:val="009002D8"/>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7B4"/>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AD5"/>
    <w:rsid w:val="00923C16"/>
    <w:rsid w:val="0092405A"/>
    <w:rsid w:val="00924655"/>
    <w:rsid w:val="00925726"/>
    <w:rsid w:val="00925944"/>
    <w:rsid w:val="00926D82"/>
    <w:rsid w:val="00926EC6"/>
    <w:rsid w:val="009274B8"/>
    <w:rsid w:val="0093022F"/>
    <w:rsid w:val="00930248"/>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3F82"/>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335"/>
    <w:rsid w:val="00960905"/>
    <w:rsid w:val="00960B59"/>
    <w:rsid w:val="00960BC2"/>
    <w:rsid w:val="00960C08"/>
    <w:rsid w:val="009614BD"/>
    <w:rsid w:val="009619C2"/>
    <w:rsid w:val="00961EBB"/>
    <w:rsid w:val="00961FE2"/>
    <w:rsid w:val="009627C1"/>
    <w:rsid w:val="0096288D"/>
    <w:rsid w:val="00962D9B"/>
    <w:rsid w:val="0096319A"/>
    <w:rsid w:val="00963D84"/>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3EA8"/>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63CA"/>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46E"/>
    <w:rsid w:val="009E48F6"/>
    <w:rsid w:val="009E4C74"/>
    <w:rsid w:val="009E5727"/>
    <w:rsid w:val="009E5FE9"/>
    <w:rsid w:val="009F11C2"/>
    <w:rsid w:val="009F1D9B"/>
    <w:rsid w:val="009F1E72"/>
    <w:rsid w:val="009F1EB2"/>
    <w:rsid w:val="009F230A"/>
    <w:rsid w:val="009F3232"/>
    <w:rsid w:val="009F4335"/>
    <w:rsid w:val="009F4336"/>
    <w:rsid w:val="009F4858"/>
    <w:rsid w:val="009F48F8"/>
    <w:rsid w:val="009F5E15"/>
    <w:rsid w:val="009F6037"/>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57"/>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6ED"/>
    <w:rsid w:val="00A35A04"/>
    <w:rsid w:val="00A364D0"/>
    <w:rsid w:val="00A364F4"/>
    <w:rsid w:val="00A36F93"/>
    <w:rsid w:val="00A36FC4"/>
    <w:rsid w:val="00A40958"/>
    <w:rsid w:val="00A40A6D"/>
    <w:rsid w:val="00A41B18"/>
    <w:rsid w:val="00A41D8A"/>
    <w:rsid w:val="00A429AA"/>
    <w:rsid w:val="00A43127"/>
    <w:rsid w:val="00A431F8"/>
    <w:rsid w:val="00A43200"/>
    <w:rsid w:val="00A43DD0"/>
    <w:rsid w:val="00A44A0D"/>
    <w:rsid w:val="00A44A7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3E3"/>
    <w:rsid w:val="00A56A0E"/>
    <w:rsid w:val="00A56DCF"/>
    <w:rsid w:val="00A57C83"/>
    <w:rsid w:val="00A57D58"/>
    <w:rsid w:val="00A60442"/>
    <w:rsid w:val="00A605DA"/>
    <w:rsid w:val="00A60D41"/>
    <w:rsid w:val="00A61769"/>
    <w:rsid w:val="00A61962"/>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D66"/>
    <w:rsid w:val="00A714F3"/>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0D8B"/>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A8B"/>
    <w:rsid w:val="00A93B18"/>
    <w:rsid w:val="00A93EAF"/>
    <w:rsid w:val="00A94611"/>
    <w:rsid w:val="00A952EA"/>
    <w:rsid w:val="00A95454"/>
    <w:rsid w:val="00A95659"/>
    <w:rsid w:val="00A957F1"/>
    <w:rsid w:val="00A958A5"/>
    <w:rsid w:val="00A95ED3"/>
    <w:rsid w:val="00A966AD"/>
    <w:rsid w:val="00A971F8"/>
    <w:rsid w:val="00A9739A"/>
    <w:rsid w:val="00A97B21"/>
    <w:rsid w:val="00A97CDF"/>
    <w:rsid w:val="00AA00B9"/>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2C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D6B6C"/>
    <w:rsid w:val="00AD7447"/>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A64"/>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7A2"/>
    <w:rsid w:val="00B10832"/>
    <w:rsid w:val="00B11F52"/>
    <w:rsid w:val="00B121C9"/>
    <w:rsid w:val="00B128D7"/>
    <w:rsid w:val="00B12B67"/>
    <w:rsid w:val="00B12D6A"/>
    <w:rsid w:val="00B13D1E"/>
    <w:rsid w:val="00B14745"/>
    <w:rsid w:val="00B153E3"/>
    <w:rsid w:val="00B157E5"/>
    <w:rsid w:val="00B1623F"/>
    <w:rsid w:val="00B162B7"/>
    <w:rsid w:val="00B2023A"/>
    <w:rsid w:val="00B2068B"/>
    <w:rsid w:val="00B207E9"/>
    <w:rsid w:val="00B20AC8"/>
    <w:rsid w:val="00B20C4A"/>
    <w:rsid w:val="00B20C77"/>
    <w:rsid w:val="00B211BF"/>
    <w:rsid w:val="00B2152F"/>
    <w:rsid w:val="00B21ECA"/>
    <w:rsid w:val="00B2267D"/>
    <w:rsid w:val="00B22C12"/>
    <w:rsid w:val="00B22E28"/>
    <w:rsid w:val="00B23059"/>
    <w:rsid w:val="00B23562"/>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3C"/>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B2C"/>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5D59"/>
    <w:rsid w:val="00BA6295"/>
    <w:rsid w:val="00BA687D"/>
    <w:rsid w:val="00BA74F3"/>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8B7"/>
    <w:rsid w:val="00BE1E8B"/>
    <w:rsid w:val="00BE2082"/>
    <w:rsid w:val="00BE21E8"/>
    <w:rsid w:val="00BE22CC"/>
    <w:rsid w:val="00BE22E0"/>
    <w:rsid w:val="00BE2799"/>
    <w:rsid w:val="00BE287E"/>
    <w:rsid w:val="00BE2BB2"/>
    <w:rsid w:val="00BE3383"/>
    <w:rsid w:val="00BE38EB"/>
    <w:rsid w:val="00BE3E92"/>
    <w:rsid w:val="00BE3F08"/>
    <w:rsid w:val="00BE4B1B"/>
    <w:rsid w:val="00BE4DB0"/>
    <w:rsid w:val="00BE78AF"/>
    <w:rsid w:val="00BE7F67"/>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058"/>
    <w:rsid w:val="00C00F79"/>
    <w:rsid w:val="00C01B14"/>
    <w:rsid w:val="00C021AE"/>
    <w:rsid w:val="00C02203"/>
    <w:rsid w:val="00C02651"/>
    <w:rsid w:val="00C031BA"/>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B68"/>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370"/>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008"/>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859"/>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13"/>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38C"/>
    <w:rsid w:val="00CA1C12"/>
    <w:rsid w:val="00CA215A"/>
    <w:rsid w:val="00CA29D5"/>
    <w:rsid w:val="00CA2ED0"/>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4F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5AB"/>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CB4"/>
    <w:rsid w:val="00D12F86"/>
    <w:rsid w:val="00D132B1"/>
    <w:rsid w:val="00D13A08"/>
    <w:rsid w:val="00D13FC2"/>
    <w:rsid w:val="00D14749"/>
    <w:rsid w:val="00D1499B"/>
    <w:rsid w:val="00D14C4B"/>
    <w:rsid w:val="00D14D64"/>
    <w:rsid w:val="00D157C1"/>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655"/>
    <w:rsid w:val="00D34B7F"/>
    <w:rsid w:val="00D35BAA"/>
    <w:rsid w:val="00D36127"/>
    <w:rsid w:val="00D36249"/>
    <w:rsid w:val="00D37310"/>
    <w:rsid w:val="00D37EA5"/>
    <w:rsid w:val="00D400A9"/>
    <w:rsid w:val="00D4094B"/>
    <w:rsid w:val="00D40C2B"/>
    <w:rsid w:val="00D40F61"/>
    <w:rsid w:val="00D4104B"/>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E8"/>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6C7B"/>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088C"/>
    <w:rsid w:val="00DB0AA8"/>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7DD"/>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665"/>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0B7"/>
    <w:rsid w:val="00DF118A"/>
    <w:rsid w:val="00DF1281"/>
    <w:rsid w:val="00DF1627"/>
    <w:rsid w:val="00DF199B"/>
    <w:rsid w:val="00DF1E2D"/>
    <w:rsid w:val="00DF201C"/>
    <w:rsid w:val="00DF255E"/>
    <w:rsid w:val="00DF2ECA"/>
    <w:rsid w:val="00DF34F9"/>
    <w:rsid w:val="00DF4C20"/>
    <w:rsid w:val="00DF4C7C"/>
    <w:rsid w:val="00DF51C0"/>
    <w:rsid w:val="00DF53E9"/>
    <w:rsid w:val="00DF54A5"/>
    <w:rsid w:val="00DF5633"/>
    <w:rsid w:val="00DF6058"/>
    <w:rsid w:val="00DF6787"/>
    <w:rsid w:val="00DF7330"/>
    <w:rsid w:val="00DF79C3"/>
    <w:rsid w:val="00DF7C4C"/>
    <w:rsid w:val="00DF7EB3"/>
    <w:rsid w:val="00E0019F"/>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5E1"/>
    <w:rsid w:val="00E15E63"/>
    <w:rsid w:val="00E161A3"/>
    <w:rsid w:val="00E1689F"/>
    <w:rsid w:val="00E16CAC"/>
    <w:rsid w:val="00E1714C"/>
    <w:rsid w:val="00E17789"/>
    <w:rsid w:val="00E17C36"/>
    <w:rsid w:val="00E17D20"/>
    <w:rsid w:val="00E2017B"/>
    <w:rsid w:val="00E2122D"/>
    <w:rsid w:val="00E2249B"/>
    <w:rsid w:val="00E227BD"/>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27B"/>
    <w:rsid w:val="00E343BD"/>
    <w:rsid w:val="00E35A26"/>
    <w:rsid w:val="00E35B6C"/>
    <w:rsid w:val="00E36B2F"/>
    <w:rsid w:val="00E36B42"/>
    <w:rsid w:val="00E36D90"/>
    <w:rsid w:val="00E371C2"/>
    <w:rsid w:val="00E374C5"/>
    <w:rsid w:val="00E377D8"/>
    <w:rsid w:val="00E403AD"/>
    <w:rsid w:val="00E408DB"/>
    <w:rsid w:val="00E40900"/>
    <w:rsid w:val="00E412E7"/>
    <w:rsid w:val="00E413B2"/>
    <w:rsid w:val="00E41EFB"/>
    <w:rsid w:val="00E423DD"/>
    <w:rsid w:val="00E4265A"/>
    <w:rsid w:val="00E42BF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A41"/>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1D2"/>
    <w:rsid w:val="00E677AB"/>
    <w:rsid w:val="00E678DE"/>
    <w:rsid w:val="00E706BA"/>
    <w:rsid w:val="00E70B1B"/>
    <w:rsid w:val="00E70E9E"/>
    <w:rsid w:val="00E70EE9"/>
    <w:rsid w:val="00E71805"/>
    <w:rsid w:val="00E71AC3"/>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6C2F"/>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1B7F"/>
    <w:rsid w:val="00EB21F4"/>
    <w:rsid w:val="00EB2235"/>
    <w:rsid w:val="00EB24B0"/>
    <w:rsid w:val="00EB26A9"/>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0D60"/>
    <w:rsid w:val="00EC0FC0"/>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5D39"/>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5C5"/>
    <w:rsid w:val="00EE2F74"/>
    <w:rsid w:val="00EE389E"/>
    <w:rsid w:val="00EE38E7"/>
    <w:rsid w:val="00EE3DA3"/>
    <w:rsid w:val="00EE3E5C"/>
    <w:rsid w:val="00EE4210"/>
    <w:rsid w:val="00EE5452"/>
    <w:rsid w:val="00EE5EAF"/>
    <w:rsid w:val="00EE60F4"/>
    <w:rsid w:val="00EE676F"/>
    <w:rsid w:val="00EE6981"/>
    <w:rsid w:val="00EE6D39"/>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0E7C"/>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14EB"/>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70"/>
    <w:rsid w:val="00F34581"/>
    <w:rsid w:val="00F345D2"/>
    <w:rsid w:val="00F349CB"/>
    <w:rsid w:val="00F34A38"/>
    <w:rsid w:val="00F34BB9"/>
    <w:rsid w:val="00F354C9"/>
    <w:rsid w:val="00F35682"/>
    <w:rsid w:val="00F3615B"/>
    <w:rsid w:val="00F368B6"/>
    <w:rsid w:val="00F36A11"/>
    <w:rsid w:val="00F36C90"/>
    <w:rsid w:val="00F36D83"/>
    <w:rsid w:val="00F3756B"/>
    <w:rsid w:val="00F375E7"/>
    <w:rsid w:val="00F4013A"/>
    <w:rsid w:val="00F40694"/>
    <w:rsid w:val="00F4288E"/>
    <w:rsid w:val="00F42BC0"/>
    <w:rsid w:val="00F434D7"/>
    <w:rsid w:val="00F437E7"/>
    <w:rsid w:val="00F45965"/>
    <w:rsid w:val="00F465B3"/>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25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4D4C"/>
    <w:rsid w:val="00F7598B"/>
    <w:rsid w:val="00F75AC7"/>
    <w:rsid w:val="00F75FF6"/>
    <w:rsid w:val="00F76803"/>
    <w:rsid w:val="00F7689F"/>
    <w:rsid w:val="00F77167"/>
    <w:rsid w:val="00F802EE"/>
    <w:rsid w:val="00F823BD"/>
    <w:rsid w:val="00F8374B"/>
    <w:rsid w:val="00F83DDB"/>
    <w:rsid w:val="00F84499"/>
    <w:rsid w:val="00F84965"/>
    <w:rsid w:val="00F84D33"/>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19BB"/>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1DE0"/>
    <w:rsid w:val="00FC2762"/>
    <w:rsid w:val="00FC31A5"/>
    <w:rsid w:val="00FC41D5"/>
    <w:rsid w:val="00FC4A55"/>
    <w:rsid w:val="00FC502D"/>
    <w:rsid w:val="00FC50C6"/>
    <w:rsid w:val="00FC5AA5"/>
    <w:rsid w:val="00FC6354"/>
    <w:rsid w:val="00FC6995"/>
    <w:rsid w:val="00FD09D0"/>
    <w:rsid w:val="00FD0AAD"/>
    <w:rsid w:val="00FD0D8C"/>
    <w:rsid w:val="00FD1000"/>
    <w:rsid w:val="00FD1527"/>
    <w:rsid w:val="00FD1CC5"/>
    <w:rsid w:val="00FD1F75"/>
    <w:rsid w:val="00FD33DB"/>
    <w:rsid w:val="00FD44AA"/>
    <w:rsid w:val="00FD4A2D"/>
    <w:rsid w:val="00FD5200"/>
    <w:rsid w:val="00FD52B3"/>
    <w:rsid w:val="00FD5312"/>
    <w:rsid w:val="00FD54C9"/>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932"/>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Bullet 4" w:qFormat="1"/>
    <w:lsdException w:name="List Number 3" w:qFormat="1"/>
    <w:lsdException w:name="Title" w:qFormat="1"/>
    <w:lsdException w:name="Subtitle" w:qFormat="1"/>
    <w:lsdException w:name="Note Heading"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uiPriority w:val="39"/>
    <w:rsid w:val="00F1468E"/>
    <w:pPr>
      <w:ind w:left="1418" w:hanging="1418"/>
    </w:pPr>
  </w:style>
  <w:style w:type="paragraph" w:styleId="TOC8">
    <w:name w:val="toc 8"/>
    <w:basedOn w:val="TOC1"/>
    <w:uiPriority w:val="39"/>
    <w:rsid w:val="00F1468E"/>
    <w:pPr>
      <w:spacing w:before="180"/>
      <w:ind w:left="2693" w:hanging="2693"/>
    </w:pPr>
    <w:rPr>
      <w:b/>
    </w:rPr>
  </w:style>
  <w:style w:type="paragraph" w:styleId="TOC1">
    <w:name w:val="toc 1"/>
    <w:uiPriority w:val="39"/>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qFormat/>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uiPriority w:val="39"/>
    <w:rsid w:val="00F1468E"/>
    <w:pPr>
      <w:ind w:left="1701" w:hanging="1701"/>
    </w:pPr>
  </w:style>
  <w:style w:type="paragraph" w:styleId="TOC4">
    <w:name w:val="toc 4"/>
    <w:basedOn w:val="TOC3"/>
    <w:uiPriority w:val="39"/>
    <w:rsid w:val="00F1468E"/>
    <w:pPr>
      <w:ind w:left="1418" w:hanging="1418"/>
    </w:pPr>
  </w:style>
  <w:style w:type="paragraph" w:styleId="TOC3">
    <w:name w:val="toc 3"/>
    <w:basedOn w:val="TOC2"/>
    <w:uiPriority w:val="39"/>
    <w:rsid w:val="00F1468E"/>
    <w:pPr>
      <w:ind w:left="1134" w:hanging="1134"/>
    </w:pPr>
  </w:style>
  <w:style w:type="paragraph" w:styleId="TOC2">
    <w:name w:val="toc 2"/>
    <w:basedOn w:val="TOC1"/>
    <w:uiPriority w:val="39"/>
    <w:rsid w:val="00F1468E"/>
    <w:pPr>
      <w:keepNext w:val="0"/>
      <w:spacing w:before="0"/>
      <w:ind w:left="851" w:hanging="851"/>
    </w:pPr>
    <w:rPr>
      <w:sz w:val="20"/>
    </w:rPr>
  </w:style>
  <w:style w:type="paragraph" w:styleId="Index1">
    <w:name w:val="index 1"/>
    <w:basedOn w:val="Normal"/>
    <w:rsid w:val="00F1468E"/>
    <w:pPr>
      <w:keepLines/>
      <w:spacing w:after="0"/>
    </w:pPr>
  </w:style>
  <w:style w:type="paragraph" w:styleId="Index2">
    <w:name w:val="index 2"/>
    <w:basedOn w:val="Index1"/>
    <w:rsid w:val="00F1468E"/>
    <w:pPr>
      <w:ind w:left="284"/>
    </w:pPr>
  </w:style>
  <w:style w:type="paragraph" w:customStyle="1" w:styleId="TT">
    <w:name w:val="TT"/>
    <w:basedOn w:val="Heading1"/>
    <w:next w:val="Normal"/>
    <w:rsid w:val="00F1468E"/>
    <w:pPr>
      <w:outlineLvl w:val="9"/>
    </w:pPr>
  </w:style>
  <w:style w:type="paragraph" w:styleId="Footer">
    <w:name w:val="footer"/>
    <w:aliases w:val="footer odd,footer,fo,pie de página"/>
    <w:basedOn w:val="Header"/>
    <w:link w:val="FooterChar"/>
    <w:rsid w:val="00F1468E"/>
    <w:pPr>
      <w:jc w:val="center"/>
    </w:pPr>
    <w:rPr>
      <w:i/>
    </w:rPr>
  </w:style>
  <w:style w:type="character" w:styleId="FootnoteReference">
    <w:name w:val="footnote reference"/>
    <w:aliases w:val="Appel note de bas de p,Nota,Footnote symbol,Footnote"/>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qFormat/>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uiPriority w:val="39"/>
    <w:rsid w:val="00F1468E"/>
    <w:pPr>
      <w:ind w:left="1985" w:hanging="1985"/>
    </w:pPr>
  </w:style>
  <w:style w:type="paragraph" w:styleId="TOC7">
    <w:name w:val="toc 7"/>
    <w:basedOn w:val="TOC6"/>
    <w:next w:val="Normal"/>
    <w:uiPriority w:val="39"/>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qFormat/>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qFormat/>
    <w:rsid w:val="00F1468E"/>
    <w:pPr>
      <w:ind w:left="1418"/>
    </w:pPr>
  </w:style>
  <w:style w:type="paragraph" w:styleId="ListBullet5">
    <w:name w:val="List Bullet 5"/>
    <w:basedOn w:val="ListBullet4"/>
    <w:rsid w:val="00F1468E"/>
    <w:pPr>
      <w:ind w:left="1702"/>
    </w:pPr>
  </w:style>
  <w:style w:type="paragraph" w:customStyle="1" w:styleId="B20">
    <w:name w:val="B2"/>
    <w:basedOn w:val="List2"/>
    <w:link w:val="B2Char"/>
    <w:qFormat/>
    <w:rsid w:val="00F1468E"/>
  </w:style>
  <w:style w:type="paragraph" w:customStyle="1" w:styleId="B30">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qFormat/>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link w:val="CommentSubjectChar"/>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aliases w:val="footer odd Char,footer Char,fo Char,pie de página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uiPriority w:val="99"/>
    <w:qFormat/>
    <w:rsid w:val="00CC72C8"/>
    <w:rPr>
      <w:rFonts w:ascii="Times New Roman" w:hAnsi="Times New Roman"/>
    </w:rPr>
  </w:style>
  <w:style w:type="character" w:customStyle="1" w:styleId="BalloonTextChar">
    <w:name w:val="Balloon Text Char"/>
    <w:link w:val="BalloonText"/>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qFormat/>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3">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0"/>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customStyle="1" w:styleId="FL">
    <w:name w:val="FL"/>
    <w:basedOn w:val="Normal"/>
    <w:rsid w:val="002E6E5E"/>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UnresolvedMention1">
    <w:name w:val="Unresolved Mention1"/>
    <w:uiPriority w:val="99"/>
    <w:semiHidden/>
    <w:unhideWhenUsed/>
    <w:rsid w:val="00820C01"/>
    <w:rPr>
      <w:color w:val="808080"/>
      <w:shd w:val="clear" w:color="auto" w:fill="E6E6E6"/>
    </w:rPr>
  </w:style>
  <w:style w:type="paragraph" w:customStyle="1" w:styleId="a4">
    <w:name w:val="样式 页眉"/>
    <w:basedOn w:val="Header"/>
    <w:link w:val="Char0"/>
    <w:rsid w:val="00820C01"/>
    <w:pPr>
      <w:overflowPunct w:val="0"/>
      <w:autoSpaceDE w:val="0"/>
      <w:autoSpaceDN w:val="0"/>
      <w:adjustRightInd w:val="0"/>
      <w:textAlignment w:val="baseline"/>
    </w:pPr>
    <w:rPr>
      <w:rFonts w:eastAsia="Arial"/>
      <w:bCs/>
      <w:sz w:val="22"/>
      <w:lang w:val="en-GB"/>
    </w:rPr>
  </w:style>
  <w:style w:type="character" w:customStyle="1" w:styleId="CommentSubjectChar">
    <w:name w:val="Comment Subject Char"/>
    <w:link w:val="CommentSubject"/>
    <w:rsid w:val="00820C01"/>
    <w:rPr>
      <w:rFonts w:ascii="Times New Roman" w:hAnsi="Times New Roman"/>
      <w:b/>
      <w:bCs/>
      <w:lang w:val="en-GB"/>
    </w:rPr>
  </w:style>
  <w:style w:type="paragraph" w:customStyle="1" w:styleId="B2">
    <w:name w:val="B2+"/>
    <w:basedOn w:val="B20"/>
    <w:rsid w:val="00820C01"/>
    <w:pPr>
      <w:numPr>
        <w:numId w:val="13"/>
      </w:numPr>
      <w:overflowPunct w:val="0"/>
      <w:autoSpaceDE w:val="0"/>
      <w:autoSpaceDN w:val="0"/>
      <w:adjustRightInd w:val="0"/>
      <w:textAlignment w:val="baseline"/>
    </w:pPr>
    <w:rPr>
      <w:rFonts w:eastAsia="SimSun"/>
    </w:rPr>
  </w:style>
  <w:style w:type="paragraph" w:customStyle="1" w:styleId="B3">
    <w:name w:val="B3+"/>
    <w:basedOn w:val="B30"/>
    <w:rsid w:val="00820C01"/>
    <w:pPr>
      <w:numPr>
        <w:numId w:val="1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20C01"/>
    <w:pPr>
      <w:numPr>
        <w:numId w:val="1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20C01"/>
    <w:pPr>
      <w:numPr>
        <w:numId w:val="16"/>
      </w:numPr>
      <w:overflowPunct w:val="0"/>
      <w:autoSpaceDE w:val="0"/>
      <w:autoSpaceDN w:val="0"/>
      <w:adjustRightInd w:val="0"/>
      <w:textAlignment w:val="baseline"/>
    </w:pPr>
    <w:rPr>
      <w:rFonts w:eastAsia="SimSun"/>
    </w:rPr>
  </w:style>
  <w:style w:type="paragraph" w:customStyle="1" w:styleId="TB1">
    <w:name w:val="TB1"/>
    <w:basedOn w:val="Normal"/>
    <w:qFormat/>
    <w:rsid w:val="00820C0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20C01"/>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820C01"/>
    <w:rPr>
      <w:rFonts w:ascii="TimesNewRomanPSMT" w:hAnsi="TimesNewRomanPSMT" w:hint="default"/>
      <w:b w:val="0"/>
      <w:bCs w:val="0"/>
      <w:i w:val="0"/>
      <w:iCs w:val="0"/>
      <w:color w:val="000000"/>
      <w:sz w:val="20"/>
      <w:szCs w:val="20"/>
    </w:rPr>
  </w:style>
  <w:style w:type="character" w:customStyle="1" w:styleId="Char0">
    <w:name w:val="样式 页眉 Char"/>
    <w:link w:val="a4"/>
    <w:rsid w:val="00820C01"/>
    <w:rPr>
      <w:rFonts w:ascii="Arial" w:eastAsia="Arial" w:hAnsi="Arial"/>
      <w:b/>
      <w:bCs/>
      <w:noProof/>
      <w:sz w:val="22"/>
      <w:lang w:val="en-GB"/>
    </w:rPr>
  </w:style>
  <w:style w:type="paragraph" w:customStyle="1" w:styleId="Char2">
    <w:name w:val="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Date">
    <w:name w:val="Date"/>
    <w:basedOn w:val="Normal"/>
    <w:next w:val="Normal"/>
    <w:link w:val="DateChar"/>
    <w:rsid w:val="00820C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20C01"/>
    <w:rPr>
      <w:rFonts w:ascii="Times New Roman" w:eastAsia="MS Mincho" w:hAnsi="Times New Roman"/>
      <w:lang w:val="en-GB"/>
    </w:rPr>
  </w:style>
  <w:style w:type="paragraph" w:customStyle="1" w:styleId="AutoCorrect">
    <w:name w:val="AutoCorrect"/>
    <w:rsid w:val="00820C01"/>
    <w:rPr>
      <w:rFonts w:ascii="Times New Roman" w:eastAsia="MS Mincho" w:hAnsi="Times New Roman"/>
      <w:sz w:val="24"/>
      <w:szCs w:val="24"/>
      <w:lang w:val="en-GB" w:eastAsia="ko-KR"/>
    </w:rPr>
  </w:style>
  <w:style w:type="paragraph" w:customStyle="1" w:styleId="-PAGE-">
    <w:name w:val="- PAGE -"/>
    <w:rsid w:val="00820C01"/>
    <w:rPr>
      <w:rFonts w:ascii="Times New Roman" w:eastAsia="MS Mincho" w:hAnsi="Times New Roman"/>
      <w:sz w:val="24"/>
      <w:szCs w:val="24"/>
      <w:lang w:val="en-GB" w:eastAsia="ko-KR"/>
    </w:rPr>
  </w:style>
  <w:style w:type="paragraph" w:customStyle="1" w:styleId="Createdby">
    <w:name w:val="Created by"/>
    <w:rsid w:val="00820C01"/>
    <w:rPr>
      <w:rFonts w:ascii="Times New Roman" w:eastAsia="MS Mincho" w:hAnsi="Times New Roman"/>
      <w:sz w:val="24"/>
      <w:szCs w:val="24"/>
      <w:lang w:val="en-GB" w:eastAsia="ko-KR"/>
    </w:rPr>
  </w:style>
  <w:style w:type="paragraph" w:customStyle="1" w:styleId="Createdon">
    <w:name w:val="Created on"/>
    <w:rsid w:val="00820C01"/>
    <w:rPr>
      <w:rFonts w:ascii="Times New Roman" w:eastAsia="MS Mincho" w:hAnsi="Times New Roman"/>
      <w:sz w:val="24"/>
      <w:szCs w:val="24"/>
      <w:lang w:val="en-GB" w:eastAsia="ko-KR"/>
    </w:rPr>
  </w:style>
  <w:style w:type="paragraph" w:customStyle="1" w:styleId="Lastprinted">
    <w:name w:val="Last printed"/>
    <w:rsid w:val="00820C01"/>
    <w:rPr>
      <w:rFonts w:ascii="Times New Roman" w:eastAsia="MS Mincho" w:hAnsi="Times New Roman"/>
      <w:sz w:val="24"/>
      <w:szCs w:val="24"/>
      <w:lang w:val="en-GB" w:eastAsia="ko-KR"/>
    </w:rPr>
  </w:style>
  <w:style w:type="paragraph" w:customStyle="1" w:styleId="Lastsavedby">
    <w:name w:val="Last saved by"/>
    <w:rsid w:val="00820C01"/>
    <w:rPr>
      <w:rFonts w:ascii="Times New Roman" w:eastAsia="MS Mincho" w:hAnsi="Times New Roman"/>
      <w:sz w:val="24"/>
      <w:szCs w:val="24"/>
      <w:lang w:val="en-GB" w:eastAsia="ko-KR"/>
    </w:rPr>
  </w:style>
  <w:style w:type="paragraph" w:customStyle="1" w:styleId="Filename">
    <w:name w:val="Filename"/>
    <w:rsid w:val="00820C01"/>
    <w:rPr>
      <w:rFonts w:ascii="Times New Roman" w:eastAsia="MS Mincho" w:hAnsi="Times New Roman"/>
      <w:sz w:val="24"/>
      <w:szCs w:val="24"/>
      <w:lang w:val="en-GB" w:eastAsia="ko-KR"/>
    </w:rPr>
  </w:style>
  <w:style w:type="paragraph" w:customStyle="1" w:styleId="Filenameandpath">
    <w:name w:val="Filename and path"/>
    <w:rsid w:val="00820C01"/>
    <w:rPr>
      <w:rFonts w:ascii="Times New Roman" w:eastAsia="MS Mincho" w:hAnsi="Times New Roman"/>
      <w:sz w:val="24"/>
      <w:szCs w:val="24"/>
      <w:lang w:val="en-GB" w:eastAsia="ko-KR"/>
    </w:rPr>
  </w:style>
  <w:style w:type="paragraph" w:customStyle="1" w:styleId="AuthorPageDate">
    <w:name w:val="Author  Page #  Date"/>
    <w:rsid w:val="00820C01"/>
    <w:rPr>
      <w:rFonts w:ascii="Times New Roman" w:eastAsia="MS Mincho" w:hAnsi="Times New Roman"/>
      <w:sz w:val="24"/>
      <w:szCs w:val="24"/>
      <w:lang w:val="en-GB" w:eastAsia="ko-KR"/>
    </w:rPr>
  </w:style>
  <w:style w:type="paragraph" w:customStyle="1" w:styleId="ConfidentialPageDate">
    <w:name w:val="Confidential  Page #  Date"/>
    <w:rsid w:val="00820C01"/>
    <w:rPr>
      <w:rFonts w:ascii="Times New Roman" w:eastAsia="MS Mincho" w:hAnsi="Times New Roman"/>
      <w:sz w:val="24"/>
      <w:szCs w:val="24"/>
      <w:lang w:val="en-GB" w:eastAsia="ko-KR"/>
    </w:rPr>
  </w:style>
  <w:style w:type="paragraph" w:customStyle="1" w:styleId="13">
    <w:name w:val="修订1"/>
    <w:hidden/>
    <w:semiHidden/>
    <w:rsid w:val="00820C01"/>
    <w:rPr>
      <w:rFonts w:ascii="Times New Roman" w:eastAsia="Batang" w:hAnsi="Times New Roman"/>
      <w:lang w:val="en-GB"/>
    </w:rPr>
  </w:style>
  <w:style w:type="paragraph" w:customStyle="1" w:styleId="PageXofY">
    <w:name w:val="Page X of Y"/>
    <w:rsid w:val="00820C01"/>
    <w:rPr>
      <w:rFonts w:ascii="Times New Roman" w:eastAsia="SimSun" w:hAnsi="Times New Roman"/>
      <w:sz w:val="24"/>
      <w:szCs w:val="24"/>
      <w:lang w:val="en-GB" w:eastAsia="ko-KR"/>
    </w:rPr>
  </w:style>
  <w:style w:type="paragraph" w:customStyle="1" w:styleId="1CharChar1Char">
    <w:name w:val="(文字) (文字)1 Char (文字) (文字) Char (文字) (文字)1 Char (文字) (文字)"/>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OC">
    <w:name w:val="TaOC"/>
    <w:basedOn w:val="TAC"/>
    <w:rsid w:val="00820C01"/>
    <w:pPr>
      <w:overflowPunct w:val="0"/>
      <w:autoSpaceDE w:val="0"/>
      <w:autoSpaceDN w:val="0"/>
      <w:adjustRightInd w:val="0"/>
      <w:textAlignment w:val="baseline"/>
    </w:pPr>
    <w:rPr>
      <w:rFonts w:eastAsia="SimSun"/>
      <w:szCs w:val="18"/>
      <w:lang w:eastAsia="ja-JP"/>
    </w:rPr>
  </w:style>
  <w:style w:type="paragraph" w:customStyle="1" w:styleId="31">
    <w:name w:val="吹き出し3"/>
    <w:basedOn w:val="Normal"/>
    <w:semiHidden/>
    <w:rsid w:val="00820C01"/>
    <w:rPr>
      <w:rFonts w:ascii="Tahoma" w:eastAsia="MS Mincho" w:hAnsi="Tahoma" w:cs="Tahoma"/>
      <w:sz w:val="16"/>
      <w:szCs w:val="16"/>
    </w:rPr>
  </w:style>
  <w:style w:type="paragraph" w:customStyle="1" w:styleId="NormalArial">
    <w:name w:val="Normal + Arial"/>
    <w:aliases w:val="9 pt,Right,Right:  0,24 cm,After:  0 pt"/>
    <w:basedOn w:val="Normal"/>
    <w:rsid w:val="00820C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20C01"/>
    <w:rPr>
      <w:rFonts w:eastAsia="MS Mincho"/>
      <w:kern w:val="2"/>
    </w:rPr>
  </w:style>
  <w:style w:type="character" w:customStyle="1" w:styleId="StyleTACChar">
    <w:name w:val="Style TAC + Char"/>
    <w:link w:val="StyleTAC"/>
    <w:rsid w:val="00820C01"/>
    <w:rPr>
      <w:rFonts w:ascii="Arial" w:eastAsia="MS Mincho" w:hAnsi="Arial"/>
      <w:kern w:val="2"/>
      <w:sz w:val="18"/>
      <w:lang w:val="en-GB"/>
    </w:rPr>
  </w:style>
  <w:style w:type="character" w:customStyle="1" w:styleId="CharChar29">
    <w:name w:val="Char Char29"/>
    <w:rsid w:val="00820C01"/>
    <w:rPr>
      <w:rFonts w:ascii="Arial" w:hAnsi="Arial"/>
      <w:sz w:val="36"/>
      <w:lang w:val="en-GB" w:eastAsia="en-US" w:bidi="ar-SA"/>
    </w:rPr>
  </w:style>
  <w:style w:type="character" w:customStyle="1" w:styleId="CharChar28">
    <w:name w:val="Char Char28"/>
    <w:rsid w:val="00820C0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0C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20C01"/>
    <w:rPr>
      <w:rFonts w:ascii="Arial" w:hAnsi="Arial"/>
      <w:sz w:val="22"/>
      <w:lang w:val="en-GB" w:eastAsia="en-GB" w:bidi="ar-SA"/>
    </w:rPr>
  </w:style>
  <w:style w:type="character" w:customStyle="1" w:styleId="Heading7Char">
    <w:name w:val="Heading 7 Char"/>
    <w:link w:val="Heading7"/>
    <w:rsid w:val="00820C01"/>
    <w:rPr>
      <w:rFonts w:ascii="Arial" w:hAnsi="Arial"/>
      <w:lang w:val="en-GB"/>
    </w:rPr>
  </w:style>
  <w:style w:type="character" w:customStyle="1" w:styleId="Heading9Char">
    <w:name w:val="Heading 9 Char"/>
    <w:link w:val="Heading9"/>
    <w:rsid w:val="00820C01"/>
    <w:rPr>
      <w:rFonts w:ascii="Arial" w:hAnsi="Arial"/>
      <w:sz w:val="36"/>
      <w:lang w:val="en-GB"/>
    </w:rPr>
  </w:style>
  <w:style w:type="paragraph" w:customStyle="1" w:styleId="5">
    <w:name w:val="吹き出し5"/>
    <w:basedOn w:val="Normal"/>
    <w:semiHidden/>
    <w:rsid w:val="00820C01"/>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20C01"/>
    <w:rPr>
      <w:rFonts w:ascii="Times New Roman" w:eastAsia="Times New Roman" w:hAnsi="Times New Roman"/>
      <w:lang w:val="en-GB" w:eastAsia="ja-JP"/>
    </w:rPr>
  </w:style>
  <w:style w:type="paragraph" w:customStyle="1" w:styleId="CharCharCharCharChar2">
    <w:name w:val="Char Char Char Char 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820C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20C0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20C01"/>
    <w:rPr>
      <w:lang w:val="en-GB" w:eastAsia="ja-JP" w:bidi="ar-SA"/>
    </w:rPr>
  </w:style>
  <w:style w:type="character" w:customStyle="1" w:styleId="CharChar42">
    <w:name w:val="Char Char42"/>
    <w:rsid w:val="00820C01"/>
    <w:rPr>
      <w:rFonts w:ascii="Courier New" w:hAnsi="Courier New" w:cs="Courier New" w:hint="default"/>
      <w:lang w:val="nb-NO" w:eastAsia="ja-JP" w:bidi="ar-SA"/>
    </w:rPr>
  </w:style>
  <w:style w:type="character" w:customStyle="1" w:styleId="CharChar72">
    <w:name w:val="Char Char72"/>
    <w:semiHidden/>
    <w:rsid w:val="00820C01"/>
    <w:rPr>
      <w:rFonts w:ascii="Tahoma" w:hAnsi="Tahoma" w:cs="Tahoma" w:hint="default"/>
      <w:shd w:val="clear" w:color="auto" w:fill="000080"/>
      <w:lang w:val="en-GB" w:eastAsia="en-US"/>
    </w:rPr>
  </w:style>
  <w:style w:type="character" w:customStyle="1" w:styleId="CharChar102">
    <w:name w:val="Char Char102"/>
    <w:semiHidden/>
    <w:rsid w:val="00820C01"/>
    <w:rPr>
      <w:rFonts w:ascii="Times New Roman" w:hAnsi="Times New Roman" w:cs="Times New Roman" w:hint="default"/>
      <w:lang w:val="en-GB" w:eastAsia="en-US"/>
    </w:rPr>
  </w:style>
  <w:style w:type="character" w:customStyle="1" w:styleId="CharChar92">
    <w:name w:val="Char Char92"/>
    <w:semiHidden/>
    <w:rsid w:val="00820C01"/>
    <w:rPr>
      <w:rFonts w:ascii="Tahoma" w:hAnsi="Tahoma" w:cs="Tahoma" w:hint="default"/>
      <w:sz w:val="16"/>
      <w:szCs w:val="16"/>
      <w:lang w:val="en-GB" w:eastAsia="en-US"/>
    </w:rPr>
  </w:style>
  <w:style w:type="character" w:customStyle="1" w:styleId="CharChar82">
    <w:name w:val="Char Char82"/>
    <w:semiHidden/>
    <w:rsid w:val="00820C01"/>
    <w:rPr>
      <w:rFonts w:ascii="Times New Roman" w:hAnsi="Times New Roman" w:cs="Times New Roman" w:hint="default"/>
      <w:b/>
      <w:bCs/>
      <w:lang w:val="en-GB" w:eastAsia="en-US"/>
    </w:rPr>
  </w:style>
  <w:style w:type="character" w:customStyle="1" w:styleId="CharChar292">
    <w:name w:val="Char Char292"/>
    <w:rsid w:val="00820C01"/>
    <w:rPr>
      <w:rFonts w:ascii="Arial" w:hAnsi="Arial" w:cs="Arial" w:hint="default"/>
      <w:sz w:val="36"/>
      <w:lang w:val="en-GB" w:eastAsia="en-US" w:bidi="ar-SA"/>
    </w:rPr>
  </w:style>
  <w:style w:type="character" w:customStyle="1" w:styleId="CharChar282">
    <w:name w:val="Char Char282"/>
    <w:rsid w:val="00820C01"/>
    <w:rPr>
      <w:rFonts w:ascii="Arial" w:hAnsi="Arial" w:cs="Arial" w:hint="default"/>
      <w:sz w:val="32"/>
      <w:lang w:val="en-GB"/>
    </w:rPr>
  </w:style>
  <w:style w:type="character" w:customStyle="1" w:styleId="msoins00">
    <w:name w:val="msoins0"/>
    <w:rsid w:val="00820C01"/>
  </w:style>
  <w:style w:type="paragraph" w:customStyle="1" w:styleId="CharChar24">
    <w:name w:val="Char Char24"/>
    <w:basedOn w:val="Normal"/>
    <w:semiHidden/>
    <w:rsid w:val="00820C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20C01"/>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20C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20C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20C01"/>
    <w:rPr>
      <w:rFonts w:ascii="Times New Roman" w:eastAsia="Yu Mincho" w:hAnsi="Times New Roman"/>
      <w:lang w:val="en-GB"/>
    </w:rPr>
  </w:style>
  <w:style w:type="paragraph" w:customStyle="1" w:styleId="MotorolaResponse1">
    <w:name w:val="Motorola Response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820C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20C01"/>
    <w:rPr>
      <w:rFonts w:ascii="Times New Roman" w:eastAsia="Batang" w:hAnsi="Times New Roman"/>
      <w:sz w:val="24"/>
      <w:lang w:val="fr-FR"/>
    </w:rPr>
  </w:style>
  <w:style w:type="paragraph" w:customStyle="1" w:styleId="FBCharCharCharChar1">
    <w:name w:val="FB Char Char Char Char1"/>
    <w:next w:val="Normal"/>
    <w:semiHidden/>
    <w:rsid w:val="00820C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20C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20C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20C01"/>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20C01"/>
    <w:rPr>
      <w:rFonts w:ascii="Arial" w:eastAsia="Arial" w:hAnsi="Arial"/>
      <w:sz w:val="28"/>
      <w:lang w:val="en-GB"/>
    </w:rPr>
  </w:style>
  <w:style w:type="paragraph" w:customStyle="1" w:styleId="a">
    <w:name w:val="表格题注"/>
    <w:next w:val="Normal"/>
    <w:rsid w:val="00820C01"/>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20C01"/>
    <w:pPr>
      <w:numPr>
        <w:numId w:val="20"/>
      </w:numPr>
      <w:jc w:val="center"/>
    </w:pPr>
    <w:rPr>
      <w:rFonts w:ascii="Times New Roman" w:eastAsia="Yu Mincho" w:hAnsi="Times New Roman"/>
      <w:b/>
      <w:lang w:val="en-GB" w:eastAsia="zh-CN"/>
    </w:rPr>
  </w:style>
  <w:style w:type="character" w:customStyle="1" w:styleId="textbodybold1">
    <w:name w:val="textbodybold1"/>
    <w:rsid w:val="00820C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20C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820C01"/>
    <w:rPr>
      <w:rFonts w:ascii="Courier New" w:eastAsia="Batang" w:hAnsi="Courier New"/>
      <w:lang w:val="nb-NO" w:eastAsia="en-US" w:bidi="ar-SA"/>
    </w:rPr>
  </w:style>
  <w:style w:type="character" w:customStyle="1" w:styleId="BodyText2Char1">
    <w:name w:val="Body Text 2 Char1"/>
    <w:rsid w:val="00820C01"/>
    <w:rPr>
      <w:lang w:val="en-GB"/>
    </w:rPr>
  </w:style>
  <w:style w:type="character" w:customStyle="1" w:styleId="EndnoteTextChar1">
    <w:name w:val="Endnote Text Char1"/>
    <w:rsid w:val="00820C01"/>
    <w:rPr>
      <w:lang w:val="en-GB"/>
    </w:rPr>
  </w:style>
  <w:style w:type="character" w:customStyle="1" w:styleId="TitleChar1">
    <w:name w:val="Title Char1"/>
    <w:rsid w:val="00820C01"/>
    <w:rPr>
      <w:rFonts w:ascii="Cambria" w:eastAsia="Times New Roman" w:hAnsi="Cambria" w:cs="Times New Roman"/>
      <w:b/>
      <w:bCs/>
      <w:kern w:val="28"/>
      <w:sz w:val="32"/>
      <w:szCs w:val="32"/>
      <w:lang w:val="en-GB"/>
    </w:rPr>
  </w:style>
  <w:style w:type="character" w:customStyle="1" w:styleId="BodyTextIndent2Char1">
    <w:name w:val="Body Text Indent 2 Char1"/>
    <w:rsid w:val="00820C01"/>
    <w:rPr>
      <w:lang w:val="en-GB"/>
    </w:rPr>
  </w:style>
  <w:style w:type="character" w:customStyle="1" w:styleId="BodyTextIndentChar1">
    <w:name w:val="Body Text Indent Char1"/>
    <w:rsid w:val="00820C01"/>
    <w:rPr>
      <w:lang w:val="en-GB"/>
    </w:rPr>
  </w:style>
  <w:style w:type="character" w:customStyle="1" w:styleId="BodyText3Char1">
    <w:name w:val="Body Text 3 Char1"/>
    <w:rsid w:val="00820C01"/>
    <w:rPr>
      <w:sz w:val="16"/>
      <w:szCs w:val="16"/>
      <w:lang w:val="en-GB"/>
    </w:rPr>
  </w:style>
  <w:style w:type="paragraph" w:customStyle="1" w:styleId="LightGrid-Accent31">
    <w:name w:val="Light Grid - Accent 31"/>
    <w:basedOn w:val="Normal"/>
    <w:qFormat/>
    <w:rsid w:val="00820C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20C01"/>
    <w:rPr>
      <w:rFonts w:ascii="Times New Roman" w:eastAsia="Batang" w:hAnsi="Times New Roman"/>
      <w:lang w:val="en-GB"/>
    </w:rPr>
  </w:style>
  <w:style w:type="paragraph" w:customStyle="1" w:styleId="TOC911">
    <w:name w:val="TOC 911"/>
    <w:basedOn w:val="TOC8"/>
    <w:rsid w:val="00820C01"/>
    <w:pPr>
      <w:overflowPunct w:val="0"/>
      <w:autoSpaceDE w:val="0"/>
      <w:autoSpaceDN w:val="0"/>
      <w:adjustRightInd w:val="0"/>
      <w:ind w:left="1418" w:hanging="1418"/>
      <w:textAlignment w:val="baseline"/>
    </w:pPr>
    <w:rPr>
      <w:rFonts w:eastAsia="MS Mincho"/>
      <w:noProof w:val="0"/>
      <w:lang w:val="en-GB" w:eastAsia="en-GB"/>
    </w:rPr>
  </w:style>
  <w:style w:type="paragraph" w:customStyle="1" w:styleId="Caption11">
    <w:name w:val="Caption11"/>
    <w:basedOn w:val="Normal"/>
    <w:next w:val="Normal"/>
    <w:rsid w:val="00820C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20C0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20C01"/>
  </w:style>
  <w:style w:type="paragraph" w:customStyle="1" w:styleId="81">
    <w:name w:val="表 (赤)  81"/>
    <w:basedOn w:val="Normal"/>
    <w:uiPriority w:val="34"/>
    <w:qFormat/>
    <w:rsid w:val="00820C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20C01"/>
    <w:pPr>
      <w:spacing w:before="100" w:beforeAutospacing="1" w:after="100" w:afterAutospacing="1"/>
    </w:pPr>
    <w:rPr>
      <w:rFonts w:eastAsia="SimSun"/>
      <w:sz w:val="24"/>
      <w:szCs w:val="24"/>
      <w:lang w:val="en-US" w:eastAsia="zh-CN"/>
    </w:rPr>
  </w:style>
  <w:style w:type="table" w:styleId="TableClassic2">
    <w:name w:val="Table Classic 2"/>
    <w:basedOn w:val="TableNormal"/>
    <w:rsid w:val="00820C0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20C01"/>
    <w:rPr>
      <w:rFonts w:ascii="Times New Roman" w:eastAsia="SimSun" w:hAnsi="Times New Roman"/>
      <w:lang w:val="en-GB"/>
    </w:rPr>
  </w:style>
  <w:style w:type="character" w:styleId="PlaceholderText">
    <w:name w:val="Placeholder Text"/>
    <w:uiPriority w:val="99"/>
    <w:unhideWhenUsed/>
    <w:rsid w:val="00820C01"/>
    <w:rPr>
      <w:color w:val="808080"/>
    </w:rPr>
  </w:style>
  <w:style w:type="paragraph" w:customStyle="1" w:styleId="LGTdoc">
    <w:name w:val="LGTdoc_본문"/>
    <w:basedOn w:val="Normal"/>
    <w:rsid w:val="00820C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20C01"/>
    <w:pPr>
      <w:spacing w:after="240"/>
      <w:jc w:val="both"/>
    </w:pPr>
    <w:rPr>
      <w:rFonts w:ascii="Arial" w:eastAsia="SimSun" w:hAnsi="Arial"/>
      <w:szCs w:val="24"/>
    </w:rPr>
  </w:style>
  <w:style w:type="paragraph" w:customStyle="1" w:styleId="ECCFootnote">
    <w:name w:val="ECC Footnote"/>
    <w:basedOn w:val="Normal"/>
    <w:autoRedefine/>
    <w:uiPriority w:val="99"/>
    <w:rsid w:val="00820C0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20C01"/>
    <w:rPr>
      <w:rFonts w:ascii="Arial" w:eastAsia="SimSun" w:hAnsi="Arial"/>
      <w:szCs w:val="24"/>
      <w:lang w:val="en-GB"/>
    </w:rPr>
  </w:style>
  <w:style w:type="paragraph" w:customStyle="1" w:styleId="Text1">
    <w:name w:val="Text 1"/>
    <w:basedOn w:val="Normal"/>
    <w:rsid w:val="00820C01"/>
    <w:pPr>
      <w:spacing w:after="240"/>
      <w:ind w:left="482"/>
      <w:jc w:val="both"/>
    </w:pPr>
    <w:rPr>
      <w:rFonts w:eastAsia="SimSun"/>
      <w:sz w:val="24"/>
      <w:lang w:eastAsia="fr-BE"/>
    </w:rPr>
  </w:style>
  <w:style w:type="paragraph" w:customStyle="1" w:styleId="NumPar4">
    <w:name w:val="NumPar 4"/>
    <w:basedOn w:val="Heading4"/>
    <w:next w:val="Normal"/>
    <w:uiPriority w:val="99"/>
    <w:rsid w:val="00820C01"/>
    <w:pPr>
      <w:keepNext w:val="0"/>
      <w:keepLines w:val="0"/>
      <w:numPr>
        <w:ilvl w:val="0"/>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20C01"/>
  </w:style>
  <w:style w:type="paragraph" w:customStyle="1" w:styleId="cita">
    <w:name w:val="cita"/>
    <w:basedOn w:val="Normal"/>
    <w:rsid w:val="00820C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20C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20C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820C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20C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20C01"/>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rsid w:val="00820C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20C01"/>
    <w:rPr>
      <w:vanish w:val="0"/>
      <w:webHidden w:val="0"/>
      <w:color w:val="000000"/>
      <w:specVanish w:val="0"/>
    </w:rPr>
  </w:style>
  <w:style w:type="paragraph" w:customStyle="1" w:styleId="Equation">
    <w:name w:val="Equation"/>
    <w:basedOn w:val="Normal"/>
    <w:next w:val="Normal"/>
    <w:link w:val="EquationChar"/>
    <w:qFormat/>
    <w:rsid w:val="00820C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20C01"/>
    <w:rPr>
      <w:rFonts w:ascii="Times New Roman" w:eastAsia="SimSun" w:hAnsi="Times New Roman"/>
      <w:sz w:val="22"/>
      <w:szCs w:val="22"/>
      <w:lang w:val="en-GB"/>
    </w:rPr>
  </w:style>
  <w:style w:type="character" w:customStyle="1" w:styleId="apple-converted-space">
    <w:name w:val="apple-converted-space"/>
    <w:rsid w:val="00820C01"/>
  </w:style>
  <w:style w:type="character" w:customStyle="1" w:styleId="shorttext">
    <w:name w:val="short_text"/>
    <w:rsid w:val="00820C01"/>
  </w:style>
  <w:style w:type="character" w:styleId="SubtleReference">
    <w:name w:val="Subtle Reference"/>
    <w:uiPriority w:val="31"/>
    <w:qFormat/>
    <w:rsid w:val="00820C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0C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20C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0C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0C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20C01"/>
    <w:rPr>
      <w:rFonts w:ascii="Yu Gothic Light" w:eastAsia="Yu Gothic Light" w:hAnsi="Yu Gothic Light" w:cs="Times New Roman"/>
      <w:lang w:val="en-GB" w:eastAsia="en-US"/>
    </w:rPr>
  </w:style>
  <w:style w:type="paragraph" w:customStyle="1" w:styleId="msonormal0">
    <w:name w:val="msonormal"/>
    <w:basedOn w:val="Normal"/>
    <w:rsid w:val="00820C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20C0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0C0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0C01"/>
    <w:rPr>
      <w:rFonts w:ascii="Times New Roman" w:eastAsia="Yu Mincho" w:hAnsi="Times New Roman"/>
      <w:lang w:val="en-GB" w:eastAsia="en-US"/>
    </w:rPr>
  </w:style>
  <w:style w:type="paragraph" w:customStyle="1" w:styleId="43">
    <w:name w:val="吹き出し4"/>
    <w:basedOn w:val="Normal"/>
    <w:semiHidden/>
    <w:rsid w:val="00820C01"/>
    <w:rPr>
      <w:rFonts w:ascii="Tahoma" w:eastAsia="MS Mincho" w:hAnsi="Tahoma" w:cs="Tahoma"/>
      <w:sz w:val="16"/>
      <w:szCs w:val="16"/>
    </w:rPr>
  </w:style>
  <w:style w:type="paragraph" w:customStyle="1" w:styleId="tac0">
    <w:name w:val="tac"/>
    <w:basedOn w:val="Normal"/>
    <w:uiPriority w:val="99"/>
    <w:rsid w:val="00820C01"/>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820C01"/>
    <w:rPr>
      <w:color w:val="808080"/>
      <w:shd w:val="clear" w:color="auto" w:fill="E6E6E6"/>
    </w:rPr>
  </w:style>
  <w:style w:type="table" w:customStyle="1" w:styleId="TableGrid4">
    <w:name w:val="Table Grid4"/>
    <w:basedOn w:val="TableNormal"/>
    <w:next w:val="TableGrid"/>
    <w:rsid w:val="00820C0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20C0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20C0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20C01"/>
  </w:style>
  <w:style w:type="table" w:customStyle="1" w:styleId="311">
    <w:name w:val="网格型31"/>
    <w:basedOn w:val="TableNormal"/>
    <w:next w:val="TableGrid"/>
    <w:rsid w:val="00820C0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20C0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20C01"/>
  </w:style>
  <w:style w:type="table" w:customStyle="1" w:styleId="TableClassic21">
    <w:name w:val="Table Classic 21"/>
    <w:basedOn w:val="TableNormal"/>
    <w:next w:val="TableClassic2"/>
    <w:rsid w:val="00820C0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C01"/>
    <w:rPr>
      <w:color w:val="808080"/>
      <w:shd w:val="clear" w:color="auto" w:fill="E6E6E6"/>
    </w:rPr>
  </w:style>
  <w:style w:type="paragraph" w:styleId="TOCHeading">
    <w:name w:val="TOC Heading"/>
    <w:basedOn w:val="Heading1"/>
    <w:next w:val="Normal"/>
    <w:uiPriority w:val="39"/>
    <w:unhideWhenUsed/>
    <w:qFormat/>
    <w:rsid w:val="00820C01"/>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CharCharCharCharChar1">
    <w:name w:val="Char Char Char Char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820C01"/>
    <w:rPr>
      <w:lang w:val="en-GB" w:eastAsia="ja-JP" w:bidi="ar-SA"/>
    </w:rPr>
  </w:style>
  <w:style w:type="paragraph" w:customStyle="1" w:styleId="1Char1">
    <w:name w:val="(文字) (文字)1 Char (文字) (文字)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20C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20C01"/>
    <w:rPr>
      <w:rFonts w:ascii="Courier New" w:hAnsi="Courier New"/>
      <w:lang w:val="nb-NO" w:eastAsia="ja-JP" w:bidi="ar-SA"/>
    </w:rPr>
  </w:style>
  <w:style w:type="paragraph" w:customStyle="1" w:styleId="CharCharCharCharCharChar1">
    <w:name w:val="Char Char Char Char Char Char1"/>
    <w:semiHidden/>
    <w:rsid w:val="00820C0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820C01"/>
    <w:rPr>
      <w:rFonts w:ascii="Tahoma" w:hAnsi="Tahoma" w:cs="Tahoma"/>
      <w:shd w:val="clear" w:color="auto" w:fill="000080"/>
      <w:lang w:val="en-GB" w:eastAsia="en-US"/>
    </w:rPr>
  </w:style>
  <w:style w:type="character" w:customStyle="1" w:styleId="ZchnZchn51">
    <w:name w:val="Zchn Zchn51"/>
    <w:rsid w:val="00820C01"/>
    <w:rPr>
      <w:rFonts w:ascii="Courier New" w:eastAsia="Batang" w:hAnsi="Courier New"/>
      <w:lang w:val="nb-NO" w:eastAsia="en-US" w:bidi="ar-SA"/>
    </w:rPr>
  </w:style>
  <w:style w:type="character" w:customStyle="1" w:styleId="CharChar101">
    <w:name w:val="Char Char101"/>
    <w:semiHidden/>
    <w:rsid w:val="00820C01"/>
    <w:rPr>
      <w:rFonts w:ascii="Times New Roman" w:hAnsi="Times New Roman"/>
      <w:lang w:val="en-GB" w:eastAsia="en-US"/>
    </w:rPr>
  </w:style>
  <w:style w:type="character" w:customStyle="1" w:styleId="CharChar91">
    <w:name w:val="Char Char91"/>
    <w:semiHidden/>
    <w:rsid w:val="00820C01"/>
    <w:rPr>
      <w:rFonts w:ascii="Tahoma" w:hAnsi="Tahoma" w:cs="Tahoma"/>
      <w:sz w:val="16"/>
      <w:szCs w:val="16"/>
      <w:lang w:val="en-GB" w:eastAsia="en-US"/>
    </w:rPr>
  </w:style>
  <w:style w:type="character" w:customStyle="1" w:styleId="CharChar81">
    <w:name w:val="Char Char81"/>
    <w:semiHidden/>
    <w:rsid w:val="00820C01"/>
    <w:rPr>
      <w:rFonts w:ascii="Times New Roman" w:hAnsi="Times New Roman"/>
      <w:b/>
      <w:bCs/>
      <w:lang w:val="en-GB" w:eastAsia="en-US"/>
    </w:rPr>
  </w:style>
  <w:style w:type="paragraph" w:customStyle="1" w:styleId="23">
    <w:name w:val="修订2"/>
    <w:hidden/>
    <w:semiHidden/>
    <w:rsid w:val="00820C01"/>
    <w:rPr>
      <w:rFonts w:ascii="Times New Roman" w:eastAsia="Batang" w:hAnsi="Times New Roman"/>
      <w:lang w:val="en-GB"/>
    </w:rPr>
  </w:style>
  <w:style w:type="paragraph" w:customStyle="1" w:styleId="1CharChar1Char1">
    <w:name w:val="(文字) (文字)1 Char (文字) (文字) Char (文字) (文字)1 Char (文字) (文字)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820C0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820C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20C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20C01"/>
    <w:rPr>
      <w:rFonts w:ascii="Arial" w:hAnsi="Arial"/>
      <w:sz w:val="36"/>
      <w:lang w:val="en-GB" w:eastAsia="en-US" w:bidi="ar-SA"/>
    </w:rPr>
  </w:style>
  <w:style w:type="character" w:customStyle="1" w:styleId="CharChar281">
    <w:name w:val="Char Char281"/>
    <w:rsid w:val="00820C01"/>
    <w:rPr>
      <w:rFonts w:ascii="Arial" w:hAnsi="Arial"/>
      <w:sz w:val="32"/>
      <w:lang w:val="en-GB"/>
    </w:rPr>
  </w:style>
  <w:style w:type="paragraph" w:customStyle="1" w:styleId="CharChar241">
    <w:name w:val="Char Char241"/>
    <w:basedOn w:val="Normal"/>
    <w:semiHidden/>
    <w:rsid w:val="00820C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820C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820C01"/>
  </w:style>
  <w:style w:type="numbering" w:customStyle="1" w:styleId="NoList3">
    <w:name w:val="No List3"/>
    <w:next w:val="NoList"/>
    <w:uiPriority w:val="99"/>
    <w:semiHidden/>
    <w:unhideWhenUsed/>
    <w:rsid w:val="00820C01"/>
  </w:style>
  <w:style w:type="numbering" w:customStyle="1" w:styleId="NoList11">
    <w:name w:val="No List11"/>
    <w:next w:val="NoList"/>
    <w:uiPriority w:val="99"/>
    <w:semiHidden/>
    <w:unhideWhenUsed/>
    <w:rsid w:val="00820C01"/>
  </w:style>
  <w:style w:type="numbering" w:customStyle="1" w:styleId="NoList4">
    <w:name w:val="No List4"/>
    <w:next w:val="NoList"/>
    <w:uiPriority w:val="99"/>
    <w:semiHidden/>
    <w:unhideWhenUsed/>
    <w:rsid w:val="00820C01"/>
  </w:style>
  <w:style w:type="numbering" w:customStyle="1" w:styleId="NoList5">
    <w:name w:val="No List5"/>
    <w:next w:val="NoList"/>
    <w:uiPriority w:val="99"/>
    <w:semiHidden/>
    <w:unhideWhenUsed/>
    <w:rsid w:val="00820C01"/>
  </w:style>
  <w:style w:type="numbering" w:customStyle="1" w:styleId="NoList111">
    <w:name w:val="No List111"/>
    <w:next w:val="NoList"/>
    <w:uiPriority w:val="99"/>
    <w:semiHidden/>
    <w:unhideWhenUsed/>
    <w:rsid w:val="00820C01"/>
  </w:style>
  <w:style w:type="numbering" w:customStyle="1" w:styleId="NoList21">
    <w:name w:val="No List21"/>
    <w:next w:val="NoList"/>
    <w:uiPriority w:val="99"/>
    <w:semiHidden/>
    <w:unhideWhenUsed/>
    <w:rsid w:val="00820C01"/>
  </w:style>
  <w:style w:type="numbering" w:customStyle="1" w:styleId="NoList31">
    <w:name w:val="No List31"/>
    <w:next w:val="NoList"/>
    <w:uiPriority w:val="99"/>
    <w:semiHidden/>
    <w:unhideWhenUsed/>
    <w:rsid w:val="00820C01"/>
  </w:style>
  <w:style w:type="numbering" w:customStyle="1" w:styleId="NoList41">
    <w:name w:val="No List41"/>
    <w:next w:val="NoList"/>
    <w:uiPriority w:val="99"/>
    <w:semiHidden/>
    <w:unhideWhenUsed/>
    <w:rsid w:val="00820C01"/>
  </w:style>
  <w:style w:type="numbering" w:customStyle="1" w:styleId="NoList6">
    <w:name w:val="No List6"/>
    <w:next w:val="NoList"/>
    <w:uiPriority w:val="99"/>
    <w:semiHidden/>
    <w:unhideWhenUsed/>
    <w:rsid w:val="00820C01"/>
  </w:style>
  <w:style w:type="character" w:styleId="Emphasis">
    <w:name w:val="Emphasis"/>
    <w:qFormat/>
    <w:rsid w:val="00820C01"/>
    <w:rPr>
      <w:i/>
      <w:iCs/>
    </w:rPr>
  </w:style>
  <w:style w:type="numbering" w:customStyle="1" w:styleId="NoList7">
    <w:name w:val="No List7"/>
    <w:next w:val="NoList"/>
    <w:uiPriority w:val="99"/>
    <w:semiHidden/>
    <w:unhideWhenUsed/>
    <w:rsid w:val="00820C01"/>
  </w:style>
  <w:style w:type="table" w:customStyle="1" w:styleId="TableGrid12">
    <w:name w:val="Table Grid12"/>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C01"/>
  </w:style>
  <w:style w:type="table" w:customStyle="1" w:styleId="TableGrid111">
    <w:name w:val="Table Grid11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20C01"/>
    <w:rPr>
      <w:color w:val="808080"/>
      <w:shd w:val="clear" w:color="auto" w:fill="E6E6E6"/>
    </w:rPr>
  </w:style>
  <w:style w:type="numbering" w:customStyle="1" w:styleId="NoList22">
    <w:name w:val="No List22"/>
    <w:next w:val="NoList"/>
    <w:uiPriority w:val="99"/>
    <w:semiHidden/>
    <w:unhideWhenUsed/>
    <w:rsid w:val="00820C01"/>
  </w:style>
  <w:style w:type="numbering" w:customStyle="1" w:styleId="NoList32">
    <w:name w:val="No List32"/>
    <w:next w:val="NoList"/>
    <w:uiPriority w:val="99"/>
    <w:semiHidden/>
    <w:unhideWhenUsed/>
    <w:rsid w:val="00820C01"/>
  </w:style>
  <w:style w:type="paragraph" w:customStyle="1" w:styleId="aria">
    <w:name w:val="aria"/>
    <w:basedOn w:val="Normal"/>
    <w:rsid w:val="00820C01"/>
    <w:pPr>
      <w:keepNext/>
      <w:keepLines/>
      <w:spacing w:after="0"/>
      <w:jc w:val="both"/>
    </w:pPr>
    <w:rPr>
      <w:rFonts w:ascii="Arial" w:eastAsia="SimSun" w:hAnsi="Arial"/>
      <w:sz w:val="18"/>
      <w:szCs w:val="18"/>
    </w:rPr>
  </w:style>
  <w:style w:type="paragraph" w:styleId="NoSpacing">
    <w:name w:val="No Spacing"/>
    <w:uiPriority w:val="1"/>
    <w:qFormat/>
    <w:rsid w:val="00820C01"/>
    <w:pPr>
      <w:overflowPunct w:val="0"/>
      <w:autoSpaceDE w:val="0"/>
      <w:autoSpaceDN w:val="0"/>
      <w:adjustRightInd w:val="0"/>
    </w:pPr>
    <w:rPr>
      <w:rFonts w:ascii="Times New Roman" w:eastAsia="MS Mincho" w:hAnsi="Times New Roman"/>
      <w:lang w:val="en-GB" w:eastAsia="ja-JP"/>
    </w:rPr>
  </w:style>
  <w:style w:type="character" w:customStyle="1" w:styleId="FooterChar1">
    <w:name w:val="Footer Char1"/>
    <w:aliases w:val="footer odd Char1,footer Char1,fo Char1,pie de página Char1"/>
    <w:semiHidden/>
    <w:rsid w:val="00820C01"/>
    <w:rPr>
      <w:rFonts w:ascii="Times New Roman" w:hAnsi="Times New Roman"/>
      <w:lang w:val="en-GB"/>
    </w:rPr>
  </w:style>
  <w:style w:type="paragraph" w:customStyle="1" w:styleId="CharChar5">
    <w:name w:val="Char Char5"/>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rsid w:val="00820C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20C01"/>
    <w:pPr>
      <w:jc w:val="center"/>
    </w:pPr>
    <w:rPr>
      <w:rFonts w:ascii="Arial" w:eastAsia="SimSun" w:hAnsi="Arial" w:cs="Arial"/>
      <w:b/>
    </w:rPr>
  </w:style>
  <w:style w:type="character" w:customStyle="1" w:styleId="Table1">
    <w:name w:val="Table (文字)"/>
    <w:link w:val="Table0"/>
    <w:rsid w:val="00820C01"/>
    <w:rPr>
      <w:rFonts w:ascii="Arial" w:eastAsia="SimSun" w:hAnsi="Arial" w:cs="Arial"/>
      <w:b/>
      <w:lang w:val="en-GB"/>
    </w:rPr>
  </w:style>
  <w:style w:type="paragraph" w:customStyle="1" w:styleId="ColorfulList-Accent11">
    <w:name w:val="Colorful List - Accent 11"/>
    <w:basedOn w:val="Normal"/>
    <w:uiPriority w:val="34"/>
    <w:qFormat/>
    <w:rsid w:val="00820C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20C01"/>
    <w:rPr>
      <w:rFonts w:ascii="Times New Roman" w:eastAsia="Batang" w:hAnsi="Times New Roman"/>
      <w:lang w:val="en-GB"/>
    </w:rPr>
  </w:style>
  <w:style w:type="character" w:styleId="LineNumber">
    <w:name w:val="line number"/>
    <w:basedOn w:val="DefaultParagraphFont"/>
    <w:rsid w:val="00820C01"/>
    <w:rPr>
      <w:rFonts w:ascii="Arial" w:eastAsia="SimSun" w:hAnsi="Arial" w:cs="Arial"/>
      <w:color w:val="0000FF"/>
      <w:kern w:val="2"/>
      <w:lang w:val="en-US" w:eastAsia="zh-CN" w:bidi="ar-SA"/>
    </w:rPr>
  </w:style>
  <w:style w:type="paragraph" w:styleId="BlockText">
    <w:name w:val="Block Text"/>
    <w:basedOn w:val="Normal"/>
    <w:rsid w:val="00820C01"/>
    <w:pPr>
      <w:spacing w:after="120"/>
      <w:ind w:left="1440" w:right="1440"/>
    </w:pPr>
    <w:rPr>
      <w:rFonts w:eastAsia="MS Mincho"/>
    </w:rPr>
  </w:style>
  <w:style w:type="paragraph" w:customStyle="1" w:styleId="60">
    <w:name w:val="吹き出し6"/>
    <w:basedOn w:val="Normal"/>
    <w:semiHidden/>
    <w:rsid w:val="00820C01"/>
    <w:rPr>
      <w:rFonts w:ascii="Tahoma" w:eastAsia="MS Mincho" w:hAnsi="Tahoma" w:cs="Tahoma"/>
      <w:sz w:val="16"/>
      <w:szCs w:val="16"/>
      <w:lang w:eastAsia="ko-KR"/>
    </w:rPr>
  </w:style>
  <w:style w:type="character" w:styleId="HTMLCode">
    <w:name w:val="HTML Code"/>
    <w:unhideWhenUsed/>
    <w:rsid w:val="00820C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820C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20C01"/>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F36B0-0864-4AC5-84DA-138EDFFA5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1831</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3</cp:revision>
  <cp:lastPrinted>2017-09-11T16:45:00Z</cp:lastPrinted>
  <dcterms:created xsi:type="dcterms:W3CDTF">2020-10-23T20:07:00Z</dcterms:created>
  <dcterms:modified xsi:type="dcterms:W3CDTF">2020-10-23T20:09:00Z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