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9C14F" w14:textId="53FBBB86" w:rsidR="00A563E3" w:rsidRPr="00DB3907" w:rsidRDefault="00A563E3" w:rsidP="00A563E3">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2E6E5E">
        <w:rPr>
          <w:rFonts w:cs="Arial"/>
          <w:sz w:val="24"/>
          <w:szCs w:val="24"/>
          <w:lang w:val="de-DE"/>
        </w:rPr>
        <w:t>7</w:t>
      </w:r>
      <w:r>
        <w:rPr>
          <w:rFonts w:cs="Arial"/>
          <w:sz w:val="24"/>
          <w:szCs w:val="24"/>
          <w:lang w:val="de-DE"/>
        </w:rPr>
        <w:t>-e</w:t>
      </w:r>
      <w:r w:rsidRPr="00DB3907">
        <w:rPr>
          <w:rFonts w:cs="Arial"/>
          <w:sz w:val="24"/>
          <w:szCs w:val="24"/>
          <w:lang w:val="de-DE"/>
        </w:rPr>
        <w:tab/>
        <w:t>R4-</w:t>
      </w:r>
      <w:r>
        <w:rPr>
          <w:rFonts w:cs="Arial"/>
          <w:sz w:val="24"/>
          <w:szCs w:val="24"/>
          <w:lang w:val="de-DE"/>
        </w:rPr>
        <w:t>20</w:t>
      </w:r>
      <w:r w:rsidR="001953B0">
        <w:rPr>
          <w:rFonts w:cs="Arial"/>
          <w:sz w:val="24"/>
          <w:szCs w:val="24"/>
          <w:lang w:val="de-DE"/>
        </w:rPr>
        <w:t>16438</w:t>
      </w:r>
      <w:bookmarkStart w:id="0" w:name="_GoBack"/>
      <w:bookmarkEnd w:id="0"/>
    </w:p>
    <w:p w14:paraId="6E79AB25" w14:textId="63047769" w:rsidR="00A563E3" w:rsidRPr="00DB3907" w:rsidRDefault="002E6E5E" w:rsidP="00A563E3">
      <w:pPr>
        <w:pStyle w:val="Header"/>
        <w:tabs>
          <w:tab w:val="left" w:pos="6521"/>
        </w:tabs>
        <w:rPr>
          <w:rFonts w:cs="Arial"/>
          <w:sz w:val="24"/>
          <w:szCs w:val="24"/>
        </w:rPr>
      </w:pPr>
      <w:r>
        <w:rPr>
          <w:rFonts w:cs="Arial"/>
          <w:sz w:val="24"/>
          <w:szCs w:val="24"/>
        </w:rPr>
        <w:t>Nov</w:t>
      </w:r>
      <w:r w:rsidR="00A563E3">
        <w:rPr>
          <w:rFonts w:cs="Arial"/>
          <w:sz w:val="24"/>
          <w:szCs w:val="24"/>
        </w:rPr>
        <w:t xml:space="preserve"> </w:t>
      </w:r>
      <w:r>
        <w:rPr>
          <w:rFonts w:cs="Arial"/>
          <w:sz w:val="24"/>
          <w:szCs w:val="24"/>
        </w:rPr>
        <w:t>2</w:t>
      </w:r>
      <w:r>
        <w:rPr>
          <w:rFonts w:cs="Arial"/>
          <w:sz w:val="24"/>
          <w:szCs w:val="24"/>
          <w:vertAlign w:val="superscript"/>
        </w:rPr>
        <w:t>nd</w:t>
      </w:r>
      <w:r w:rsidR="00A563E3">
        <w:rPr>
          <w:rFonts w:cs="Arial"/>
          <w:sz w:val="24"/>
          <w:szCs w:val="24"/>
        </w:rPr>
        <w:t xml:space="preserve"> ‒ </w:t>
      </w:r>
      <w:r>
        <w:rPr>
          <w:rFonts w:cs="Arial"/>
          <w:sz w:val="24"/>
          <w:szCs w:val="24"/>
        </w:rPr>
        <w:t>13</w:t>
      </w:r>
      <w:r w:rsidR="00A563E3">
        <w:rPr>
          <w:rFonts w:cs="Arial"/>
          <w:sz w:val="24"/>
          <w:szCs w:val="24"/>
          <w:vertAlign w:val="superscript"/>
        </w:rPr>
        <w:t>th</w:t>
      </w:r>
      <w:r w:rsidR="00A563E3">
        <w:rPr>
          <w:rFonts w:cs="Arial"/>
          <w:sz w:val="24"/>
          <w:szCs w:val="24"/>
        </w:rPr>
        <w:t>, 2020</w:t>
      </w:r>
    </w:p>
    <w:p w14:paraId="4CA7942A" w14:textId="77777777" w:rsidR="00A563E3" w:rsidRPr="00DB3907" w:rsidRDefault="00A563E3" w:rsidP="00A563E3">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AA7336A"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26399A">
        <w:rPr>
          <w:rFonts w:ascii="Arial" w:hAnsi="Arial"/>
          <w:sz w:val="24"/>
          <w:lang w:val="en-US"/>
        </w:rPr>
        <w:t>7.1.1.2</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5DFA9C98"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451DC">
        <w:rPr>
          <w:rFonts w:ascii="Arial" w:hAnsi="Arial"/>
          <w:sz w:val="24"/>
          <w:lang w:val="en-US"/>
        </w:rPr>
        <w:t>Wideband capability</w:t>
      </w:r>
      <w:r w:rsidR="002E6E5E">
        <w:rPr>
          <w:rFonts w:ascii="Arial" w:hAnsi="Arial"/>
          <w:sz w:val="24"/>
          <w:lang w:val="en-US"/>
        </w:rPr>
        <w:t xml:space="preserve"> for NR-U</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E80A246" w14:textId="7BA68EFA" w:rsidR="00EC5D39" w:rsidRDefault="003451DC" w:rsidP="00EC0D60">
      <w:pPr>
        <w:rPr>
          <w:lang w:val="en-US"/>
        </w:rPr>
      </w:pPr>
      <w:r>
        <w:rPr>
          <w:lang w:val="en-US"/>
        </w:rPr>
        <w:t xml:space="preserve">UE wideband capabilities for NR-U have not yet been agreed.  An LS exchange between RAN1 and RAN4 </w:t>
      </w:r>
      <w:r w:rsidR="003D0B71">
        <w:rPr>
          <w:lang w:val="en-US"/>
        </w:rPr>
        <w:t xml:space="preserve">[1], [2] </w:t>
      </w:r>
      <w:r>
        <w:rPr>
          <w:lang w:val="en-US"/>
        </w:rPr>
        <w:t>has taken place, but the capabilities have not yet been implemented by RAN2 pending confirmation from RAN4.</w:t>
      </w:r>
      <w:r w:rsidR="00943F82">
        <w:rPr>
          <w:lang w:val="en-US"/>
        </w:rPr>
        <w:t xml:space="preserve">  This contribution provides a RAN4 perspective on the need for capability bits associated with wideband operatoin for NR-U.</w:t>
      </w:r>
    </w:p>
    <w:p w14:paraId="10F6602E" w14:textId="1D13CCA0" w:rsidR="007E1E78" w:rsidRDefault="007E1E78" w:rsidP="0099327E">
      <w:pPr>
        <w:pStyle w:val="Heading1"/>
        <w:tabs>
          <w:tab w:val="clear" w:pos="432"/>
          <w:tab w:val="num" w:pos="522"/>
        </w:tabs>
        <w:ind w:left="522" w:hanging="522"/>
        <w:rPr>
          <w:lang w:val="en-US"/>
        </w:rPr>
      </w:pPr>
      <w:r>
        <w:rPr>
          <w:lang w:val="en-US"/>
        </w:rPr>
        <w:t>Discussion</w:t>
      </w:r>
    </w:p>
    <w:p w14:paraId="3FAF904B" w14:textId="153D766D" w:rsidR="0082407A" w:rsidRDefault="003451DC" w:rsidP="00CA2ED0">
      <w:pPr>
        <w:rPr>
          <w:lang w:val="en-US"/>
        </w:rPr>
      </w:pPr>
      <w:r>
        <w:rPr>
          <w:lang w:val="en-US"/>
        </w:rPr>
        <w:t xml:space="preserve">RAN1 has indicated the following </w:t>
      </w:r>
      <w:r w:rsidR="0082407A">
        <w:rPr>
          <w:lang w:val="en-US"/>
        </w:rPr>
        <w:t>feature groups</w:t>
      </w:r>
      <w:r>
        <w:rPr>
          <w:lang w:val="en-US"/>
        </w:rPr>
        <w:t xml:space="preserve"> [</w:t>
      </w:r>
      <w:r w:rsidR="006800DB">
        <w:rPr>
          <w:lang w:val="en-US"/>
        </w:rPr>
        <w:t>3</w:t>
      </w:r>
      <w:r>
        <w:rPr>
          <w:lang w:val="en-US"/>
        </w:rPr>
        <w:t>] for wideband operation in NR-U</w:t>
      </w:r>
    </w:p>
    <w:tbl>
      <w:tblPr>
        <w:tblStyle w:val="TableGrid"/>
        <w:tblW w:w="0" w:type="auto"/>
        <w:tblLook w:val="04A0" w:firstRow="1" w:lastRow="0" w:firstColumn="1" w:lastColumn="0" w:noHBand="0" w:noVBand="1"/>
      </w:tblPr>
      <w:tblGrid>
        <w:gridCol w:w="1615"/>
        <w:gridCol w:w="2070"/>
        <w:gridCol w:w="5936"/>
      </w:tblGrid>
      <w:tr w:rsidR="0082407A" w14:paraId="2AC5F187" w14:textId="77777777" w:rsidTr="0082407A">
        <w:tc>
          <w:tcPr>
            <w:tcW w:w="1615" w:type="dxa"/>
          </w:tcPr>
          <w:p w14:paraId="32377037" w14:textId="3A7B9CA0" w:rsidR="0082407A" w:rsidRDefault="006800DB" w:rsidP="00CA2ED0">
            <w:pPr>
              <w:rPr>
                <w:lang w:val="en-US"/>
              </w:rPr>
            </w:pPr>
            <w:r>
              <w:rPr>
                <w:lang w:val="en-US"/>
              </w:rPr>
              <w:t>Index</w:t>
            </w:r>
          </w:p>
        </w:tc>
        <w:tc>
          <w:tcPr>
            <w:tcW w:w="2070" w:type="dxa"/>
          </w:tcPr>
          <w:p w14:paraId="13D8AFFF" w14:textId="30897E3B" w:rsidR="0082407A" w:rsidRDefault="006800DB" w:rsidP="00CA2ED0">
            <w:pPr>
              <w:rPr>
                <w:lang w:val="en-US"/>
              </w:rPr>
            </w:pPr>
            <w:r>
              <w:rPr>
                <w:lang w:val="en-US"/>
              </w:rPr>
              <w:t>Feature Group</w:t>
            </w:r>
          </w:p>
        </w:tc>
        <w:tc>
          <w:tcPr>
            <w:tcW w:w="5936" w:type="dxa"/>
          </w:tcPr>
          <w:p w14:paraId="7AE47E15" w14:textId="3861AC45" w:rsidR="0082407A" w:rsidRDefault="006800DB" w:rsidP="00CA2ED0">
            <w:pPr>
              <w:rPr>
                <w:lang w:val="en-US"/>
              </w:rPr>
            </w:pPr>
            <w:r>
              <w:rPr>
                <w:lang w:val="en-US"/>
              </w:rPr>
              <w:t>Components</w:t>
            </w:r>
          </w:p>
        </w:tc>
      </w:tr>
      <w:tr w:rsidR="0082407A" w14:paraId="05F8CAD8" w14:textId="77777777" w:rsidTr="0082407A">
        <w:tc>
          <w:tcPr>
            <w:tcW w:w="1615" w:type="dxa"/>
          </w:tcPr>
          <w:p w14:paraId="06CF924D" w14:textId="1F2F708F" w:rsidR="0082407A" w:rsidRDefault="0082407A" w:rsidP="00CA2ED0">
            <w:pPr>
              <w:rPr>
                <w:lang w:val="en-US"/>
              </w:rPr>
            </w:pPr>
            <w:r>
              <w:rPr>
                <w:lang w:val="en-US"/>
              </w:rPr>
              <w:t>10-19a</w:t>
            </w:r>
          </w:p>
        </w:tc>
        <w:tc>
          <w:tcPr>
            <w:tcW w:w="2070" w:type="dxa"/>
          </w:tcPr>
          <w:p w14:paraId="642C47AC" w14:textId="24AD4113" w:rsidR="0082407A" w:rsidRDefault="0082407A" w:rsidP="00CA2ED0">
            <w:pPr>
              <w:rPr>
                <w:lang w:val="en-US"/>
              </w:rPr>
            </w:pPr>
            <w:r>
              <w:rPr>
                <w:lang w:val="en-US"/>
              </w:rPr>
              <w:t>DL wideband carrier operation mode 1</w:t>
            </w:r>
          </w:p>
        </w:tc>
        <w:tc>
          <w:tcPr>
            <w:tcW w:w="5936" w:type="dxa"/>
          </w:tcPr>
          <w:p w14:paraId="11C67810" w14:textId="72FC3E34" w:rsidR="0082407A" w:rsidRDefault="0082407A" w:rsidP="00CA2ED0">
            <w:pPr>
              <w:rPr>
                <w:lang w:val="en-US"/>
              </w:rPr>
            </w:pPr>
            <w:r w:rsidRPr="0082407A">
              <w:rPr>
                <w:lang w:val="en-US"/>
              </w:rPr>
              <w:t>Support of DL wideband carrier operation mode 1: single carrier wideband operation when LBT is successful in all LBT sub-bands of [BWP/carrier]</w:t>
            </w:r>
          </w:p>
        </w:tc>
      </w:tr>
      <w:tr w:rsidR="0082407A" w14:paraId="2230B2F1" w14:textId="77777777" w:rsidTr="0082407A">
        <w:tc>
          <w:tcPr>
            <w:tcW w:w="1615" w:type="dxa"/>
          </w:tcPr>
          <w:p w14:paraId="348A6975" w14:textId="43FCC5D0" w:rsidR="0082407A" w:rsidRDefault="0082407A" w:rsidP="00CA2ED0">
            <w:pPr>
              <w:rPr>
                <w:lang w:val="en-US"/>
              </w:rPr>
            </w:pPr>
            <w:r>
              <w:rPr>
                <w:lang w:val="en-US"/>
              </w:rPr>
              <w:t>10-19b</w:t>
            </w:r>
          </w:p>
        </w:tc>
        <w:tc>
          <w:tcPr>
            <w:tcW w:w="2070" w:type="dxa"/>
          </w:tcPr>
          <w:p w14:paraId="3CFC6EB1" w14:textId="3D8EA342" w:rsidR="0082407A" w:rsidRDefault="006800DB" w:rsidP="00CA2ED0">
            <w:pPr>
              <w:rPr>
                <w:lang w:val="en-US"/>
              </w:rPr>
            </w:pPr>
            <w:r w:rsidRPr="006800DB">
              <w:rPr>
                <w:lang w:val="en-US"/>
              </w:rPr>
              <w:t>DL wideband carrier operation mode 2</w:t>
            </w:r>
          </w:p>
        </w:tc>
        <w:tc>
          <w:tcPr>
            <w:tcW w:w="5936" w:type="dxa"/>
          </w:tcPr>
          <w:p w14:paraId="3B2F5730" w14:textId="6C1D2256" w:rsidR="0082407A" w:rsidRDefault="0082407A" w:rsidP="00CA2ED0">
            <w:pPr>
              <w:rPr>
                <w:lang w:val="en-US"/>
              </w:rPr>
            </w:pPr>
            <w:r w:rsidRPr="0082407A">
              <w:rPr>
                <w:lang w:val="en-US"/>
              </w:rPr>
              <w:t>Support of DL wideband carrier operation mode 2: single wideband carrier when LBT is successful in a subset of the LBT sub-bands which are contiguous</w:t>
            </w:r>
          </w:p>
        </w:tc>
      </w:tr>
      <w:tr w:rsidR="0082407A" w14:paraId="1180CD07" w14:textId="77777777" w:rsidTr="0082407A">
        <w:tc>
          <w:tcPr>
            <w:tcW w:w="1615" w:type="dxa"/>
          </w:tcPr>
          <w:p w14:paraId="414D8D9C" w14:textId="6845416A" w:rsidR="0082407A" w:rsidRDefault="0082407A" w:rsidP="00CA2ED0">
            <w:pPr>
              <w:rPr>
                <w:lang w:val="en-US"/>
              </w:rPr>
            </w:pPr>
            <w:r>
              <w:rPr>
                <w:lang w:val="en-US"/>
              </w:rPr>
              <w:t>10-19c</w:t>
            </w:r>
          </w:p>
        </w:tc>
        <w:tc>
          <w:tcPr>
            <w:tcW w:w="2070" w:type="dxa"/>
          </w:tcPr>
          <w:p w14:paraId="573E6D24" w14:textId="23F5B4A5" w:rsidR="0082407A" w:rsidRDefault="006800DB" w:rsidP="00CA2ED0">
            <w:pPr>
              <w:rPr>
                <w:lang w:val="en-US"/>
              </w:rPr>
            </w:pPr>
            <w:r w:rsidRPr="006800DB">
              <w:rPr>
                <w:lang w:val="en-US"/>
              </w:rPr>
              <w:t>DL wideband carrier operation mode 3</w:t>
            </w:r>
          </w:p>
        </w:tc>
        <w:tc>
          <w:tcPr>
            <w:tcW w:w="5936" w:type="dxa"/>
          </w:tcPr>
          <w:p w14:paraId="10EDE542" w14:textId="3ADE662B" w:rsidR="0082407A" w:rsidRDefault="0082407A" w:rsidP="00CA2ED0">
            <w:pPr>
              <w:rPr>
                <w:lang w:val="en-US"/>
              </w:rPr>
            </w:pPr>
            <w:r w:rsidRPr="0082407A">
              <w:rPr>
                <w:lang w:val="en-US"/>
              </w:rPr>
              <w:t>Support of DL wideband carrier operation mode 3: single wideband carrier when LBT is successful in a subset of the LBT sub-bands which are non-contiguous</w:t>
            </w:r>
          </w:p>
        </w:tc>
      </w:tr>
      <w:tr w:rsidR="0082407A" w14:paraId="77F1F2E8" w14:textId="77777777" w:rsidTr="0082407A">
        <w:tc>
          <w:tcPr>
            <w:tcW w:w="1615" w:type="dxa"/>
          </w:tcPr>
          <w:p w14:paraId="154633ED" w14:textId="50B6C992" w:rsidR="0082407A" w:rsidRDefault="0082407A" w:rsidP="00CA2ED0">
            <w:pPr>
              <w:rPr>
                <w:lang w:val="en-US"/>
              </w:rPr>
            </w:pPr>
            <w:r>
              <w:rPr>
                <w:lang w:val="en-US"/>
              </w:rPr>
              <w:t>10-19d</w:t>
            </w:r>
          </w:p>
        </w:tc>
        <w:tc>
          <w:tcPr>
            <w:tcW w:w="2070" w:type="dxa"/>
          </w:tcPr>
          <w:p w14:paraId="4142CF48" w14:textId="0932E4F3" w:rsidR="0082407A" w:rsidRDefault="006800DB" w:rsidP="00CA2ED0">
            <w:pPr>
              <w:rPr>
                <w:lang w:val="en-US"/>
              </w:rPr>
            </w:pPr>
            <w:r w:rsidRPr="006800DB">
              <w:rPr>
                <w:lang w:val="en-US"/>
              </w:rPr>
              <w:t>UL wideband carrier operation mode 1</w:t>
            </w:r>
          </w:p>
        </w:tc>
        <w:tc>
          <w:tcPr>
            <w:tcW w:w="5936" w:type="dxa"/>
          </w:tcPr>
          <w:p w14:paraId="3B16E23C" w14:textId="27A54D5E" w:rsidR="0082407A" w:rsidRDefault="0082407A" w:rsidP="00CA2ED0">
            <w:pPr>
              <w:rPr>
                <w:lang w:val="en-US"/>
              </w:rPr>
            </w:pPr>
            <w:r w:rsidRPr="0082407A">
              <w:rPr>
                <w:lang w:val="en-US"/>
              </w:rPr>
              <w:t>Support of UL wideband carrier operation mode 1: UE transmits only if LBT passes for all LBT sub-bands of BWP</w:t>
            </w:r>
          </w:p>
        </w:tc>
      </w:tr>
      <w:tr w:rsidR="0082407A" w14:paraId="11E7E117" w14:textId="77777777" w:rsidTr="0082407A">
        <w:tc>
          <w:tcPr>
            <w:tcW w:w="1615" w:type="dxa"/>
          </w:tcPr>
          <w:p w14:paraId="1800A9B1" w14:textId="0EB8A447" w:rsidR="0082407A" w:rsidRDefault="0082407A" w:rsidP="00CA2ED0">
            <w:pPr>
              <w:rPr>
                <w:lang w:val="en-US"/>
              </w:rPr>
            </w:pPr>
            <w:r>
              <w:rPr>
                <w:lang w:val="en-US"/>
              </w:rPr>
              <w:t>10-19e</w:t>
            </w:r>
          </w:p>
        </w:tc>
        <w:tc>
          <w:tcPr>
            <w:tcW w:w="2070" w:type="dxa"/>
          </w:tcPr>
          <w:p w14:paraId="6C7AA511" w14:textId="327B3E86" w:rsidR="0082407A" w:rsidRDefault="006800DB" w:rsidP="00CA2ED0">
            <w:pPr>
              <w:rPr>
                <w:lang w:val="en-US"/>
              </w:rPr>
            </w:pPr>
            <w:r w:rsidRPr="006800DB">
              <w:rPr>
                <w:lang w:val="en-US"/>
              </w:rPr>
              <w:t>UL wideband carrier operation mode 2A</w:t>
            </w:r>
          </w:p>
        </w:tc>
        <w:tc>
          <w:tcPr>
            <w:tcW w:w="5936" w:type="dxa"/>
          </w:tcPr>
          <w:p w14:paraId="381B7F1A" w14:textId="1E84E521" w:rsidR="0082407A" w:rsidRDefault="0082407A" w:rsidP="00CA2ED0">
            <w:pPr>
              <w:rPr>
                <w:lang w:val="en-US"/>
              </w:rPr>
            </w:pPr>
            <w:r w:rsidRPr="0082407A">
              <w:rPr>
                <w:lang w:val="en-US"/>
              </w:rPr>
              <w:t>Support of UL wideband carrier operation mode 2A: UE transmits if LBT passes for single scheduled LBT sub-band</w:t>
            </w:r>
          </w:p>
        </w:tc>
      </w:tr>
      <w:tr w:rsidR="0082407A" w14:paraId="4EE339BC" w14:textId="77777777" w:rsidTr="0082407A">
        <w:tc>
          <w:tcPr>
            <w:tcW w:w="1615" w:type="dxa"/>
          </w:tcPr>
          <w:p w14:paraId="0C9B8C1E" w14:textId="57C1148E" w:rsidR="0082407A" w:rsidRDefault="0082407A" w:rsidP="00CA2ED0">
            <w:pPr>
              <w:rPr>
                <w:lang w:val="en-US"/>
              </w:rPr>
            </w:pPr>
            <w:r>
              <w:rPr>
                <w:lang w:val="en-US"/>
              </w:rPr>
              <w:t>10-19f</w:t>
            </w:r>
          </w:p>
        </w:tc>
        <w:tc>
          <w:tcPr>
            <w:tcW w:w="2070" w:type="dxa"/>
          </w:tcPr>
          <w:p w14:paraId="465B1019" w14:textId="60609A36" w:rsidR="0082407A" w:rsidRDefault="006800DB" w:rsidP="00CA2ED0">
            <w:pPr>
              <w:rPr>
                <w:lang w:val="en-US"/>
              </w:rPr>
            </w:pPr>
            <w:r w:rsidRPr="006800DB">
              <w:rPr>
                <w:lang w:val="en-US"/>
              </w:rPr>
              <w:t>UL wideband carrier operation mode 2B</w:t>
            </w:r>
          </w:p>
        </w:tc>
        <w:tc>
          <w:tcPr>
            <w:tcW w:w="5936" w:type="dxa"/>
          </w:tcPr>
          <w:p w14:paraId="2E856793" w14:textId="1F9EB2B1" w:rsidR="0082407A" w:rsidRDefault="0082407A" w:rsidP="00CA2ED0">
            <w:pPr>
              <w:rPr>
                <w:lang w:val="en-US"/>
              </w:rPr>
            </w:pPr>
            <w:r w:rsidRPr="0082407A">
              <w:rPr>
                <w:lang w:val="en-US"/>
              </w:rPr>
              <w:t>Support of UL wideband carrier operation mode 2B: UE transmits if LBT passes for scheduled multiple contiguous LBT sub-bands</w:t>
            </w:r>
          </w:p>
        </w:tc>
      </w:tr>
    </w:tbl>
    <w:p w14:paraId="3AB1FB15" w14:textId="71F4F1DC" w:rsidR="0082407A" w:rsidRDefault="0082407A" w:rsidP="00CA2ED0">
      <w:pPr>
        <w:rPr>
          <w:lang w:val="en-US"/>
        </w:rPr>
      </w:pPr>
    </w:p>
    <w:p w14:paraId="5CEF82F3" w14:textId="7C222951" w:rsidR="006800DB" w:rsidRDefault="006800DB" w:rsidP="00CA2ED0">
      <w:pPr>
        <w:rPr>
          <w:lang w:val="en-US"/>
        </w:rPr>
      </w:pPr>
      <w:r>
        <w:rPr>
          <w:lang w:val="en-US"/>
        </w:rPr>
        <w:t xml:space="preserve">The following note is also added:  </w:t>
      </w:r>
      <w:r w:rsidRPr="006800DB">
        <w:rPr>
          <w:lang w:val="en-US"/>
        </w:rPr>
        <w:t>These FGs 10-19a/b/c/d/e/f are examples on what RAN1 ask RAN2 to reserve capability bits in LS R1-2004965</w:t>
      </w:r>
      <w:r>
        <w:rPr>
          <w:lang w:val="en-US"/>
        </w:rPr>
        <w:t>.</w:t>
      </w:r>
    </w:p>
    <w:p w14:paraId="41BA3AFD" w14:textId="11440EFE" w:rsidR="009E5727" w:rsidRDefault="009E5727" w:rsidP="009E5727">
      <w:pPr>
        <w:pStyle w:val="Heading2"/>
        <w:rPr>
          <w:lang w:val="en-US"/>
        </w:rPr>
      </w:pPr>
      <w:r>
        <w:rPr>
          <w:lang w:val="en-US"/>
        </w:rPr>
        <w:t>Downlink capability</w:t>
      </w:r>
    </w:p>
    <w:p w14:paraId="6C32D292" w14:textId="25E66A30" w:rsidR="00EC0FC0" w:rsidRDefault="009E5727" w:rsidP="00EC0FC0">
      <w:pPr>
        <w:rPr>
          <w:rFonts w:cs="v5.0.0"/>
        </w:rPr>
      </w:pPr>
      <w:r>
        <w:rPr>
          <w:lang w:val="en-US"/>
        </w:rPr>
        <w:t xml:space="preserve">In Rel-16 specifications, RAN4 has not defined UE ACS and blocking requirements within the wideband carrier.  Recevier requirements are </w:t>
      </w:r>
      <w:r w:rsidR="00EC0FC0">
        <w:rPr>
          <w:lang w:val="en-US"/>
        </w:rPr>
        <w:t xml:space="preserve">defined </w:t>
      </w:r>
      <w:r>
        <w:rPr>
          <w:lang w:val="en-US"/>
        </w:rPr>
        <w:t xml:space="preserve">in 38.101-1 </w:t>
      </w:r>
      <w:r w:rsidR="00EC0FC0">
        <w:rPr>
          <w:lang w:val="en-US"/>
        </w:rPr>
        <w:t>“</w:t>
      </w:r>
      <w:r w:rsidR="00EC0FC0">
        <w:rPr>
          <w:rFonts w:cs="v5.0.0"/>
        </w:rPr>
        <w:t xml:space="preserve">under the assumption that all 20 MHz sub-bands and all RB’s of each sub-band within the downlink channel are allocated with intra-cell guard bands configured to zero.” [4]  Therefore, RAN4 requirements only apply under downlink mode 1.  There are no requirements for mode 2 and mode 3 where some of the sub-bands within the channel contain transmissions from other systems.  </w:t>
      </w:r>
    </w:p>
    <w:p w14:paraId="1FF75D46" w14:textId="16340EA5" w:rsidR="00EC0FC0" w:rsidRDefault="00EC0FC0" w:rsidP="00EC0FC0">
      <w:pPr>
        <w:rPr>
          <w:rFonts w:cs="v5.0.0"/>
        </w:rPr>
      </w:pPr>
      <w:r>
        <w:rPr>
          <w:rFonts w:cs="v5.0.0"/>
        </w:rPr>
        <w:t>Since requirements are not defined for mode 2 and mode 3, there are two options for capability signaling.</w:t>
      </w:r>
    </w:p>
    <w:p w14:paraId="2150E835" w14:textId="54E85F0D" w:rsidR="00C00058" w:rsidRPr="00C00058" w:rsidRDefault="00EC0FC0" w:rsidP="00EC0FC0">
      <w:pPr>
        <w:rPr>
          <w:rFonts w:cs="v5.0.0"/>
          <w:u w:val="single"/>
        </w:rPr>
      </w:pPr>
      <w:r w:rsidRPr="00C00058">
        <w:rPr>
          <w:rFonts w:cs="v5.0.0"/>
          <w:u w:val="single"/>
        </w:rPr>
        <w:lastRenderedPageBreak/>
        <w:t xml:space="preserve">Option 1.  </w:t>
      </w:r>
      <w:r w:rsidR="00C00058" w:rsidRPr="00C00058">
        <w:rPr>
          <w:rFonts w:cs="v5.0.0"/>
          <w:u w:val="single"/>
        </w:rPr>
        <w:t>Feature groups for downlink 10-19a, 10-19b, and 10-19c are not needed.</w:t>
      </w:r>
    </w:p>
    <w:p w14:paraId="66229BB1" w14:textId="6007ABA6" w:rsidR="00EC0FC0" w:rsidRDefault="00EC0FC0" w:rsidP="00C00058">
      <w:pPr>
        <w:ind w:left="284"/>
        <w:rPr>
          <w:rFonts w:cs="v5.0.0"/>
        </w:rPr>
      </w:pPr>
      <w:r>
        <w:rPr>
          <w:rFonts w:cs="v5.0.0"/>
        </w:rPr>
        <w:t xml:space="preserve">Mode 1 is the baseline operation and must be supported by all UE’s.  Therefore, feature group 10-19a is not needed </w:t>
      </w:r>
      <w:r w:rsidR="00C00058">
        <w:rPr>
          <w:rFonts w:cs="v5.0.0"/>
        </w:rPr>
        <w:t>since it can be assumed that all UE’s are capable of mode 1 operation</w:t>
      </w:r>
      <w:r>
        <w:rPr>
          <w:rFonts w:cs="v5.0.0"/>
        </w:rPr>
        <w:t>.  Mode2 and mode 3 operation are not supported by the current version of the specifications.  Performance cannot be assured</w:t>
      </w:r>
      <w:r w:rsidR="00C00058">
        <w:rPr>
          <w:rFonts w:cs="v5.0.0"/>
        </w:rPr>
        <w:t xml:space="preserve"> since requirements do not apply</w:t>
      </w:r>
      <w:r>
        <w:rPr>
          <w:rFonts w:cs="v5.0.0"/>
        </w:rPr>
        <w:t xml:space="preserve">.  Therefore, feature groups </w:t>
      </w:r>
      <w:r w:rsidR="00C00058">
        <w:rPr>
          <w:rFonts w:cs="v5.0.0"/>
        </w:rPr>
        <w:t xml:space="preserve">10-19b and 10-19c </w:t>
      </w:r>
      <w:r>
        <w:rPr>
          <w:rFonts w:cs="v5.0.0"/>
        </w:rPr>
        <w:t>indicating UE capability of mode 2 and mode 3 are</w:t>
      </w:r>
      <w:r w:rsidR="00C00058">
        <w:rPr>
          <w:rFonts w:cs="v5.0.0"/>
        </w:rPr>
        <w:t xml:space="preserve"> also not needed since indicating support of mode 2 and mode 3 is meaningless.</w:t>
      </w:r>
    </w:p>
    <w:p w14:paraId="7A1F197B" w14:textId="612FDC76" w:rsidR="00C00058" w:rsidRPr="00C00058" w:rsidRDefault="00C00058" w:rsidP="00C00058">
      <w:pPr>
        <w:rPr>
          <w:rFonts w:cs="v5.0.0"/>
          <w:u w:val="single"/>
        </w:rPr>
      </w:pPr>
      <w:r w:rsidRPr="00C00058">
        <w:rPr>
          <w:rFonts w:cs="v5.0.0"/>
          <w:u w:val="single"/>
        </w:rPr>
        <w:t>Option 2.  Feature groups for downlink 10-19b and 10-19c are added for forward compatibility.</w:t>
      </w:r>
    </w:p>
    <w:p w14:paraId="4D3938D5" w14:textId="49764ED1" w:rsidR="001127C8" w:rsidRDefault="00C00058" w:rsidP="00C00058">
      <w:pPr>
        <w:spacing w:after="0"/>
        <w:ind w:left="284"/>
        <w:rPr>
          <w:rFonts w:cs="v5.0.0"/>
        </w:rPr>
      </w:pPr>
      <w:r>
        <w:rPr>
          <w:rFonts w:cs="v5.0.0"/>
        </w:rPr>
        <w:t>Mode 1 is the baseline operation and must be supported by all UE’s.  Therefore, feature group 10-19a is not needed since it can be assumed that all UE’s are capable of mode 1 operation.  While the requirements for mode 2 and mode 3 are not yet defined, it is anticipated that these modes of operation are relevant and requirements will be defined in a future release of the specification.  Thus, the capabilities bits for mode 2 and mode 3 are added to facilitate forward compatibility.</w:t>
      </w:r>
    </w:p>
    <w:p w14:paraId="5EE975AF" w14:textId="44764A92" w:rsidR="00C00058" w:rsidRDefault="00C00058" w:rsidP="00C00058">
      <w:pPr>
        <w:pStyle w:val="Heading2"/>
        <w:rPr>
          <w:lang w:val="en-US"/>
        </w:rPr>
      </w:pPr>
      <w:r>
        <w:rPr>
          <w:lang w:val="en-US"/>
        </w:rPr>
        <w:t>Uplink capability</w:t>
      </w:r>
    </w:p>
    <w:p w14:paraId="260D251D" w14:textId="34AC2AEB" w:rsidR="00963D84" w:rsidRDefault="00C00058" w:rsidP="00C00058">
      <w:pPr>
        <w:rPr>
          <w:lang w:val="en-US"/>
        </w:rPr>
      </w:pPr>
      <w:r>
        <w:rPr>
          <w:lang w:val="en-US"/>
        </w:rPr>
        <w:t xml:space="preserve">Contrary to the downlink, for the uplink there are </w:t>
      </w:r>
      <w:r w:rsidR="00963D84">
        <w:rPr>
          <w:lang w:val="en-US"/>
        </w:rPr>
        <w:t xml:space="preserve">partial </w:t>
      </w:r>
      <w:r>
        <w:rPr>
          <w:lang w:val="en-US"/>
        </w:rPr>
        <w:t>requirements defined</w:t>
      </w:r>
      <w:r w:rsidR="009627C1">
        <w:rPr>
          <w:lang w:val="en-US"/>
        </w:rPr>
        <w:t xml:space="preserve"> for operation when </w:t>
      </w:r>
      <w:r w:rsidR="00963D84">
        <w:rPr>
          <w:lang w:val="en-US"/>
        </w:rPr>
        <w:t xml:space="preserve">a subset of </w:t>
      </w:r>
      <w:r w:rsidR="009627C1">
        <w:rPr>
          <w:lang w:val="en-US"/>
        </w:rPr>
        <w:t xml:space="preserve">sub-bands within the channel are not transmitted.  In particular, the spectrum emission requirement for wideband operation </w:t>
      </w:r>
      <w:r w:rsidR="007100D3">
        <w:rPr>
          <w:lang w:val="en-US"/>
        </w:rPr>
        <w:t xml:space="preserve">does </w:t>
      </w:r>
      <w:r w:rsidR="009627C1">
        <w:rPr>
          <w:lang w:val="en-US"/>
        </w:rPr>
        <w:t xml:space="preserve">include </w:t>
      </w:r>
      <w:r w:rsidR="00592465">
        <w:rPr>
          <w:lang w:val="en-US"/>
        </w:rPr>
        <w:t xml:space="preserve">an emission requirement for non-transmitted sub-bands within the channel.  </w:t>
      </w:r>
      <w:r w:rsidR="007100D3">
        <w:rPr>
          <w:lang w:val="en-US"/>
        </w:rPr>
        <w:t>The emission requirement is not assumed to be met by additional filtering, but rather by MPR</w:t>
      </w:r>
      <w:r w:rsidR="00963D84">
        <w:rPr>
          <w:lang w:val="en-US"/>
        </w:rPr>
        <w:t xml:space="preserve">.  However, in Rel-16 specifications RAN4 focused its effort on the scenario where LBT must pass on all scheduled sub-bands and all scheduled sub-bands are contiguous [5].  Therefore, MPR is only defined for contiguous sub-bands in Rel-16.  </w:t>
      </w:r>
    </w:p>
    <w:p w14:paraId="3E4E4C20" w14:textId="011E3D0C" w:rsidR="00963D84" w:rsidRDefault="00963D84" w:rsidP="00C00058">
      <w:pPr>
        <w:rPr>
          <w:lang w:val="en-US"/>
        </w:rPr>
      </w:pPr>
      <w:r>
        <w:rPr>
          <w:lang w:val="en-US"/>
        </w:rPr>
        <w:t>With this understanding, then one can envision feature group definitions analogous to those for downlink.  In other words, feature groups could be used to distinguish UE’s capable of transmitting only when all contiguous scheduled LBT sub-bands pass (baseline), when a contiguous subset pass, or when a non-contiguous subset pass.  However, only the baseline is supported by Rel-16 specifications.  Therefore, the same two options for feature group definition as described for downlink can also apply to uplink.</w:t>
      </w:r>
    </w:p>
    <w:p w14:paraId="4BF75B4D" w14:textId="3A7EE5D5" w:rsidR="00963D84" w:rsidRDefault="00963D84" w:rsidP="00C00058">
      <w:pPr>
        <w:rPr>
          <w:lang w:val="en-US"/>
        </w:rPr>
      </w:pPr>
      <w:r>
        <w:rPr>
          <w:lang w:val="en-US"/>
        </w:rPr>
        <w:t xml:space="preserve">However, RAN1 chose a different set of feature groups for the uplink.  </w:t>
      </w:r>
      <w:r w:rsidR="008E6097">
        <w:rPr>
          <w:lang w:val="en-US"/>
        </w:rPr>
        <w:t xml:space="preserve">The uplink mode 1, 2A, and 2B are </w:t>
      </w:r>
      <w:r w:rsidR="008E6097" w:rsidRPr="008E6097">
        <w:rPr>
          <w:i/>
          <w:iCs/>
          <w:lang w:val="en-US"/>
        </w:rPr>
        <w:t>not the same</w:t>
      </w:r>
      <w:r w:rsidR="008E6097">
        <w:rPr>
          <w:lang w:val="en-US"/>
        </w:rPr>
        <w:t xml:space="preserve"> as downlink modes 1, 2, and 3.  </w:t>
      </w:r>
      <w:r>
        <w:rPr>
          <w:lang w:val="en-US"/>
        </w:rPr>
        <w:t xml:space="preserve"> </w:t>
      </w:r>
      <w:r w:rsidR="008E6097">
        <w:rPr>
          <w:lang w:val="en-US"/>
        </w:rPr>
        <w:t>Uplink mode 1 (FG 10-19d) indicates that the UE transmits only if all LBT sub-bands within the channel (RAN1 refers to BWP, but RAN4 only considers channels) are successful, regardless of whether the UE is scheduled for those sub-bands.  RAN4 has not considered the case where the UE performs LBT on sub-bands for which is it not scheduled for uplink.  Therefore, the feature group 10-19d is not relevant from a RAN4 perspective.</w:t>
      </w:r>
    </w:p>
    <w:p w14:paraId="3143E536" w14:textId="4BDFE6E5" w:rsidR="008E6097" w:rsidRDefault="008E6097" w:rsidP="00C00058">
      <w:pPr>
        <w:rPr>
          <w:lang w:val="en-US"/>
        </w:rPr>
      </w:pPr>
      <w:r>
        <w:rPr>
          <w:lang w:val="en-US"/>
        </w:rPr>
        <w:t>For modes 2A and 2B</w:t>
      </w:r>
      <w:r w:rsidR="00801FCF">
        <w:rPr>
          <w:lang w:val="en-US"/>
        </w:rPr>
        <w:t xml:space="preserve"> and their corresponding FG 10-19e and 10-19f, there is no restriction in RAN4 that the UE is only scheduled for a single LBT sub-band.  The understanding in RAN4 for Rel-16 is that the UE may be scheduled for one or more contiguous uplink sub-bands and must pass LBT on all of them before any uplink transmission will occur.  Therefore, mode 2A is unnecessarily restrictive while mode 2B is the common assumption when deriving general requirements that all UE’s should adhere to.  Thus, feature groups 10-19e and 10-19f are also irrelevant from a RAN4 perspective.</w:t>
      </w:r>
    </w:p>
    <w:p w14:paraId="0AA800B0" w14:textId="0078778A" w:rsidR="00801FCF" w:rsidRDefault="00801FCF" w:rsidP="00801FCF">
      <w:pPr>
        <w:pStyle w:val="Heading2"/>
        <w:rPr>
          <w:lang w:val="en-US"/>
        </w:rPr>
      </w:pPr>
      <w:r>
        <w:rPr>
          <w:lang w:val="en-US"/>
        </w:rPr>
        <w:t>Recommendation</w:t>
      </w:r>
    </w:p>
    <w:p w14:paraId="288E86F5" w14:textId="47052D48" w:rsidR="00801FCF" w:rsidRDefault="00801FCF" w:rsidP="00801FCF">
      <w:pPr>
        <w:rPr>
          <w:lang w:val="en-US"/>
        </w:rPr>
      </w:pPr>
      <w:r>
        <w:rPr>
          <w:lang w:val="en-US"/>
        </w:rPr>
        <w:t xml:space="preserve">The </w:t>
      </w:r>
      <w:r w:rsidR="00F34570">
        <w:rPr>
          <w:lang w:val="en-US"/>
        </w:rPr>
        <w:t>intention</w:t>
      </w:r>
      <w:r>
        <w:rPr>
          <w:lang w:val="en-US"/>
        </w:rPr>
        <w:t xml:space="preserve"> of feature groups is for the UE to indicate to the network its capability.  </w:t>
      </w:r>
      <w:r w:rsidR="00F34570">
        <w:rPr>
          <w:lang w:val="en-US"/>
        </w:rPr>
        <w:t xml:space="preserve">This indication is useful if the network can adjust its behavior accordingly.  For example, if a UE indicates support for feature A but not for feature B, the network is aware that it can only invoke feature A for this particular UE.  In the context of wideband operation for NR-U, one possible feature group is to indicate whether the UE is capable of operating with partial sub-bands, contiguous and non-contiguous, within the channel.  However, it is clear that RAN4 specifications for Rel-16 are only defined for the case where all sub-bands are received in the downlink and where all scheduled sub-bands in the uplink are contiguous and pass LBT.  There are no requirements for other conditions.  Therefore, defining a feature group for cases of partial sub-band DL or UL are not meaningful from a RAN4 perspective.  Since requirements are not defined, then the UE can only indicate </w:t>
      </w:r>
      <w:r w:rsidR="001E0412">
        <w:rPr>
          <w:lang w:val="en-US"/>
        </w:rPr>
        <w:t>“</w:t>
      </w:r>
      <w:r w:rsidR="00F34570">
        <w:rPr>
          <w:lang w:val="en-US"/>
        </w:rPr>
        <w:t>non-support</w:t>
      </w:r>
      <w:r w:rsidR="001E0412">
        <w:rPr>
          <w:lang w:val="en-US"/>
        </w:rPr>
        <w:t>”</w:t>
      </w:r>
      <w:r w:rsidR="00F34570">
        <w:rPr>
          <w:lang w:val="en-US"/>
        </w:rPr>
        <w:t xml:space="preserve"> of the feature group</w:t>
      </w:r>
      <w:r w:rsidR="00943F82">
        <w:rPr>
          <w:lang w:val="en-US"/>
        </w:rPr>
        <w:t xml:space="preserve">.  </w:t>
      </w:r>
      <w:r w:rsidR="001E0412">
        <w:rPr>
          <w:lang w:val="en-US"/>
        </w:rPr>
        <w:t>In fact, if the UE were to indicate capability support without a tested requirement, it is unclear how the UE will behave possibly disrupting adjacent systems.  Moreover, if the UE indicates capability support, the network might not take action that it otherwise would.  For example, if the U</w:t>
      </w:r>
      <w:r w:rsidR="0005385C">
        <w:rPr>
          <w:lang w:val="en-US"/>
        </w:rPr>
        <w:t>E</w:t>
      </w:r>
      <w:r w:rsidR="001E0412">
        <w:rPr>
          <w:lang w:val="en-US"/>
        </w:rPr>
        <w:t xml:space="preserve"> indicates that it is not capable of partial sub-band operation, the network could possibly locate a cleaner channel for that UE to operate on</w:t>
      </w:r>
      <w:r w:rsidR="0005385C">
        <w:rPr>
          <w:lang w:val="en-US"/>
        </w:rPr>
        <w:t xml:space="preserve">.  But if the UE indicates that it is capable, the network might not seek a cleaner channel instead relying on the capability of the UE to operate in a channel partially occupied by another system.  </w:t>
      </w:r>
      <w:r w:rsidR="00943F82">
        <w:rPr>
          <w:lang w:val="en-US"/>
        </w:rPr>
        <w:t>The possible reason to define the feature group is from a RAN1 perspective for forward compatibility.  However, it is our recommendation that the feature group does not need to be defined until RAN4 requirements are available for the feature since forward compatibility is not broken in the absence of FG’s 10-19a/b/c/d/e/f being defined today.</w:t>
      </w:r>
    </w:p>
    <w:p w14:paraId="698ABC8D" w14:textId="0DA739A9" w:rsidR="00943F82" w:rsidRPr="00943F82" w:rsidRDefault="00943F82" w:rsidP="00801FCF">
      <w:pPr>
        <w:rPr>
          <w:b/>
          <w:bCs/>
          <w:lang w:val="en-US"/>
        </w:rPr>
      </w:pPr>
      <w:r w:rsidRPr="00943F82">
        <w:rPr>
          <w:b/>
          <w:bCs/>
          <w:lang w:val="en-US"/>
        </w:rPr>
        <w:lastRenderedPageBreak/>
        <w:t>Proposal:  From a RAN4 perspective, none of the feature groups is needed for Rel-16 since requirements are not available or the feature group is already part of the baseline assumption that all UE’s are expected to support.</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74714A12" w14:textId="71C2DEA3" w:rsidR="0005385C" w:rsidRDefault="0005385C" w:rsidP="00A0551F">
      <w:pPr>
        <w:rPr>
          <w:lang w:val="en-US"/>
        </w:rPr>
      </w:pPr>
      <w:r>
        <w:rPr>
          <w:lang w:val="en-US"/>
        </w:rPr>
        <w:t xml:space="preserve">Wideband operation for NR-U in the downlink and uplink are discussed with respect to the feature groups identified by RAN1.  RAN4 requirements for Rel-16 only cover a limited set of LBT configurations; namely, they mostly cover the homogeneous case where an entire channel is available rather than only a subset of sub-bands within the channel.  Therefore, having feature group capability bits for other modes of operation is not necessary from a RAN4 perspective.  In fact, having feature group capability bits for unspecified (no requirements) modes of operation can even be dangerous from coexistence as well as UE performance in the network.  Other capability bits relate to common assumptions taken in RAN4 for general requirements that all NR-U UE’s are expected to meet.  Therefore, it is </w:t>
      </w:r>
      <w:r w:rsidR="00A714F3">
        <w:rPr>
          <w:lang w:val="en-US"/>
        </w:rPr>
        <w:t>recommended</w:t>
      </w:r>
      <w:r>
        <w:rPr>
          <w:lang w:val="en-US"/>
        </w:rPr>
        <w:t xml:space="preserve"> that feature group capability bits for wideband operation of NR-U are not</w:t>
      </w:r>
      <w:r w:rsidR="00A714F3">
        <w:rPr>
          <w:lang w:val="en-US"/>
        </w:rPr>
        <w:t xml:space="preserve"> necessary in Rel-16.</w:t>
      </w:r>
    </w:p>
    <w:p w14:paraId="370EE77B" w14:textId="77777777" w:rsidR="0090577D" w:rsidRDefault="0090577D" w:rsidP="00AE5A64">
      <w:pPr>
        <w:pStyle w:val="Heading1"/>
        <w:numPr>
          <w:ilvl w:val="0"/>
          <w:numId w:val="0"/>
        </w:numPr>
        <w:rPr>
          <w:lang w:val="en-US"/>
        </w:rPr>
      </w:pPr>
      <w:r>
        <w:rPr>
          <w:lang w:val="en-US"/>
        </w:rPr>
        <w:t>Reference</w:t>
      </w:r>
    </w:p>
    <w:p w14:paraId="003A7D4C" w14:textId="3B1F4121" w:rsidR="008F5FF5" w:rsidRDefault="008F5FF5" w:rsidP="001219FC">
      <w:pPr>
        <w:numPr>
          <w:ilvl w:val="0"/>
          <w:numId w:val="2"/>
        </w:numPr>
        <w:tabs>
          <w:tab w:val="left" w:pos="1080"/>
        </w:tabs>
        <w:rPr>
          <w:lang w:val="en-US" w:eastAsia="x-none"/>
        </w:rPr>
      </w:pPr>
      <w:bookmarkStart w:id="1" w:name="_Hlk859252"/>
      <w:r>
        <w:rPr>
          <w:lang w:val="en-US" w:eastAsia="x-none"/>
        </w:rPr>
        <w:t>R1-2004965, “LS on UE capability on wideband carrier operation for NR-U,” RAN WG 1</w:t>
      </w:r>
    </w:p>
    <w:p w14:paraId="391269F4" w14:textId="2281D734" w:rsidR="008F5FF5" w:rsidRDefault="008F5FF5" w:rsidP="001219FC">
      <w:pPr>
        <w:numPr>
          <w:ilvl w:val="0"/>
          <w:numId w:val="2"/>
        </w:numPr>
        <w:tabs>
          <w:tab w:val="left" w:pos="1080"/>
        </w:tabs>
        <w:rPr>
          <w:lang w:val="en-US" w:eastAsia="x-none"/>
        </w:rPr>
      </w:pPr>
      <w:r>
        <w:rPr>
          <w:lang w:val="en-US" w:eastAsia="x-none"/>
        </w:rPr>
        <w:t>R4-2011931, “LS reply to RAN1 on UE capability on wideband carrier operation for NR-U,” RAN WG4</w:t>
      </w:r>
    </w:p>
    <w:p w14:paraId="256F9DAB" w14:textId="4624C0F6" w:rsidR="008F5FF5" w:rsidRDefault="00DB088C" w:rsidP="001219FC">
      <w:pPr>
        <w:numPr>
          <w:ilvl w:val="0"/>
          <w:numId w:val="2"/>
        </w:numPr>
        <w:tabs>
          <w:tab w:val="left" w:pos="1080"/>
        </w:tabs>
        <w:rPr>
          <w:lang w:val="en-US" w:eastAsia="x-none"/>
        </w:rPr>
      </w:pPr>
      <w:r>
        <w:rPr>
          <w:lang w:val="en-US" w:eastAsia="x-none"/>
        </w:rPr>
        <w:t>R1-2007137, “Updated RAN1 UE features list for Rel-16 NR,” Moderators (AT&amp;T, NTT DOCOMO, INC.)</w:t>
      </w:r>
    </w:p>
    <w:p w14:paraId="0B0B647A" w14:textId="2F34FFC9" w:rsidR="00EC0FC0" w:rsidRDefault="00EC0FC0" w:rsidP="001219FC">
      <w:pPr>
        <w:numPr>
          <w:ilvl w:val="0"/>
          <w:numId w:val="2"/>
        </w:numPr>
        <w:tabs>
          <w:tab w:val="left" w:pos="1080"/>
        </w:tabs>
        <w:rPr>
          <w:lang w:val="en-US" w:eastAsia="x-none"/>
        </w:rPr>
      </w:pPr>
      <w:r>
        <w:rPr>
          <w:lang w:val="en-US" w:eastAsia="x-none"/>
        </w:rPr>
        <w:t>RP-202117, “</w:t>
      </w:r>
      <w:r w:rsidRPr="00EC0FC0">
        <w:rPr>
          <w:lang w:val="en-US" w:eastAsia="x-none"/>
        </w:rPr>
        <w:t>Introduction of NR-based access to unlicensed spectrum</w:t>
      </w:r>
      <w:r>
        <w:rPr>
          <w:lang w:val="en-US" w:eastAsia="x-none"/>
        </w:rPr>
        <w:t xml:space="preserve">,” </w:t>
      </w:r>
      <w:r w:rsidRPr="00EC0FC0">
        <w:rPr>
          <w:lang w:val="en-US" w:eastAsia="x-none"/>
        </w:rPr>
        <w:t>Qualcomm Incorporated, Nokia, AT&amp;T, Charter Communications, Inc., Verizon, Samsung, LGE, Skyworks Solutions, Inc.</w:t>
      </w:r>
    </w:p>
    <w:p w14:paraId="1F4582AF" w14:textId="704C281F" w:rsidR="00EC0FC0" w:rsidRDefault="00963D84" w:rsidP="001219FC">
      <w:pPr>
        <w:numPr>
          <w:ilvl w:val="0"/>
          <w:numId w:val="2"/>
        </w:numPr>
        <w:tabs>
          <w:tab w:val="left" w:pos="1080"/>
        </w:tabs>
        <w:rPr>
          <w:lang w:val="en-US" w:eastAsia="x-none"/>
        </w:rPr>
      </w:pPr>
      <w:r>
        <w:rPr>
          <w:lang w:val="en-US" w:eastAsia="x-none"/>
        </w:rPr>
        <w:t>R4-1912866, “LS on UL wideband operation for NR-U,” RAN WG4</w:t>
      </w:r>
    </w:p>
    <w:bookmarkEnd w:id="1"/>
    <w:p w14:paraId="46F5D3B5" w14:textId="5D376785" w:rsidR="00DB088C" w:rsidRDefault="00DB088C" w:rsidP="00EC0FC0">
      <w:pPr>
        <w:tabs>
          <w:tab w:val="left" w:pos="1080"/>
        </w:tabs>
        <w:rPr>
          <w:lang w:val="en-US" w:eastAsia="x-none"/>
        </w:rPr>
      </w:pPr>
    </w:p>
    <w:sectPr w:rsidR="00DB088C" w:rsidSect="0082407A">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66E4F" w14:textId="77777777" w:rsidR="007601F1" w:rsidRDefault="007601F1">
      <w:r>
        <w:separator/>
      </w:r>
    </w:p>
  </w:endnote>
  <w:endnote w:type="continuationSeparator" w:id="0">
    <w:p w14:paraId="52C3F730" w14:textId="77777777" w:rsidR="007601F1" w:rsidRDefault="00760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3D0B71" w:rsidRDefault="003D0B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3D0B71" w:rsidRDefault="003D0B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3D0B71" w:rsidRDefault="003D0B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3D0B71" w:rsidRDefault="003D0B7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C1A5E" w14:textId="77777777" w:rsidR="007601F1" w:rsidRDefault="007601F1">
      <w:r>
        <w:separator/>
      </w:r>
    </w:p>
  </w:footnote>
  <w:footnote w:type="continuationSeparator" w:id="0">
    <w:p w14:paraId="3061B442" w14:textId="77777777" w:rsidR="007601F1" w:rsidRDefault="00760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DD13CB"/>
    <w:multiLevelType w:val="hybridMultilevel"/>
    <w:tmpl w:val="1D3ABC6E"/>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FFF6063"/>
    <w:multiLevelType w:val="hybridMultilevel"/>
    <w:tmpl w:val="F6B894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8801BDD"/>
    <w:multiLevelType w:val="hybridMultilevel"/>
    <w:tmpl w:val="295C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86F3D"/>
    <w:multiLevelType w:val="hybridMultilevel"/>
    <w:tmpl w:val="7CC05BD4"/>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91D2CD6"/>
    <w:multiLevelType w:val="hybridMultilevel"/>
    <w:tmpl w:val="94F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19"/>
  </w:num>
  <w:num w:numId="4">
    <w:abstractNumId w:val="21"/>
  </w:num>
  <w:num w:numId="5">
    <w:abstractNumId w:val="16"/>
  </w:num>
  <w:num w:numId="6">
    <w:abstractNumId w:val="7"/>
  </w:num>
  <w:num w:numId="7">
    <w:abstractNumId w:val="3"/>
  </w:num>
  <w:num w:numId="8">
    <w:abstractNumId w:val="18"/>
  </w:num>
  <w:num w:numId="9">
    <w:abstractNumId w:val="8"/>
  </w:num>
  <w:num w:numId="10">
    <w:abstractNumId w:val="15"/>
  </w:num>
  <w:num w:numId="11">
    <w:abstractNumId w:val="23"/>
  </w:num>
  <w:num w:numId="12">
    <w:abstractNumId w:val="6"/>
  </w:num>
  <w:num w:numId="13">
    <w:abstractNumId w:val="14"/>
  </w:num>
  <w:num w:numId="14">
    <w:abstractNumId w:val="4"/>
  </w:num>
  <w:num w:numId="15">
    <w:abstractNumId w:val="13"/>
  </w:num>
  <w:num w:numId="16">
    <w:abstractNumId w:val="2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2"/>
  </w:num>
  <w:num w:numId="19">
    <w:abstractNumId w:val="10"/>
  </w:num>
  <w:num w:numId="20">
    <w:abstractNumId w:val="11"/>
  </w:num>
  <w:num w:numId="21">
    <w:abstractNumId w:val="20"/>
  </w:num>
  <w:num w:numId="22">
    <w:abstractNumId w:val="5"/>
  </w:num>
  <w:num w:numId="23">
    <w:abstractNumId w:val="1"/>
  </w:num>
  <w:num w:numId="2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01"/>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584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85C"/>
    <w:rsid w:val="00053989"/>
    <w:rsid w:val="00053E42"/>
    <w:rsid w:val="000549BA"/>
    <w:rsid w:val="000550EF"/>
    <w:rsid w:val="000555F0"/>
    <w:rsid w:val="00055B21"/>
    <w:rsid w:val="00055F49"/>
    <w:rsid w:val="00056C5E"/>
    <w:rsid w:val="00057B8F"/>
    <w:rsid w:val="000601B0"/>
    <w:rsid w:val="000605D7"/>
    <w:rsid w:val="00060DD0"/>
    <w:rsid w:val="00061B50"/>
    <w:rsid w:val="00062AE2"/>
    <w:rsid w:val="00062E5A"/>
    <w:rsid w:val="00062F52"/>
    <w:rsid w:val="00063B14"/>
    <w:rsid w:val="0006427B"/>
    <w:rsid w:val="000642D1"/>
    <w:rsid w:val="000643A3"/>
    <w:rsid w:val="0006440F"/>
    <w:rsid w:val="000648F2"/>
    <w:rsid w:val="00064DFA"/>
    <w:rsid w:val="00065C27"/>
    <w:rsid w:val="00066EEB"/>
    <w:rsid w:val="000671C6"/>
    <w:rsid w:val="00067594"/>
    <w:rsid w:val="00070561"/>
    <w:rsid w:val="00070ECC"/>
    <w:rsid w:val="00072354"/>
    <w:rsid w:val="000724BF"/>
    <w:rsid w:val="00072597"/>
    <w:rsid w:val="000725AA"/>
    <w:rsid w:val="00072830"/>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31"/>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5C"/>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2D6"/>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951"/>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DA0"/>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7C8"/>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CC9"/>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3B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60"/>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0412"/>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3E31"/>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99A"/>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3C65"/>
    <w:rsid w:val="00274205"/>
    <w:rsid w:val="0027453E"/>
    <w:rsid w:val="00274925"/>
    <w:rsid w:val="00274FBC"/>
    <w:rsid w:val="0027504A"/>
    <w:rsid w:val="002757F6"/>
    <w:rsid w:val="00275B1A"/>
    <w:rsid w:val="00275C3D"/>
    <w:rsid w:val="00275CFF"/>
    <w:rsid w:val="00276223"/>
    <w:rsid w:val="002765D8"/>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263"/>
    <w:rsid w:val="002865FA"/>
    <w:rsid w:val="002866C4"/>
    <w:rsid w:val="0028685E"/>
    <w:rsid w:val="002869C0"/>
    <w:rsid w:val="002900D1"/>
    <w:rsid w:val="00290FB2"/>
    <w:rsid w:val="0029101E"/>
    <w:rsid w:val="0029138C"/>
    <w:rsid w:val="002921C4"/>
    <w:rsid w:val="0029239C"/>
    <w:rsid w:val="0029286C"/>
    <w:rsid w:val="002932EC"/>
    <w:rsid w:val="0029582E"/>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D9E"/>
    <w:rsid w:val="002E1E16"/>
    <w:rsid w:val="002E1E6C"/>
    <w:rsid w:val="002E1FA4"/>
    <w:rsid w:val="002E20FA"/>
    <w:rsid w:val="002E272E"/>
    <w:rsid w:val="002E2BE9"/>
    <w:rsid w:val="002E3BD7"/>
    <w:rsid w:val="002E3E3C"/>
    <w:rsid w:val="002E407E"/>
    <w:rsid w:val="002E4193"/>
    <w:rsid w:val="002E4241"/>
    <w:rsid w:val="002E4880"/>
    <w:rsid w:val="002E4A76"/>
    <w:rsid w:val="002E4D02"/>
    <w:rsid w:val="002E55A2"/>
    <w:rsid w:val="002E5C6F"/>
    <w:rsid w:val="002E6E5E"/>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6801"/>
    <w:rsid w:val="003370EF"/>
    <w:rsid w:val="00337554"/>
    <w:rsid w:val="00337613"/>
    <w:rsid w:val="00337A5E"/>
    <w:rsid w:val="003402F4"/>
    <w:rsid w:val="00340539"/>
    <w:rsid w:val="0034157C"/>
    <w:rsid w:val="00341D2E"/>
    <w:rsid w:val="00341F00"/>
    <w:rsid w:val="003427F4"/>
    <w:rsid w:val="00342D54"/>
    <w:rsid w:val="00343AE0"/>
    <w:rsid w:val="00344FE2"/>
    <w:rsid w:val="003451DC"/>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6C1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947"/>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41E2"/>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ABD"/>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B71"/>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8CD"/>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0A2"/>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DE2"/>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2B34"/>
    <w:rsid w:val="0048385F"/>
    <w:rsid w:val="00483B86"/>
    <w:rsid w:val="00483C46"/>
    <w:rsid w:val="00483CF6"/>
    <w:rsid w:val="004845C1"/>
    <w:rsid w:val="0048493E"/>
    <w:rsid w:val="00484AB9"/>
    <w:rsid w:val="004852CF"/>
    <w:rsid w:val="0048533B"/>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085A"/>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396"/>
    <w:rsid w:val="00543BDB"/>
    <w:rsid w:val="00543E5A"/>
    <w:rsid w:val="0054477C"/>
    <w:rsid w:val="00544811"/>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6E"/>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B05"/>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465"/>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4B1"/>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1789"/>
    <w:rsid w:val="005B21F0"/>
    <w:rsid w:val="005B2846"/>
    <w:rsid w:val="005B2C09"/>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2CAC"/>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428"/>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2F36"/>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0DB"/>
    <w:rsid w:val="006804C1"/>
    <w:rsid w:val="0068130C"/>
    <w:rsid w:val="00681863"/>
    <w:rsid w:val="00681879"/>
    <w:rsid w:val="00681C86"/>
    <w:rsid w:val="00681E48"/>
    <w:rsid w:val="006837E1"/>
    <w:rsid w:val="00683A6E"/>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4E8"/>
    <w:rsid w:val="006957D1"/>
    <w:rsid w:val="00695D19"/>
    <w:rsid w:val="00696D35"/>
    <w:rsid w:val="00697217"/>
    <w:rsid w:val="0069757C"/>
    <w:rsid w:val="006A094D"/>
    <w:rsid w:val="006A0A88"/>
    <w:rsid w:val="006A0FC3"/>
    <w:rsid w:val="006A110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251"/>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0D3"/>
    <w:rsid w:val="007108D8"/>
    <w:rsid w:val="007113BE"/>
    <w:rsid w:val="0071157E"/>
    <w:rsid w:val="00711B27"/>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750"/>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1F1"/>
    <w:rsid w:val="00760F1F"/>
    <w:rsid w:val="0076193C"/>
    <w:rsid w:val="007620EB"/>
    <w:rsid w:val="0076227C"/>
    <w:rsid w:val="00762293"/>
    <w:rsid w:val="00762588"/>
    <w:rsid w:val="00763C37"/>
    <w:rsid w:val="0076433C"/>
    <w:rsid w:val="007646C3"/>
    <w:rsid w:val="00764ABF"/>
    <w:rsid w:val="00764F6B"/>
    <w:rsid w:val="00765328"/>
    <w:rsid w:val="007663F2"/>
    <w:rsid w:val="007664C6"/>
    <w:rsid w:val="00766A38"/>
    <w:rsid w:val="00766CB7"/>
    <w:rsid w:val="00767F66"/>
    <w:rsid w:val="00770C66"/>
    <w:rsid w:val="00771750"/>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214"/>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0D73"/>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A14"/>
    <w:rsid w:val="007F1BC0"/>
    <w:rsid w:val="007F275A"/>
    <w:rsid w:val="007F299A"/>
    <w:rsid w:val="007F2B6A"/>
    <w:rsid w:val="007F3094"/>
    <w:rsid w:val="007F321F"/>
    <w:rsid w:val="007F4C7A"/>
    <w:rsid w:val="007F51CC"/>
    <w:rsid w:val="007F5F94"/>
    <w:rsid w:val="007F6F18"/>
    <w:rsid w:val="007F7987"/>
    <w:rsid w:val="008000EE"/>
    <w:rsid w:val="00800130"/>
    <w:rsid w:val="0080055A"/>
    <w:rsid w:val="008008A4"/>
    <w:rsid w:val="00800BA3"/>
    <w:rsid w:val="008017C0"/>
    <w:rsid w:val="00801901"/>
    <w:rsid w:val="00801D20"/>
    <w:rsid w:val="00801D46"/>
    <w:rsid w:val="00801D79"/>
    <w:rsid w:val="00801FCF"/>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07A"/>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4E35"/>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828"/>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097"/>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5FF5"/>
    <w:rsid w:val="008F6101"/>
    <w:rsid w:val="008F6897"/>
    <w:rsid w:val="008F7FBA"/>
    <w:rsid w:val="009002D8"/>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3F82"/>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7C1"/>
    <w:rsid w:val="0096288D"/>
    <w:rsid w:val="00962D9B"/>
    <w:rsid w:val="0096319A"/>
    <w:rsid w:val="00963D84"/>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3EA8"/>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46E"/>
    <w:rsid w:val="009E48F6"/>
    <w:rsid w:val="009E4C74"/>
    <w:rsid w:val="009E5727"/>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57"/>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6ED"/>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3E3"/>
    <w:rsid w:val="00A56A0E"/>
    <w:rsid w:val="00A56DCF"/>
    <w:rsid w:val="00A57C83"/>
    <w:rsid w:val="00A57D58"/>
    <w:rsid w:val="00A60442"/>
    <w:rsid w:val="00A605DA"/>
    <w:rsid w:val="00A60D41"/>
    <w:rsid w:val="00A61769"/>
    <w:rsid w:val="00A61962"/>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4F3"/>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7F1"/>
    <w:rsid w:val="00A958A5"/>
    <w:rsid w:val="00A95ED3"/>
    <w:rsid w:val="00A966AD"/>
    <w:rsid w:val="00A971F8"/>
    <w:rsid w:val="00A9739A"/>
    <w:rsid w:val="00A97B21"/>
    <w:rsid w:val="00A97CDF"/>
    <w:rsid w:val="00AA00B9"/>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2C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A64"/>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1F52"/>
    <w:rsid w:val="00B121C9"/>
    <w:rsid w:val="00B128D7"/>
    <w:rsid w:val="00B12B67"/>
    <w:rsid w:val="00B12D6A"/>
    <w:rsid w:val="00B13D1E"/>
    <w:rsid w:val="00B14745"/>
    <w:rsid w:val="00B153E3"/>
    <w:rsid w:val="00B157E5"/>
    <w:rsid w:val="00B1623F"/>
    <w:rsid w:val="00B162B7"/>
    <w:rsid w:val="00B2023A"/>
    <w:rsid w:val="00B2068B"/>
    <w:rsid w:val="00B207E9"/>
    <w:rsid w:val="00B20AC8"/>
    <w:rsid w:val="00B20C4A"/>
    <w:rsid w:val="00B20C77"/>
    <w:rsid w:val="00B211BF"/>
    <w:rsid w:val="00B2152F"/>
    <w:rsid w:val="00B21ECA"/>
    <w:rsid w:val="00B2267D"/>
    <w:rsid w:val="00B22C12"/>
    <w:rsid w:val="00B22E28"/>
    <w:rsid w:val="00B23059"/>
    <w:rsid w:val="00B23562"/>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3C"/>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B2C"/>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799"/>
    <w:rsid w:val="00BE287E"/>
    <w:rsid w:val="00BE2BB2"/>
    <w:rsid w:val="00BE3383"/>
    <w:rsid w:val="00BE38EB"/>
    <w:rsid w:val="00BE3E92"/>
    <w:rsid w:val="00BE3F08"/>
    <w:rsid w:val="00BE4B1B"/>
    <w:rsid w:val="00BE4DB0"/>
    <w:rsid w:val="00BE78AF"/>
    <w:rsid w:val="00BE7F67"/>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058"/>
    <w:rsid w:val="00C00F79"/>
    <w:rsid w:val="00C01B14"/>
    <w:rsid w:val="00C021AE"/>
    <w:rsid w:val="00C02203"/>
    <w:rsid w:val="00C02651"/>
    <w:rsid w:val="00C031BA"/>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B68"/>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370"/>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008"/>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859"/>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38C"/>
    <w:rsid w:val="00CA215A"/>
    <w:rsid w:val="00CA29D5"/>
    <w:rsid w:val="00CA2ED0"/>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4F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5AB"/>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CB4"/>
    <w:rsid w:val="00D12F86"/>
    <w:rsid w:val="00D132B1"/>
    <w:rsid w:val="00D13A08"/>
    <w:rsid w:val="00D13FC2"/>
    <w:rsid w:val="00D14749"/>
    <w:rsid w:val="00D1499B"/>
    <w:rsid w:val="00D14C4B"/>
    <w:rsid w:val="00D14D64"/>
    <w:rsid w:val="00D157C1"/>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04"/>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655"/>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E8"/>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6C7B"/>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088C"/>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7DD"/>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0B7"/>
    <w:rsid w:val="00DF118A"/>
    <w:rsid w:val="00DF1281"/>
    <w:rsid w:val="00DF1627"/>
    <w:rsid w:val="00DF199B"/>
    <w:rsid w:val="00DF1E2D"/>
    <w:rsid w:val="00DF201C"/>
    <w:rsid w:val="00DF255E"/>
    <w:rsid w:val="00DF2ECA"/>
    <w:rsid w:val="00DF34F9"/>
    <w:rsid w:val="00DF4C20"/>
    <w:rsid w:val="00DF4C7C"/>
    <w:rsid w:val="00DF51C0"/>
    <w:rsid w:val="00DF53E9"/>
    <w:rsid w:val="00DF54A5"/>
    <w:rsid w:val="00DF5633"/>
    <w:rsid w:val="00DF6058"/>
    <w:rsid w:val="00DF6787"/>
    <w:rsid w:val="00DF7330"/>
    <w:rsid w:val="00DF79C3"/>
    <w:rsid w:val="00DF7C4C"/>
    <w:rsid w:val="00DF7EB3"/>
    <w:rsid w:val="00E0019F"/>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5E1"/>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27B"/>
    <w:rsid w:val="00E343BD"/>
    <w:rsid w:val="00E35A26"/>
    <w:rsid w:val="00E35B6C"/>
    <w:rsid w:val="00E36B2F"/>
    <w:rsid w:val="00E36B42"/>
    <w:rsid w:val="00E36D90"/>
    <w:rsid w:val="00E371C2"/>
    <w:rsid w:val="00E374C5"/>
    <w:rsid w:val="00E377D8"/>
    <w:rsid w:val="00E403AD"/>
    <w:rsid w:val="00E408DB"/>
    <w:rsid w:val="00E40900"/>
    <w:rsid w:val="00E412E7"/>
    <w:rsid w:val="00E413B2"/>
    <w:rsid w:val="00E423DD"/>
    <w:rsid w:val="00E4265A"/>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A41"/>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1D2"/>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1B7F"/>
    <w:rsid w:val="00EB21F4"/>
    <w:rsid w:val="00EB2235"/>
    <w:rsid w:val="00EB24B0"/>
    <w:rsid w:val="00EB26A9"/>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0D60"/>
    <w:rsid w:val="00EC0FC0"/>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5D39"/>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6D39"/>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0E7C"/>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70"/>
    <w:rsid w:val="00F34581"/>
    <w:rsid w:val="00F345D2"/>
    <w:rsid w:val="00F349CB"/>
    <w:rsid w:val="00F34A38"/>
    <w:rsid w:val="00F34BB9"/>
    <w:rsid w:val="00F354C9"/>
    <w:rsid w:val="00F35682"/>
    <w:rsid w:val="00F3615B"/>
    <w:rsid w:val="00F368B6"/>
    <w:rsid w:val="00F36A11"/>
    <w:rsid w:val="00F36C90"/>
    <w:rsid w:val="00F36D83"/>
    <w:rsid w:val="00F3756B"/>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4AA"/>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932"/>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customStyle="1" w:styleId="FL">
    <w:name w:val="FL"/>
    <w:basedOn w:val="Normal"/>
    <w:rsid w:val="002E6E5E"/>
    <w:pPr>
      <w:keepNext/>
      <w:keepLines/>
      <w:overflowPunct w:val="0"/>
      <w:autoSpaceDE w:val="0"/>
      <w:autoSpaceDN w:val="0"/>
      <w:adjustRightInd w:val="0"/>
      <w:spacing w:before="60"/>
      <w:jc w:val="center"/>
      <w:textAlignment w:val="baseline"/>
    </w:pPr>
    <w:rPr>
      <w:rFonts w:ascii="Arial" w:eastAsiaTheme="minorEastAsia"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B7A3C-B42D-4A3D-8C9B-96435FE9E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2020-10-23T20:06:00Z</dcterms:created>
  <dcterms:modified xsi:type="dcterms:W3CDTF">2020-10-23T20:06:00Z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